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color w:val="002D62" w:themeColor="accent1"/>
          <w:sz w:val="24"/>
          <w:szCs w:val="24"/>
        </w:rPr>
        <w:id w:val="286314869"/>
        <w:docPartObj>
          <w:docPartGallery w:val="Cover Pages"/>
          <w:docPartUnique/>
        </w:docPartObj>
      </w:sdtPr>
      <w:sdtEndPr>
        <w:rPr>
          <w:noProof/>
          <w:color w:val="FFFFFF" w:themeColor="background1"/>
        </w:rPr>
      </w:sdtEndPr>
      <w:sdtContent>
        <w:p w14:paraId="4AA98CB1" w14:textId="0F3758C3" w:rsidR="00DE1088" w:rsidRPr="002870AE" w:rsidRDefault="00DE1088" w:rsidP="002870AE">
          <w:pPr>
            <w:jc w:val="both"/>
            <w:rPr>
              <w:rFonts w:ascii="Times New Roman" w:hAnsi="Times New Roman" w:cs="Times New Roman"/>
              <w:sz w:val="24"/>
              <w:szCs w:val="24"/>
            </w:rPr>
          </w:pPr>
        </w:p>
        <w:p w14:paraId="6D73AC1D" w14:textId="77777777" w:rsidR="00DE1088" w:rsidRPr="002870AE" w:rsidRDefault="00DE1088" w:rsidP="002870AE">
          <w:pPr>
            <w:jc w:val="both"/>
            <w:rPr>
              <w:rFonts w:ascii="Times New Roman" w:hAnsi="Times New Roman" w:cs="Times New Roman"/>
              <w:sz w:val="24"/>
              <w:szCs w:val="24"/>
            </w:rPr>
          </w:pPr>
        </w:p>
        <w:p w14:paraId="099ED7D0" w14:textId="77777777" w:rsidR="00556355" w:rsidRPr="002870AE" w:rsidRDefault="00556355" w:rsidP="002870AE">
          <w:pPr>
            <w:jc w:val="both"/>
            <w:rPr>
              <w:rFonts w:ascii="Times New Roman" w:hAnsi="Times New Roman" w:cs="Times New Roman"/>
              <w:sz w:val="24"/>
              <w:szCs w:val="24"/>
            </w:rPr>
          </w:pPr>
        </w:p>
        <w:p w14:paraId="2DCA0308" w14:textId="16ECEC91" w:rsidR="00DE1088" w:rsidRPr="002870AE" w:rsidRDefault="008232CE" w:rsidP="002870AE">
          <w:pPr>
            <w:ind w:left="567"/>
            <w:jc w:val="both"/>
            <w:rPr>
              <w:rFonts w:ascii="Times New Roman" w:hAnsi="Times New Roman" w:cs="Times New Roman"/>
              <w:sz w:val="24"/>
              <w:szCs w:val="24"/>
            </w:rPr>
          </w:pPr>
          <w:r w:rsidRPr="002870AE">
            <w:rPr>
              <w:rFonts w:ascii="Times New Roman" w:hAnsi="Times New Roman" w:cs="Times New Roman"/>
              <w:b/>
              <w:noProof/>
              <w:color w:val="002D62" w:themeColor="accent1"/>
              <w:sz w:val="24"/>
              <w:szCs w:val="24"/>
              <w:lang w:val="en-AU"/>
            </w:rPr>
            <w:drawing>
              <wp:inline distT="0" distB="0" distL="0" distR="0" wp14:anchorId="1A3C4295" wp14:editId="6B24CDD2">
                <wp:extent cx="4035898" cy="1065475"/>
                <wp:effectExtent l="0" t="0" r="317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6904" cy="1110621"/>
                        </a:xfrm>
                        <a:prstGeom prst="rect">
                          <a:avLst/>
                        </a:prstGeom>
                      </pic:spPr>
                    </pic:pic>
                  </a:graphicData>
                </a:graphic>
              </wp:inline>
            </w:drawing>
          </w:r>
        </w:p>
        <w:p w14:paraId="39E313C9" w14:textId="3633C3A1" w:rsidR="00EC07A1" w:rsidRPr="002870AE" w:rsidRDefault="00EB35FE" w:rsidP="002870AE">
          <w:pPr>
            <w:pStyle w:val="IncyteTitle3"/>
            <w:jc w:val="both"/>
            <w:rPr>
              <w:rFonts w:ascii="Times New Roman" w:hAnsi="Times New Roman" w:cs="Times New Roman"/>
              <w:noProof/>
              <w:color w:val="FFFFFF" w:themeColor="background1"/>
              <w:sz w:val="24"/>
              <w:szCs w:val="24"/>
            </w:rPr>
          </w:pPr>
          <w:r w:rsidRPr="002870AE">
            <w:rPr>
              <w:rFonts w:ascii="Times New Roman" w:hAnsi="Times New Roman" w:cs="Times New Roman"/>
              <w:noProof/>
              <w:sz w:val="24"/>
              <w:szCs w:val="24"/>
              <w:lang w:eastAsia="en-US"/>
            </w:rPr>
            <mc:AlternateContent>
              <mc:Choice Requires="wps">
                <w:drawing>
                  <wp:anchor distT="0" distB="0" distL="114300" distR="114300" simplePos="0" relativeHeight="251659264" behindDoc="1" locked="0" layoutInCell="1" allowOverlap="1" wp14:anchorId="2AD9C939" wp14:editId="7AE4C410">
                    <wp:simplePos x="0" y="0"/>
                    <wp:positionH relativeFrom="page">
                      <wp:posOffset>-20532725</wp:posOffset>
                    </wp:positionH>
                    <wp:positionV relativeFrom="page">
                      <wp:posOffset>-4202430</wp:posOffset>
                    </wp:positionV>
                    <wp:extent cx="7223760" cy="2250440"/>
                    <wp:effectExtent l="0" t="0" r="0" b="10160"/>
                    <wp:wrapThrough wrapText="bothSides">
                      <wp:wrapPolygon edited="0">
                        <wp:start x="9873" y="4144"/>
                        <wp:lineTo x="9797" y="4144"/>
                        <wp:lineTo x="1823" y="8045"/>
                        <wp:lineTo x="1747" y="8289"/>
                        <wp:lineTo x="0" y="11946"/>
                        <wp:lineTo x="0" y="21454"/>
                        <wp:lineTo x="21494" y="21454"/>
                        <wp:lineTo x="21494" y="8045"/>
                        <wp:lineTo x="13443" y="4144"/>
                        <wp:lineTo x="13367" y="4144"/>
                        <wp:lineTo x="9873" y="4144"/>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225044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002D62"/>
                            </a:solidFill>
                            <a:ln>
                              <a:noFill/>
                            </a:ln>
                            <a:effectLst/>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round/>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24B" id="Freeform 1" o:spid="_x0000_s1026" style="position:absolute;margin-left:-1616.75pt;margin-top:-330.9pt;width:568.8pt;height:17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IiGQMAACkIAAAOAAAAZHJzL2Uyb0RvYy54bWysVdtu2zAMfR+wfxD0OGD1JdcGdYqtRYcB&#10;uxRo9gGKLMfGbEuTlDjt14+UHMdpk6YY9iLrcnREHtLk1fW2KslGaFPIOqHRRUiJqLlMi3qV0F+L&#10;u49TSoxldcpKWYuEPgpDr+fv3101aiZimcsyFZoASW1mjUpobq2aBYHhuaiYuZBK1HCYSV0xC0u9&#10;ClLNGmCvyiAOw3HQSJ0qLbkwBnZv/SGdO/4sE9z+zDIjLCkTCrZZN2o3LnEM5ldsttJM5QVvzWD/&#10;YEXFihoe7ahumWVkrYsXVFXBtTQysxdcVoHMsoIL5wN4E4XPvHnImRLOFxDHqE4m8/9o+Y/NvSZF&#10;CrGjpGYVhOhOC4GCkwjVaZSZAehB3Wv0z6hvkv82cBAcnODCAIYsm+8yBRa2ttIpss10hTfBV7J1&#10;wj92woutJRw2J3E8mIwhPhzO4ngUDocuNAGb7a7ztbFfhHRUbPPNWB+5FGZO97S1fgEsWVVCED8E&#10;JB4Op6RxnzbSHQzc7WCD6SXJCYzPQXEP9ArXoAeLhuFxrmEPFJ4watTDRNPBcaJxD3SKaNLDnPQO&#10;fs1Ogle8u+zBDrggOqud/izfhYRv6zYmMCMM60DoEkFJgwmAAYIoL1x2AQWgMIAnwBABBA8wMmfB&#10;IDGCR28Cg4wInrwJDFIh2CXIzgz/bX3VUGme1xhNCdSYpU8qxSxKhK7ilDSQ6JCdlOQJxczDg0pu&#10;xEI6iEWpPAAeblMTXtxD+HpZ8M/i6egFyML22UOiM/vo0gHt4Uo5sigaeTkOnhgMIE/A1Cie9l/2&#10;wYZc3sl8lt7faD0Gsdyb5zdfmF7WR5XZS7kD8FIa4dMLI+PyrIuWo91XHiPLIr0ryhKDZPRqeVNq&#10;smHYXML4dhy3Xh7ASpfftcRr/hm/I1x78r+NK6ZYP33BXcr0EWqplr5fQX+FSS71EyUN9KqEmj9r&#10;pgUl5dcamsFlhPWSWLcYjiYxLHT/ZNk/YTUHqoRaCn8nTm+sb4hrpYtVDi9FLhtr+QlqeFZgpXX2&#10;eavaBfQjp1TbO7Hh9dcOte/w878AAAD//wMAUEsDBBQABgAIAAAAIQAyoRqY4wAAABEBAAAPAAAA&#10;ZHJzL2Rvd25yZXYueG1sTI/NboMwEITvlfoO1lbqjdiBxA0EE1WVeswhSaVeDXYBxT8IG0L79N2c&#10;2tuO5tPsTHlYrCGzHkPvnYD1igHRrvGqd62Aj8t7sgMSonRKGu+0gG8d4FA9PpSyUP7mTno+x5Zg&#10;iAuFFNDFOBSUhqbTVoaVH7RD78uPVkaUY0vVKG8Ybg1NGePUyt7hh04O+q3TzfU8WQEq97tTuznK&#10;+Tj9pGln+OdccyGen5bXPZCol/gHw70+VocKO9V+cioQIyDJ0izbIown52ucgVCSsnybA6nvPnvZ&#10;AK1K+n9J9QsAAP//AwBQSwECLQAUAAYACAAAACEAtoM4kv4AAADhAQAAEwAAAAAAAAAAAAAAAAAA&#10;AAAAW0NvbnRlbnRfVHlwZXNdLnhtbFBLAQItABQABgAIAAAAIQA4/SH/1gAAAJQBAAALAAAAAAAA&#10;AAAAAAAAAC8BAABfcmVscy8ucmVsc1BLAQItABQABgAIAAAAIQDDVVIiGQMAACkIAAAOAAAAAAAA&#10;AAAAAAAAAC4CAABkcnMvZTJvRG9jLnhtbFBLAQItABQABgAIAAAAIQAyoRqY4wAAABEBAAAPAAAA&#10;AAAAAAAAAAAAAHMFAABkcnMvZG93bnJldi54bWxQSwUGAAAAAAQABADzAAAAgwYAAAAA&#10;" path="m2448,389v,-249,,-249,,-249c1158,,339,128,,183,,389,,389,,389r2448,xe" fillcolor="#002d62" stroked="f">
                    <v:path arrowok="t" o:connecttype="custom" o:connectlocs="7223760,2250440;7223760,809927;0,1058690;0,2250440;7223760,2250440" o:connectangles="0,0,0,0,0"/>
                    <w10:wrap type="through" anchorx="page" anchory="page"/>
                  </v:shape>
                </w:pict>
              </mc:Fallback>
            </mc:AlternateContent>
          </w:r>
        </w:p>
      </w:sdtContent>
    </w:sdt>
    <w:p w14:paraId="577AE39B" w14:textId="77777777" w:rsidR="00EC07A1" w:rsidRPr="002870AE" w:rsidRDefault="00EC07A1" w:rsidP="002870AE">
      <w:pPr>
        <w:jc w:val="both"/>
        <w:rPr>
          <w:rFonts w:ascii="Times New Roman" w:hAnsi="Times New Roman" w:cs="Times New Roman"/>
          <w:sz w:val="24"/>
          <w:szCs w:val="24"/>
        </w:rPr>
      </w:pPr>
    </w:p>
    <w:p w14:paraId="207A8621" w14:textId="77777777" w:rsidR="00EC07A1" w:rsidRPr="002870AE" w:rsidRDefault="00EC07A1" w:rsidP="002870AE">
      <w:pPr>
        <w:jc w:val="both"/>
        <w:rPr>
          <w:rFonts w:ascii="Times New Roman" w:hAnsi="Times New Roman" w:cs="Times New Roman"/>
          <w:sz w:val="24"/>
          <w:szCs w:val="24"/>
        </w:rPr>
      </w:pPr>
    </w:p>
    <w:p w14:paraId="3E03D500" w14:textId="77777777" w:rsidR="00EC07A1" w:rsidRPr="002870AE" w:rsidRDefault="00EC07A1" w:rsidP="002870AE">
      <w:pPr>
        <w:jc w:val="both"/>
        <w:rPr>
          <w:rFonts w:ascii="Times New Roman" w:hAnsi="Times New Roman" w:cs="Times New Roman"/>
          <w:sz w:val="24"/>
          <w:szCs w:val="24"/>
        </w:rPr>
      </w:pPr>
    </w:p>
    <w:p w14:paraId="340F4375" w14:textId="7BE375F2" w:rsidR="00EC07A1" w:rsidRPr="002870AE" w:rsidRDefault="00C909EC" w:rsidP="002870AE">
      <w:pPr>
        <w:jc w:val="both"/>
        <w:rPr>
          <w:rFonts w:ascii="Times New Roman" w:hAnsi="Times New Roman" w:cs="Times New Roman"/>
          <w:sz w:val="24"/>
          <w:szCs w:val="24"/>
        </w:rPr>
      </w:pPr>
      <w:r w:rsidRPr="002870AE">
        <w:rPr>
          <w:rFonts w:ascii="Times New Roman" w:hAnsi="Times New Roman" w:cs="Times New Roman"/>
          <w:noProof/>
          <w:sz w:val="24"/>
          <w:szCs w:val="24"/>
          <w:lang w:eastAsia="en-US"/>
        </w:rPr>
        <mc:AlternateContent>
          <mc:Choice Requires="wps">
            <w:drawing>
              <wp:anchor distT="0" distB="0" distL="114300" distR="114300" simplePos="0" relativeHeight="251736064" behindDoc="0" locked="0" layoutInCell="1" allowOverlap="1" wp14:anchorId="0325FCEA" wp14:editId="63EA195E">
                <wp:simplePos x="0" y="0"/>
                <wp:positionH relativeFrom="page">
                  <wp:posOffset>594388</wp:posOffset>
                </wp:positionH>
                <wp:positionV relativeFrom="page">
                  <wp:posOffset>4791075</wp:posOffset>
                </wp:positionV>
                <wp:extent cx="6847840" cy="1267460"/>
                <wp:effectExtent l="0" t="0" r="0" b="25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2674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cs="Tahoma"/>
                                <w:lang w:val="pt-PT"/>
                              </w:rPr>
                              <w:alias w:val="Title"/>
                              <w:tag w:val=""/>
                              <w:id w:val="-721443200"/>
                              <w:dataBinding w:prefixMappings="xmlns:ns0='http://purl.org/dc/elements/1.1/' xmlns:ns1='http://schemas.openxmlformats.org/package/2006/metadata/core-properties' " w:xpath="/ns1:coreProperties[1]/ns0:title[1]" w:storeItemID="{6C3C8BC8-F283-45AE-878A-BAB7291924A1}"/>
                              <w:text/>
                            </w:sdtPr>
                            <w:sdtEndPr/>
                            <w:sdtContent>
                              <w:p w14:paraId="13B2DB02" w14:textId="7F6046C9" w:rsidR="002870AE" w:rsidRPr="00F25A12" w:rsidRDefault="002870AE" w:rsidP="000A51F8">
                                <w:pPr>
                                  <w:pStyle w:val="IncyteTitle1"/>
                                  <w:jc w:val="center"/>
                                  <w:rPr>
                                    <w:rFonts w:cs="Tahoma"/>
                                    <w:lang w:val="pt-PT"/>
                                  </w:rPr>
                                </w:pPr>
                                <w:r w:rsidRPr="00F25A12">
                                  <w:rPr>
                                    <w:rFonts w:cs="Tahoma"/>
                                    <w:lang w:val="pt-PT"/>
                                  </w:rPr>
                                  <w:t>Modelo de custeio de serviços de telecomunicação a grosso e retalho</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FCEA" id="Rectangle 3" o:spid="_x0000_s1026" style="position:absolute;left:0;text-align:left;margin-left:46.8pt;margin-top:377.25pt;width:539.2pt;height:99.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X8AEAAL8DAAAOAAAAZHJzL2Uyb0RvYy54bWysU8Fu2zAMvQ/YPwi6L46zNE2NOEXRosOA&#10;bi3W7QMYWY6F2aJGKbGzrx8lp1m63YZdBFGknt57pFbXQ9eKvSZv0JYyn0yl0FZhZey2lN++3r9b&#10;SuED2ApatLqUB+3l9frtm1XvCj3DBttKk2AQ64velbIJwRVZ5lWjO/ATdNpyskbqIHBI26wi6Bm9&#10;a7PZdLrIeqTKESrtPZ/ejUm5Tvh1rVV4rGuvg2hLydxCWimtm7hm6xUUWwLXGHWkAf/AogNj+dET&#10;1B0EEDsyf0F1RhF6rMNEYZdhXRulkwZWk0//UPPcgNNJC5vj3ckm//9g1ef9EwlTlfLqQgoLHffo&#10;C7sGdttq8T760ztfcNmze6Ko0LsHVN+9sHjbcJW+IcK+0VAxqzzWZ68uxMDzVbHpP2HF6LALmKwa&#10;auoiIJsghtSRw6kjeghC8eFiOb9czrlxinP5bHE5X6SeZVC8XHfkwweNnYibUhKTT/Cwf/Ah0oHi&#10;pSS+ZvHetG1qe2tfHXBhPEn0I+NReRg2w9GEDVYHFkI4ThFPPW8apJ9S9DxBpfQ/dkBaivajZTOu&#10;8nlkHlIwv7iccUDnmc15BqxiqFIGKcbtbRjHdOfIbBt+KU+yLN6wgbVJ0qK5I6sjb56SpPg40XEM&#10;z+NU9fvfrX8BAAD//wMAUEsDBBQABgAIAAAAIQCSlQEu4gAAAAsBAAAPAAAAZHJzL2Rvd25yZXYu&#10;eG1sTI9BS8NAEIXvgv9hGcGL2E1q02rMpkhBWkQoptrzNhmTYHY2zW6T+O+dnupxeB9vvpcsR9OI&#10;HjtXW1IQTgIQSLktaioVfO5e7x9BOK+p0I0lVPCLDpbp9VWi48IO9IF95kvBJeRiraDyvo2ldHmF&#10;RruJbZE4+7ad0Z7PrpRFpwcuN42cBsFcGl0Tf6h0i6sK85/sZBQM+bbf797Xcnu331g6bo6r7OtN&#10;qdub8eUZhMfRX2A467M6pOx0sCcqnGgUPD3MmVSwiGYRiDMQLqa87sBRNAtBpon8vyH9AwAA//8D&#10;AFBLAQItABQABgAIAAAAIQC2gziS/gAAAOEBAAATAAAAAAAAAAAAAAAAAAAAAABbQ29udGVudF9U&#10;eXBlc10ueG1sUEsBAi0AFAAGAAgAAAAhADj9If/WAAAAlAEAAAsAAAAAAAAAAAAAAAAALwEAAF9y&#10;ZWxzLy5yZWxzUEsBAi0AFAAGAAgAAAAhANAeQ1fwAQAAvwMAAA4AAAAAAAAAAAAAAAAALgIAAGRy&#10;cy9lMm9Eb2MueG1sUEsBAi0AFAAGAAgAAAAhAJKVAS7iAAAACwEAAA8AAAAAAAAAAAAAAAAASgQA&#10;AGRycy9kb3ducmV2LnhtbFBLBQYAAAAABAAEAPMAAABZBQAAAAA=&#10;" filled="f" stroked="f">
                <v:textbox>
                  <w:txbxContent>
                    <w:sdt>
                      <w:sdtPr>
                        <w:rPr>
                          <w:rFonts w:cs="Tahoma"/>
                          <w:lang w:val="pt-PT"/>
                        </w:rPr>
                        <w:alias w:val="Title"/>
                        <w:tag w:val=""/>
                        <w:id w:val="-721443200"/>
                        <w:dataBinding w:prefixMappings="xmlns:ns0='http://purl.org/dc/elements/1.1/' xmlns:ns1='http://schemas.openxmlformats.org/package/2006/metadata/core-properties' " w:xpath="/ns1:coreProperties[1]/ns0:title[1]" w:storeItemID="{6C3C8BC8-F283-45AE-878A-BAB7291924A1}"/>
                        <w:text/>
                      </w:sdtPr>
                      <w:sdtEndPr/>
                      <w:sdtContent>
                        <w:p w14:paraId="13B2DB02" w14:textId="7F6046C9" w:rsidR="002870AE" w:rsidRPr="00F25A12" w:rsidRDefault="002870AE" w:rsidP="000A51F8">
                          <w:pPr>
                            <w:pStyle w:val="IncyteTitle1"/>
                            <w:jc w:val="center"/>
                            <w:rPr>
                              <w:rFonts w:cs="Tahoma"/>
                              <w:lang w:val="pt-PT"/>
                            </w:rPr>
                          </w:pPr>
                          <w:r w:rsidRPr="00F25A12">
                            <w:rPr>
                              <w:rFonts w:cs="Tahoma"/>
                              <w:lang w:val="pt-PT"/>
                            </w:rPr>
                            <w:t>Modelo de custeio de serviços de telecomunicação a grosso e retalho</w:t>
                          </w:r>
                        </w:p>
                      </w:sdtContent>
                    </w:sdt>
                  </w:txbxContent>
                </v:textbox>
                <w10:wrap anchorx="page" anchory="page"/>
              </v:rect>
            </w:pict>
          </mc:Fallback>
        </mc:AlternateContent>
      </w:r>
    </w:p>
    <w:p w14:paraId="489BACE8" w14:textId="5DD55148" w:rsidR="00EC07A1" w:rsidRPr="002870AE" w:rsidRDefault="00EC07A1" w:rsidP="002870AE">
      <w:pPr>
        <w:jc w:val="both"/>
        <w:rPr>
          <w:rFonts w:ascii="Times New Roman" w:hAnsi="Times New Roman" w:cs="Times New Roman"/>
          <w:sz w:val="24"/>
          <w:szCs w:val="24"/>
        </w:rPr>
      </w:pPr>
    </w:p>
    <w:p w14:paraId="17450C1D" w14:textId="33DFC610" w:rsidR="00EC07A1" w:rsidRPr="002870AE" w:rsidRDefault="00EC07A1" w:rsidP="002870AE">
      <w:pPr>
        <w:jc w:val="both"/>
        <w:rPr>
          <w:rFonts w:ascii="Times New Roman" w:hAnsi="Times New Roman" w:cs="Times New Roman"/>
          <w:sz w:val="24"/>
          <w:szCs w:val="24"/>
        </w:rPr>
      </w:pPr>
    </w:p>
    <w:p w14:paraId="4EEE611E" w14:textId="77777777" w:rsidR="00EC07A1" w:rsidRPr="002870AE" w:rsidRDefault="00EC07A1" w:rsidP="002870AE">
      <w:pPr>
        <w:jc w:val="both"/>
        <w:rPr>
          <w:rFonts w:ascii="Times New Roman" w:hAnsi="Times New Roman" w:cs="Times New Roman"/>
          <w:sz w:val="24"/>
          <w:szCs w:val="24"/>
        </w:rPr>
      </w:pPr>
    </w:p>
    <w:p w14:paraId="2A1098A9" w14:textId="77777777" w:rsidR="00EC07A1" w:rsidRPr="002870AE" w:rsidRDefault="00EC07A1" w:rsidP="002870AE">
      <w:pPr>
        <w:jc w:val="both"/>
        <w:rPr>
          <w:rFonts w:ascii="Times New Roman" w:hAnsi="Times New Roman" w:cs="Times New Roman"/>
          <w:sz w:val="24"/>
          <w:szCs w:val="24"/>
        </w:rPr>
      </w:pPr>
    </w:p>
    <w:p w14:paraId="59BD6049" w14:textId="2E4A852A" w:rsidR="00EC07A1" w:rsidRPr="002870AE" w:rsidRDefault="00C909EC" w:rsidP="002870AE">
      <w:pPr>
        <w:jc w:val="both"/>
        <w:rPr>
          <w:rFonts w:ascii="Times New Roman" w:hAnsi="Times New Roman" w:cs="Times New Roman"/>
          <w:sz w:val="24"/>
          <w:szCs w:val="24"/>
        </w:rPr>
      </w:pPr>
      <w:r w:rsidRPr="002870AE">
        <w:rPr>
          <w:rFonts w:ascii="Times New Roman" w:hAnsi="Times New Roman" w:cs="Times New Roman"/>
          <w:noProof/>
          <w:sz w:val="24"/>
          <w:szCs w:val="24"/>
          <w:lang w:eastAsia="en-US"/>
        </w:rPr>
        <mc:AlternateContent>
          <mc:Choice Requires="wps">
            <w:drawing>
              <wp:anchor distT="0" distB="0" distL="114300" distR="114300" simplePos="0" relativeHeight="251738112" behindDoc="0" locked="0" layoutInCell="1" allowOverlap="1" wp14:anchorId="1CFA2726" wp14:editId="4ED2B803">
                <wp:simplePos x="0" y="0"/>
                <wp:positionH relativeFrom="page">
                  <wp:posOffset>596348</wp:posOffset>
                </wp:positionH>
                <wp:positionV relativeFrom="page">
                  <wp:posOffset>6058894</wp:posOffset>
                </wp:positionV>
                <wp:extent cx="6830695" cy="1256306"/>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25630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sz w:val="40"/>
                                <w:szCs w:val="40"/>
                                <w:lang w:val="pt-PT"/>
                              </w:rPr>
                              <w:alias w:val="Abstract"/>
                              <w:id w:val="-288357500"/>
                              <w:dataBinding w:prefixMappings="xmlns:ns0='http://schemas.microsoft.com/office/2006/coverPageProps' " w:xpath="/ns0:CoverPageProperties[1]/ns0:Abstract[1]" w:storeItemID="{55AF091B-3C7A-41E3-B477-F2FDAA23CFDA}"/>
                              <w:text/>
                            </w:sdtPr>
                            <w:sdtEndPr/>
                            <w:sdtContent>
                              <w:p w14:paraId="47491446" w14:textId="030429AB" w:rsidR="002870AE" w:rsidRPr="00F25A12" w:rsidRDefault="002870AE" w:rsidP="000A51F8">
                                <w:pPr>
                                  <w:pStyle w:val="IncyteTitle2"/>
                                  <w:jc w:val="center"/>
                                  <w:rPr>
                                    <w:lang w:val="pt-PT"/>
                                  </w:rPr>
                                </w:pPr>
                                <w:r>
                                  <w:rPr>
                                    <w:sz w:val="40"/>
                                    <w:szCs w:val="40"/>
                                    <w:lang w:val="pt-PT"/>
                                  </w:rPr>
                                  <w:t>Consulta Pública</w:t>
                                </w:r>
                                <w:r w:rsidRPr="00F25A12">
                                  <w:rPr>
                                    <w:sz w:val="40"/>
                                    <w:szCs w:val="40"/>
                                    <w:lang w:val="pt-PT"/>
                                  </w:rPr>
                                  <w:t xml:space="preserve"> para a Autoridade Reguladora Nacional das Tecnologias de Informação e Comunicação da Guiné Bissau</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2726" id="_x0000_s1027" style="position:absolute;left:0;text-align:left;margin-left:46.95pt;margin-top:477.1pt;width:537.85pt;height:98.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IA8QEAAMYDAAAOAAAAZHJzL2Uyb0RvYy54bWysU8Fu2zAMvQ/YPwi6L47TxGuNOEXRosOA&#10;bivW7QMYWY6F2aJGKbGzrx+lpGm63YZdBFGkHt97opbXY9+JnSZv0FYyn0yl0FZhbeymkt+/3b+7&#10;lMIHsDV0aHUl99rL69XbN8vBlXqGLXa1JsEg1peDq2QbgiuzzKtW9+An6LTlZIPUQ+CQNllNMDB6&#10;32Wz6bTIBqTaESrtPZ/eHZJylfCbRqvwpWm8DqKrJHMLaaW0ruOarZZQbghca9SRBvwDix6M5aYn&#10;qDsIILZk/oLqjSL02ISJwj7DpjFKJw2sJp/+oeapBaeTFjbHu5NN/v/Bqs+7RxKmrmSRS2Gh5zf6&#10;yq6B3XRaXER/BudLLntyjxQVeveA6ocXFm9brtI3RDi0Gmpmlcf67NWFGHi+KtbDJ6wZHbYBk1Vj&#10;Q30EZBPEmF5kf3oRPQah+LC4vJgWVwspFOfy2aLgMPWA8vm6Ix8+aOxF3FSSmHyCh92DD5EOlM8l&#10;sZvFe9N16dk7++qAC+NJoh8ZH5SHcT0mf5K2qGaN9Z71EB6GiYefNy3SLykGHqRK+p9bIC1F99Gy&#10;J1f5fB4nLwXzxfsZB3SeWZ9nwCqGqmSQ4rC9DYdp3Toym5Y75UmdxRv2sTFJ4QurI30eliT8ONhx&#10;Gs/jVPXy/Va/AQAA//8DAFBLAwQUAAYACAAAACEApuyDROMAAAAMAQAADwAAAGRycy9kb3ducmV2&#10;LnhtbEyPwUrDQBCG70LfYZmCF7GbRhtMzKaUglhEKKba8zY7JqHZ2TS7TeLbuznpaWaYj3++Sdej&#10;bliPna0NCVguAmBIhVE1lQI+Dy/3T8Csk6RkYwgF/KCFdTa7SWWizEAf2OeuZD6EbCIFVM61Cee2&#10;qFBLuzAtkt99m05L58eu5KqTgw/XDQ+DIOJa1uQvVLLFbYXFOb9qAUOx74+H91e+vzvuDF12l23+&#10;9SbE7XzcPANzOLo/GCZ9rw6ZdzqZKynLGgHxQ+xJX1ePIbAJWEZxBOw0daswAJ6l/P8T2S8AAAD/&#10;/wMAUEsBAi0AFAAGAAgAAAAhALaDOJL+AAAA4QEAABMAAAAAAAAAAAAAAAAAAAAAAFtDb250ZW50&#10;X1R5cGVzXS54bWxQSwECLQAUAAYACAAAACEAOP0h/9YAAACUAQAACwAAAAAAAAAAAAAAAAAvAQAA&#10;X3JlbHMvLnJlbHNQSwECLQAUAAYACAAAACEAGKtyAPEBAADGAwAADgAAAAAAAAAAAAAAAAAuAgAA&#10;ZHJzL2Uyb0RvYy54bWxQSwECLQAUAAYACAAAACEApuyDROMAAAAMAQAADwAAAAAAAAAAAAAAAABL&#10;BAAAZHJzL2Rvd25yZXYueG1sUEsFBgAAAAAEAAQA8wAAAFsFAAAAAA==&#10;" filled="f" stroked="f">
                <v:textbox>
                  <w:txbxContent>
                    <w:sdt>
                      <w:sdtPr>
                        <w:rPr>
                          <w:sz w:val="40"/>
                          <w:szCs w:val="40"/>
                          <w:lang w:val="pt-PT"/>
                        </w:rPr>
                        <w:alias w:val="Abstract"/>
                        <w:id w:val="-288357500"/>
                        <w:dataBinding w:prefixMappings="xmlns:ns0='http://schemas.microsoft.com/office/2006/coverPageProps' " w:xpath="/ns0:CoverPageProperties[1]/ns0:Abstract[1]" w:storeItemID="{55AF091B-3C7A-41E3-B477-F2FDAA23CFDA}"/>
                        <w:text/>
                      </w:sdtPr>
                      <w:sdtEndPr/>
                      <w:sdtContent>
                        <w:p w14:paraId="47491446" w14:textId="030429AB" w:rsidR="002870AE" w:rsidRPr="00F25A12" w:rsidRDefault="002870AE" w:rsidP="000A51F8">
                          <w:pPr>
                            <w:pStyle w:val="IncyteTitle2"/>
                            <w:jc w:val="center"/>
                            <w:rPr>
                              <w:lang w:val="pt-PT"/>
                            </w:rPr>
                          </w:pPr>
                          <w:r>
                            <w:rPr>
                              <w:sz w:val="40"/>
                              <w:szCs w:val="40"/>
                              <w:lang w:val="pt-PT"/>
                            </w:rPr>
                            <w:t>Consulta Pública</w:t>
                          </w:r>
                          <w:r w:rsidRPr="00F25A12">
                            <w:rPr>
                              <w:sz w:val="40"/>
                              <w:szCs w:val="40"/>
                              <w:lang w:val="pt-PT"/>
                            </w:rPr>
                            <w:t xml:space="preserve"> para a Autoridade Reguladora Nacional das Tecnologias de Informação e Comunicação da Guiné Bissau</w:t>
                          </w:r>
                        </w:p>
                      </w:sdtContent>
                    </w:sdt>
                  </w:txbxContent>
                </v:textbox>
                <w10:wrap anchorx="page" anchory="page"/>
              </v:rect>
            </w:pict>
          </mc:Fallback>
        </mc:AlternateContent>
      </w:r>
    </w:p>
    <w:p w14:paraId="5123C901" w14:textId="1431F270" w:rsidR="00EC07A1" w:rsidRPr="002870AE" w:rsidRDefault="00EC07A1" w:rsidP="002870AE">
      <w:pPr>
        <w:jc w:val="both"/>
        <w:rPr>
          <w:rFonts w:ascii="Times New Roman" w:hAnsi="Times New Roman" w:cs="Times New Roman"/>
          <w:sz w:val="24"/>
          <w:szCs w:val="24"/>
        </w:rPr>
      </w:pPr>
    </w:p>
    <w:p w14:paraId="64E30833" w14:textId="77777777" w:rsidR="00EC07A1" w:rsidRPr="002870AE" w:rsidRDefault="00EC07A1" w:rsidP="002870AE">
      <w:pPr>
        <w:jc w:val="both"/>
        <w:rPr>
          <w:rFonts w:ascii="Times New Roman" w:hAnsi="Times New Roman" w:cs="Times New Roman"/>
          <w:sz w:val="24"/>
          <w:szCs w:val="24"/>
        </w:rPr>
      </w:pPr>
    </w:p>
    <w:p w14:paraId="74BE6863" w14:textId="09B9B824" w:rsidR="00EC07A1" w:rsidRPr="002870AE" w:rsidRDefault="00300EC0" w:rsidP="002870AE">
      <w:pPr>
        <w:jc w:val="both"/>
        <w:rPr>
          <w:rFonts w:ascii="Times New Roman" w:hAnsi="Times New Roman" w:cs="Times New Roman"/>
          <w:sz w:val="24"/>
          <w:szCs w:val="24"/>
        </w:rPr>
      </w:pPr>
      <w:r w:rsidRPr="002870AE">
        <w:rPr>
          <w:rFonts w:ascii="Times New Roman" w:hAnsi="Times New Roman" w:cs="Times New Roman"/>
          <w:noProof/>
          <w:sz w:val="24"/>
          <w:szCs w:val="24"/>
          <w:lang w:eastAsia="en-US"/>
        </w:rPr>
        <mc:AlternateContent>
          <mc:Choice Requires="wps">
            <w:drawing>
              <wp:anchor distT="0" distB="0" distL="114300" distR="114300" simplePos="0" relativeHeight="251740160" behindDoc="0" locked="0" layoutInCell="1" allowOverlap="1" wp14:anchorId="3736A674" wp14:editId="469C87CF">
                <wp:simplePos x="0" y="0"/>
                <wp:positionH relativeFrom="page">
                  <wp:posOffset>-101600</wp:posOffset>
                </wp:positionH>
                <wp:positionV relativeFrom="page">
                  <wp:posOffset>5943600</wp:posOffset>
                </wp:positionV>
                <wp:extent cx="7793990" cy="19685"/>
                <wp:effectExtent l="25400" t="25400" r="3810" b="31115"/>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3990" cy="19685"/>
                        </a:xfrm>
                        <a:prstGeom prst="straightConnector1">
                          <a:avLst/>
                        </a:prstGeom>
                        <a:noFill/>
                        <a:ln w="50800">
                          <a:solidFill>
                            <a:schemeClr val="accent3"/>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7676F" id="_x0000_t32" coordsize="21600,21600" o:spt="32" o:oned="t" path="m,l21600,21600e" filled="f">
                <v:path arrowok="t" fillok="f" o:connecttype="none"/>
                <o:lock v:ext="edit" shapetype="t"/>
              </v:shapetype>
              <v:shape id="AutoShape 41" o:spid="_x0000_s1026" type="#_x0000_t32" style="position:absolute;margin-left:-8pt;margin-top:468pt;width:613.7pt;height:1.55pt;flip:y;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aR3AEAAJADAAAOAAAAZHJzL2Uyb0RvYy54bWysU01v2zAMvQ/YfxB0X+y0TZsYcYohXXfp&#10;1gBtd2ck2RYmi4KkxMm/HyWn2brdil0EieR7fPzQ8vbQG7ZXPmi0NZ9OSs6UFSi1bWv+8nz/ac5Z&#10;iGAlGLSq5kcV+O3q44fl4Cp1gR0aqTwjEhuqwdW8i9FVRRFEp3oIE3TKkrNB30Okp28L6WEg9t4U&#10;F2V5XQzopfMoVAhkvRudfJX5m0aJ+Ng0QUVmak7aYj59PrfpLFZLqFoPrtPiJAPeoaIHbSnpmeoO&#10;IrCd1/9Q9Vp4DNjEicC+wKbRQuUaqJpp+Vc1Tx04lWuh5gR3blP4f7Ti+37jmZY1v5pxZqGnGX3e&#10;Rcyp2dU0NWhwoaK4td34VKI42Cf3gOJnYBbXHdhW5ejnoyNwRhRvIOkRHKXZDt9QUgxQgtytQ+N7&#10;1hjtfiRgIqeOsEMez/E8HnWITJDx5mZxuVjQFAX5povr+SypK6BKNAnsfIhfFfYsXWoeogfddnGN&#10;1tIioB9TwP4hxBH4Ckhgi/famLwPxrKh5rNyXpZZVECjZfKmuLyaam082wMtFQihbLw8KXkT6XFn&#10;ZSbsFMgvp3sEbcY7KTeWCnjtz9jpLcrjxid9yU5jzyWeVjTt1Z/vHPX7I61+AQAA//8DAFBLAwQU&#10;AAYACAAAACEA9qnrm94AAAAMAQAADwAAAGRycy9kb3ducmV2LnhtbEyPwU7DMBBE70j8g7WVuLWO&#10;26pqQ5wKISGBOLVFnN14iaPa62C7Tfh7nBPcdndGs2+q/egsu2GInScJYlEAQ2q87qiV8HF6mW+B&#10;xaRIK+sJJfxghH19f1epUvuBDng7ppblEIqlkmBS6kvOY2PQqbjwPVLWvnxwKuU1tFwHNeRwZ/my&#10;KDbcqY7yB6N6fDbYXI5XJ2GnD80nGb0OK/76/r219u00CCkfZuPTI7CEY/ozw4Sf0aHOTGd/JR2Z&#10;lTAXm9wl5bDVNEyOpRBrYOfptBPA64r/L1H/AgAA//8DAFBLAQItABQABgAIAAAAIQC2gziS/gAA&#10;AOEBAAATAAAAAAAAAAAAAAAAAAAAAABbQ29udGVudF9UeXBlc10ueG1sUEsBAi0AFAAGAAgAAAAh&#10;ADj9If/WAAAAlAEAAAsAAAAAAAAAAAAAAAAALwEAAF9yZWxzLy5yZWxzUEsBAi0AFAAGAAgAAAAh&#10;AMmjtpHcAQAAkAMAAA4AAAAAAAAAAAAAAAAALgIAAGRycy9lMm9Eb2MueG1sUEsBAi0AFAAGAAgA&#10;AAAhAPap65veAAAADAEAAA8AAAAAAAAAAAAAAAAANgQAAGRycy9kb3ducmV2LnhtbFBLBQYAAAAA&#10;BAAEAPMAAABBBQAAAAA=&#10;" strokecolor="#ef3c39 [3206]" strokeweight="4pt">
                <w10:wrap anchorx="page" anchory="page"/>
              </v:shape>
            </w:pict>
          </mc:Fallback>
        </mc:AlternateContent>
      </w:r>
    </w:p>
    <w:p w14:paraId="47B79254" w14:textId="77777777" w:rsidR="00EC07A1" w:rsidRPr="002870AE" w:rsidRDefault="00EC07A1" w:rsidP="002870AE">
      <w:pPr>
        <w:jc w:val="both"/>
        <w:rPr>
          <w:rFonts w:ascii="Times New Roman" w:hAnsi="Times New Roman" w:cs="Times New Roman"/>
          <w:sz w:val="24"/>
          <w:szCs w:val="24"/>
        </w:rPr>
      </w:pPr>
    </w:p>
    <w:p w14:paraId="68757DCD" w14:textId="77777777" w:rsidR="00EC07A1" w:rsidRPr="002870AE" w:rsidRDefault="00EC07A1" w:rsidP="002870AE">
      <w:pPr>
        <w:jc w:val="both"/>
        <w:rPr>
          <w:rFonts w:ascii="Times New Roman" w:hAnsi="Times New Roman" w:cs="Times New Roman"/>
          <w:sz w:val="24"/>
          <w:szCs w:val="24"/>
        </w:rPr>
      </w:pPr>
    </w:p>
    <w:p w14:paraId="7E6800C7" w14:textId="77777777" w:rsidR="00EC07A1" w:rsidRPr="002870AE" w:rsidRDefault="00EC07A1" w:rsidP="002870AE">
      <w:pPr>
        <w:jc w:val="both"/>
        <w:rPr>
          <w:rFonts w:ascii="Times New Roman" w:hAnsi="Times New Roman" w:cs="Times New Roman"/>
          <w:sz w:val="24"/>
          <w:szCs w:val="24"/>
        </w:rPr>
      </w:pPr>
    </w:p>
    <w:p w14:paraId="76F2D44A" w14:textId="77777777" w:rsidR="00EC07A1" w:rsidRPr="002870AE" w:rsidRDefault="00EC07A1" w:rsidP="002870AE">
      <w:pPr>
        <w:jc w:val="both"/>
        <w:rPr>
          <w:rFonts w:ascii="Times New Roman" w:hAnsi="Times New Roman" w:cs="Times New Roman"/>
          <w:sz w:val="24"/>
          <w:szCs w:val="24"/>
        </w:rPr>
      </w:pPr>
    </w:p>
    <w:p w14:paraId="5CC720C7" w14:textId="77777777" w:rsidR="00EC07A1" w:rsidRPr="002870AE" w:rsidRDefault="00EC07A1" w:rsidP="002870AE">
      <w:pPr>
        <w:jc w:val="both"/>
        <w:rPr>
          <w:rFonts w:ascii="Times New Roman" w:hAnsi="Times New Roman" w:cs="Times New Roman"/>
          <w:sz w:val="24"/>
          <w:szCs w:val="24"/>
        </w:rPr>
      </w:pPr>
    </w:p>
    <w:p w14:paraId="5E4162E9" w14:textId="77777777" w:rsidR="00EC07A1" w:rsidRPr="002870AE" w:rsidRDefault="00EC07A1" w:rsidP="002870AE">
      <w:pPr>
        <w:jc w:val="both"/>
        <w:rPr>
          <w:rFonts w:ascii="Times New Roman" w:hAnsi="Times New Roman" w:cs="Times New Roman"/>
          <w:sz w:val="24"/>
          <w:szCs w:val="24"/>
        </w:rPr>
      </w:pPr>
    </w:p>
    <w:p w14:paraId="0D7C5EB6" w14:textId="77777777" w:rsidR="00EC07A1" w:rsidRPr="002870AE" w:rsidRDefault="00300EC0" w:rsidP="002870AE">
      <w:pPr>
        <w:jc w:val="both"/>
        <w:rPr>
          <w:rFonts w:ascii="Times New Roman" w:hAnsi="Times New Roman" w:cs="Times New Roman"/>
          <w:sz w:val="24"/>
          <w:szCs w:val="24"/>
        </w:rPr>
      </w:pPr>
      <w:r w:rsidRPr="002870AE">
        <w:rPr>
          <w:rFonts w:ascii="Times New Roman" w:hAnsi="Times New Roman" w:cs="Times New Roman"/>
          <w:noProof/>
          <w:sz w:val="24"/>
          <w:szCs w:val="24"/>
          <w:lang w:eastAsia="en-US"/>
        </w:rPr>
        <mc:AlternateContent>
          <mc:Choice Requires="wps">
            <w:drawing>
              <wp:anchor distT="0" distB="0" distL="114300" distR="114300" simplePos="0" relativeHeight="251739136" behindDoc="0" locked="0" layoutInCell="1" allowOverlap="1" wp14:anchorId="7E12D79A" wp14:editId="7B8319F2">
                <wp:simplePos x="0" y="0"/>
                <wp:positionH relativeFrom="page">
                  <wp:posOffset>4533900</wp:posOffset>
                </wp:positionH>
                <wp:positionV relativeFrom="page">
                  <wp:posOffset>7772400</wp:posOffset>
                </wp:positionV>
                <wp:extent cx="2796540" cy="6858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796540" cy="685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AC266" w14:textId="77777777" w:rsidR="002870AE" w:rsidRPr="00F25A12" w:rsidRDefault="002870AE" w:rsidP="00A075CB">
                            <w:pPr>
                              <w:rPr>
                                <w:lang w:val="pt-PT"/>
                              </w:rPr>
                            </w:pPr>
                          </w:p>
                          <w:p w14:paraId="5780A702" w14:textId="5D5FDB94" w:rsidR="002870AE" w:rsidRPr="00F25A12" w:rsidRDefault="000A51F8" w:rsidP="00912CE5">
                            <w:pPr>
                              <w:pStyle w:val="IncyteTitle3"/>
                              <w:rPr>
                                <w:lang w:val="pt-PT"/>
                              </w:rPr>
                            </w:pPr>
                            <w:r>
                              <w:rPr>
                                <w:lang w:val="pt-PT"/>
                              </w:rPr>
                              <w:t>20</w:t>
                            </w:r>
                            <w:r w:rsidR="002870AE">
                              <w:rPr>
                                <w:lang w:val="pt-PT"/>
                              </w:rPr>
                              <w:t xml:space="preserve"> de outubro</w:t>
                            </w:r>
                            <w:r w:rsidR="002870AE" w:rsidRPr="00F25A12">
                              <w:rPr>
                                <w:lang w:val="pt-PT"/>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12D79A" id="_x0000_t202" coordsize="21600,21600" o:spt="202" path="m,l,21600r21600,l21600,xe">
                <v:stroke joinstyle="miter"/>
                <v:path gradientshapeok="t" o:connecttype="rect"/>
              </v:shapetype>
              <v:shape id="Text Box 65" o:spid="_x0000_s1028" type="#_x0000_t202" style="position:absolute;left:0;text-align:left;margin-left:357pt;margin-top:612pt;width:220.2pt;height:54pt;z-index:2517391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oTegIAAGIFAAAOAAAAZHJzL2Uyb0RvYy54bWysVFFPGzEMfp+0/xDlfVxb0QIVV9SBmCYh&#10;QMDEc5pL6GlJnCVu77pfPyd3Vzq2F6a93Dn2Z8f+bOf8orWGbVWINbiSj49GnCknoardS8m/PV1/&#10;OuUsonCVMOBUyXcq8ovFxw/njZ+rCazBVCowCuLivPElXyP6eVFEuVZWxCPwypFRQ7AC6RheiiqI&#10;hqJbU0xGo1nRQKh8AKliJO1VZ+SLHF9rJfFO66iQmZJTbpi/IX9X6VsszsX8JQi/rmWfhviHLKyo&#10;HV26D3UlULBNqP8IZWsZIILGIwm2AK1rqXINVM149Kaax7XwKtdC5ES/pyn+v7DydnsfWF2VfDbl&#10;zAlLPXpSLbLP0DJSET+Nj3OCPXoCYkt66vOgj6RMZbc62PSnghjZiendnt0UTZJycnI2mx6TSZJt&#10;djo9HWX6i1dvHyJ+UWBZEkoeqHuZVLG9iUiZEHSApMscXNfG5A4a95uCgJ1G5RHovVMhXcJZwp1R&#10;ycu4B6WJgpx3UuThU5cmsK2gsRFSKoe55ByX0Aml6e73OPb45Npl9R7nvUe+GRzunW3tIGSW3qRd&#10;fR9S1h2e+DuoO4nYrtrc+8nQzxVUO2pzgG5RopfXNfXiRkS8F4E2g9pH24539NEGmpJDL3G2hvDz&#10;b/qEp4ElK2cNbVrJ44+NCIoz89XRKJ+Nj9NUYD4cT08mdAiHltWhxW3sJVBXxvSueJnFhEcziDqA&#10;faZHYZluJZNwku4uOQ7iJXb7T4+KVMtlBtEyeoE37tHLFDqxnCbtqX0WwffjiDTItzDspJi/mcoO&#10;mzwdLDcIus4jm3juWO35p0XOk9w/OumlODxn1OvTuPgFAAD//wMAUEsDBBQABgAIAAAAIQAZu0XA&#10;3wAAAA4BAAAPAAAAZHJzL2Rvd25yZXYueG1sTI/BTsMwEETvSPyDtUjcqJ00pRDiVAjEFdRCkbi5&#10;8TaJiNdR7Dbh79mc4DarGc2+KTaT68QZh9B60pAsFAikytuWag0f7y83dyBCNGRN5wk1/GCATXl5&#10;UZjc+pG2eN7FWnAJhdxoaGLscylD1aAzYeF7JPaOfnAm8jnU0g5m5HLXyVSpW+lMS/yhMT0+NVh9&#10;705Ow/71+PWZqbf62a360U9KkruXWl9fTY8PICJO8S8MMz6jQ8lMB38iG0SnYZ1kvCWykaazmiPJ&#10;KstAHFgtl6kCWRby/4zyFwAA//8DAFBLAQItABQABgAIAAAAIQC2gziS/gAAAOEBAAATAAAAAAAA&#10;AAAAAAAAAAAAAABbQ29udGVudF9UeXBlc10ueG1sUEsBAi0AFAAGAAgAAAAhADj9If/WAAAAlAEA&#10;AAsAAAAAAAAAAAAAAAAALwEAAF9yZWxzLy5yZWxzUEsBAi0AFAAGAAgAAAAhAJhpKhN6AgAAYgUA&#10;AA4AAAAAAAAAAAAAAAAALgIAAGRycy9lMm9Eb2MueG1sUEsBAi0AFAAGAAgAAAAhABm7RcDfAAAA&#10;DgEAAA8AAAAAAAAAAAAAAAAA1AQAAGRycy9kb3ducmV2LnhtbFBLBQYAAAAABAAEAPMAAADgBQAA&#10;AAA=&#10;" filled="f" stroked="f">
                <v:textbox>
                  <w:txbxContent>
                    <w:p w14:paraId="437AC266" w14:textId="77777777" w:rsidR="002870AE" w:rsidRPr="00F25A12" w:rsidRDefault="002870AE" w:rsidP="00A075CB">
                      <w:pPr>
                        <w:rPr>
                          <w:lang w:val="pt-PT"/>
                        </w:rPr>
                      </w:pPr>
                    </w:p>
                    <w:p w14:paraId="5780A702" w14:textId="5D5FDB94" w:rsidR="002870AE" w:rsidRPr="00F25A12" w:rsidRDefault="000A51F8" w:rsidP="00912CE5">
                      <w:pPr>
                        <w:pStyle w:val="IncyteTitle3"/>
                        <w:rPr>
                          <w:lang w:val="pt-PT"/>
                        </w:rPr>
                      </w:pPr>
                      <w:r>
                        <w:rPr>
                          <w:lang w:val="pt-PT"/>
                        </w:rPr>
                        <w:t>20</w:t>
                      </w:r>
                      <w:r w:rsidR="002870AE">
                        <w:rPr>
                          <w:lang w:val="pt-PT"/>
                        </w:rPr>
                        <w:t xml:space="preserve"> de outubro</w:t>
                      </w:r>
                      <w:r w:rsidR="002870AE" w:rsidRPr="00F25A12">
                        <w:rPr>
                          <w:lang w:val="pt-PT"/>
                        </w:rPr>
                        <w:t xml:space="preserve"> 2020</w:t>
                      </w:r>
                    </w:p>
                  </w:txbxContent>
                </v:textbox>
                <w10:wrap type="square" anchorx="page" anchory="page"/>
              </v:shape>
            </w:pict>
          </mc:Fallback>
        </mc:AlternateContent>
      </w:r>
    </w:p>
    <w:p w14:paraId="774A2C54" w14:textId="77777777" w:rsidR="00EC07A1" w:rsidRPr="002870AE" w:rsidRDefault="00EC07A1" w:rsidP="002870AE">
      <w:pPr>
        <w:jc w:val="both"/>
        <w:rPr>
          <w:rFonts w:ascii="Times New Roman" w:hAnsi="Times New Roman" w:cs="Times New Roman"/>
          <w:sz w:val="24"/>
          <w:szCs w:val="24"/>
        </w:rPr>
      </w:pPr>
    </w:p>
    <w:p w14:paraId="739385E7" w14:textId="77777777" w:rsidR="00EC07A1" w:rsidRPr="002870AE" w:rsidRDefault="00EC07A1" w:rsidP="002870AE">
      <w:pPr>
        <w:jc w:val="both"/>
        <w:rPr>
          <w:rFonts w:ascii="Times New Roman" w:hAnsi="Times New Roman" w:cs="Times New Roman"/>
          <w:sz w:val="24"/>
          <w:szCs w:val="24"/>
        </w:rPr>
      </w:pPr>
    </w:p>
    <w:p w14:paraId="7D84E4A0" w14:textId="77777777" w:rsidR="00EC07A1" w:rsidRPr="002870AE" w:rsidRDefault="00EC07A1" w:rsidP="002870AE">
      <w:pPr>
        <w:jc w:val="both"/>
        <w:rPr>
          <w:rFonts w:ascii="Times New Roman" w:hAnsi="Times New Roman" w:cs="Times New Roman"/>
          <w:sz w:val="24"/>
          <w:szCs w:val="24"/>
        </w:rPr>
      </w:pPr>
    </w:p>
    <w:p w14:paraId="6E43DC1D" w14:textId="77777777" w:rsidR="00EC07A1" w:rsidRPr="002870AE" w:rsidRDefault="00EC07A1" w:rsidP="002870AE">
      <w:pPr>
        <w:jc w:val="both"/>
        <w:rPr>
          <w:rFonts w:ascii="Times New Roman" w:hAnsi="Times New Roman" w:cs="Times New Roman"/>
          <w:sz w:val="24"/>
          <w:szCs w:val="24"/>
        </w:rPr>
      </w:pPr>
    </w:p>
    <w:p w14:paraId="3C602678" w14:textId="63230E1F" w:rsidR="007C6960" w:rsidRPr="002870AE" w:rsidRDefault="00351041" w:rsidP="002870AE">
      <w:pPr>
        <w:tabs>
          <w:tab w:val="left" w:pos="3027"/>
        </w:tabs>
        <w:jc w:val="both"/>
        <w:rPr>
          <w:rFonts w:ascii="Times New Roman" w:hAnsi="Times New Roman" w:cs="Times New Roman"/>
          <w:sz w:val="24"/>
          <w:szCs w:val="24"/>
        </w:rPr>
      </w:pPr>
      <w:r w:rsidRPr="002870AE">
        <w:rPr>
          <w:rFonts w:ascii="Times New Roman" w:hAnsi="Times New Roman" w:cs="Times New Roman"/>
          <w:noProof/>
          <w:sz w:val="24"/>
          <w:szCs w:val="24"/>
          <w:lang w:eastAsia="en-US"/>
        </w:rPr>
        <mc:AlternateContent>
          <mc:Choice Requires="wps">
            <w:drawing>
              <wp:anchor distT="36576" distB="36576" distL="36576" distR="36576" simplePos="0" relativeHeight="251737088" behindDoc="0" locked="0" layoutInCell="1" allowOverlap="1" wp14:anchorId="01A07218" wp14:editId="57497015">
                <wp:simplePos x="0" y="0"/>
                <wp:positionH relativeFrom="page">
                  <wp:posOffset>504521</wp:posOffset>
                </wp:positionH>
                <wp:positionV relativeFrom="page">
                  <wp:posOffset>9474725</wp:posOffset>
                </wp:positionV>
                <wp:extent cx="6282690" cy="457200"/>
                <wp:effectExtent l="0" t="0" r="0" b="0"/>
                <wp:wrapThrough wrapText="bothSides">
                  <wp:wrapPolygon edited="0">
                    <wp:start x="0" y="0"/>
                    <wp:lineTo x="0" y="20400"/>
                    <wp:lineTo x="21482" y="20400"/>
                    <wp:lineTo x="21482"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4572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Lst>
                      </wps:spPr>
                      <wps:txbx>
                        <w:txbxContent>
                          <w:p w14:paraId="2CA1A4EA" w14:textId="77777777" w:rsidR="002870AE" w:rsidRPr="00351041" w:rsidRDefault="002870AE" w:rsidP="00A075CB">
                            <w:pPr>
                              <w:jc w:val="center"/>
                              <w:rPr>
                                <w:b/>
                                <w:bCs/>
                                <w:color w:val="456E7F" w:themeColor="accent2" w:themeShade="BF"/>
                                <w:w w:val="90"/>
                              </w:rPr>
                            </w:pPr>
                            <w:r w:rsidRPr="00351041">
                              <w:rPr>
                                <w:b/>
                                <w:bCs/>
                                <w:color w:val="456E7F" w:themeColor="accent2" w:themeShade="BF"/>
                                <w:w w:val="90"/>
                              </w:rPr>
                              <w:t>WWW.INCYTECONSULTING.COM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7218" id="Text Box 48" o:spid="_x0000_s1029" type="#_x0000_t202" style="position:absolute;left:0;text-align:left;margin-left:39.75pt;margin-top:746.05pt;width:494.7pt;height:36pt;z-index:251737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bw8gEAAM8DAAAOAAAAZHJzL2Uyb0RvYy54bWysU9tu2zAMfR+wfxD0vjhJW7cz4hRdiw4D&#10;ugvQ7gMYWbaF2aJGKbGzrx8lJ1m2vQ17EcSLDg8PqdXt2Hdip8kbtKVczOZSaKuwMrYp5deXxzc3&#10;UvgAtoIOrS7lXnt5u379ajW4Qi+xxa7SJBjE+mJwpWxDcEWWedXqHvwMnbYcrJF6CGxSk1UEA6P3&#10;Xbacz/NsQKocodLes/dhCsp1wq9rrcLnuvY6iK6UzC2kk9K5iWe2XkHRELjWqAMN+AcWPRjLRU9Q&#10;DxBAbMn8BdUbReixDjOFfYZ1bZROPXA3i/kf3Ty34HTqhcXx7iST/3+w6tPuCwlTlfKSJ2Wh5xm9&#10;6DGIdzgKdrE+g/MFpz07Tgwj+3nOqVfvnlB988LifQu20XdEOLQaKua3iC+zs6cTjo8gm+EjVlwH&#10;tgET0FhTH8VjOQSj85z2p9lELoqd+fJmmb/lkOLY5dU1Dz+VgOL42pEP7zX2Il5KSTz7hA67Jx8i&#10;GyiOKbGYxUfTdWn+nf3NwYnRk9hHwhP1MG7GJNTFUZQNVntuh3DaKv4FfGmRfkgx8EaV0n/fAmkp&#10;ug+WJbnIr65zXsFzg86NzbkBVjFUKYMU0/U+TGu7dWSalitNQ7B4xzLWJnUY9Z5YHejz1qTGDxse&#10;1/LcTlm//uH6JwAAAP//AwBQSwMEFAAGAAgAAAAhAHo1vXDjAAAADQEAAA8AAABkcnMvZG93bnJl&#10;di54bWxMj8tOwzAQRfdI/IM1SOyok6oNTYhTQaGVEKsWpHbpxiaJsMeR7aaBr2e6gt08ju6cKZej&#10;NWzQPnQOBaSTBJjG2qkOGwEf7+u7BbAQJSppHGoB3zrAsrq+KmWh3Bm3etjFhlEIhkIKaGPsC85D&#10;3Worw8T1Gmn36byVkVrfcOXlmcKt4dMkybiVHdKFVvZ61er6a3eyAvzPy9q8brhtNvvDENXz02r7&#10;1gpxezM+PgCLeox/MFz0SR0qcjq6E6rAjID7fE4kzWf5NAV2IZJskQM7UjXPZinwquT/v6h+AQAA&#10;//8DAFBLAQItABQABgAIAAAAIQC2gziS/gAAAOEBAAATAAAAAAAAAAAAAAAAAAAAAABbQ29udGVu&#10;dF9UeXBlc10ueG1sUEsBAi0AFAAGAAgAAAAhADj9If/WAAAAlAEAAAsAAAAAAAAAAAAAAAAALwEA&#10;AF9yZWxzLy5yZWxzUEsBAi0AFAAGAAgAAAAhAEndJvDyAQAAzwMAAA4AAAAAAAAAAAAAAAAALgIA&#10;AGRycy9lMm9Eb2MueG1sUEsBAi0AFAAGAAgAAAAhAHo1vXDjAAAADQEAAA8AAAAAAAAAAAAAAAAA&#10;TAQAAGRycy9kb3ducmV2LnhtbFBLBQYAAAAABAAEAPMAAABcBQAAAAA=&#10;" filled="f" stroked="f">
                <v:textbox inset="2.88pt,2.88pt,2.88pt,2.88pt">
                  <w:txbxContent>
                    <w:p w14:paraId="2CA1A4EA" w14:textId="77777777" w:rsidR="002870AE" w:rsidRPr="00351041" w:rsidRDefault="002870AE" w:rsidP="00A075CB">
                      <w:pPr>
                        <w:jc w:val="center"/>
                        <w:rPr>
                          <w:b/>
                          <w:bCs/>
                          <w:color w:val="456E7F" w:themeColor="accent2" w:themeShade="BF"/>
                          <w:w w:val="90"/>
                        </w:rPr>
                      </w:pPr>
                      <w:r w:rsidRPr="00351041">
                        <w:rPr>
                          <w:b/>
                          <w:bCs/>
                          <w:color w:val="456E7F" w:themeColor="accent2" w:themeShade="BF"/>
                          <w:w w:val="90"/>
                        </w:rPr>
                        <w:t>WWW.INCYTECONSULTING.COM</w:t>
                      </w:r>
                    </w:p>
                  </w:txbxContent>
                </v:textbox>
                <w10:wrap type="through" anchorx="page" anchory="page"/>
              </v:shape>
            </w:pict>
          </mc:Fallback>
        </mc:AlternateContent>
      </w:r>
      <w:r w:rsidR="00300EC0" w:rsidRPr="002870AE">
        <w:rPr>
          <w:rFonts w:ascii="Times New Roman" w:hAnsi="Times New Roman" w:cs="Times New Roman"/>
          <w:noProof/>
          <w:sz w:val="24"/>
          <w:szCs w:val="24"/>
          <w:lang w:eastAsia="en-US"/>
        </w:rPr>
        <w:drawing>
          <wp:anchor distT="0" distB="0" distL="114300" distR="114300" simplePos="0" relativeHeight="251741184" behindDoc="0" locked="0" layoutInCell="1" allowOverlap="1" wp14:anchorId="2143EFA0" wp14:editId="28AE4617">
            <wp:simplePos x="0" y="0"/>
            <wp:positionH relativeFrom="page">
              <wp:posOffset>0</wp:posOffset>
            </wp:positionH>
            <wp:positionV relativeFrom="page">
              <wp:posOffset>9786620</wp:posOffset>
            </wp:positionV>
            <wp:extent cx="7552055" cy="956945"/>
            <wp:effectExtent l="0" t="0" r="0" b="8255"/>
            <wp:wrapThrough wrapText="bothSides">
              <wp:wrapPolygon edited="0">
                <wp:start x="0" y="0"/>
                <wp:lineTo x="0" y="21213"/>
                <wp:lineTo x="21504" y="21213"/>
                <wp:lineTo x="21504"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2" r="2271"/>
                    <a:stretch/>
                  </pic:blipFill>
                  <pic:spPr bwMode="auto">
                    <a:xfrm>
                      <a:off x="0" y="0"/>
                      <a:ext cx="7552055" cy="95694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C07A1" w:rsidRPr="002870AE">
        <w:rPr>
          <w:rFonts w:ascii="Times New Roman" w:hAnsi="Times New Roman" w:cs="Times New Roman"/>
          <w:sz w:val="24"/>
          <w:szCs w:val="24"/>
        </w:rPr>
        <w:tab/>
      </w:r>
    </w:p>
    <w:p w14:paraId="4FB08CA7" w14:textId="77777777" w:rsidR="00D35370" w:rsidRPr="002870AE" w:rsidRDefault="00D35370" w:rsidP="002870AE">
      <w:pPr>
        <w:pStyle w:val="IncyteTitle3"/>
        <w:jc w:val="both"/>
        <w:rPr>
          <w:rFonts w:ascii="Times New Roman" w:hAnsi="Times New Roman" w:cs="Times New Roman"/>
          <w:sz w:val="24"/>
          <w:szCs w:val="24"/>
        </w:rPr>
        <w:sectPr w:rsidR="00D35370" w:rsidRPr="002870AE" w:rsidSect="00EC07A1">
          <w:footerReference w:type="even" r:id="rId11"/>
          <w:headerReference w:type="first" r:id="rId12"/>
          <w:pgSz w:w="11900" w:h="16840"/>
          <w:pgMar w:top="0" w:right="0" w:bottom="0" w:left="0" w:header="0" w:footer="0" w:gutter="0"/>
          <w:pgNumType w:fmt="lowerRoman" w:start="1"/>
          <w:cols w:space="720"/>
          <w:docGrid w:linePitch="326"/>
        </w:sectPr>
      </w:pPr>
    </w:p>
    <w:p w14:paraId="4310D250" w14:textId="77777777" w:rsidR="0002275F" w:rsidRPr="002870AE" w:rsidRDefault="0002275F" w:rsidP="002870AE">
      <w:pPr>
        <w:pStyle w:val="Cabealhodondice"/>
        <w:jc w:val="both"/>
        <w:rPr>
          <w:rFonts w:ascii="Times New Roman" w:hAnsi="Times New Roman" w:cs="Times New Roman"/>
          <w:sz w:val="24"/>
          <w:szCs w:val="24"/>
        </w:rPr>
      </w:pPr>
    </w:p>
    <w:bookmarkStart w:id="0" w:name="_Toc232076816" w:displacedByCustomXml="next"/>
    <w:bookmarkStart w:id="1" w:name="_Toc284868874" w:displacedByCustomXml="next"/>
    <w:bookmarkStart w:id="2" w:name="_Toc304796210" w:displacedByCustomXml="next"/>
    <w:bookmarkStart w:id="3" w:name="_Toc306041279" w:displacedByCustomXml="next"/>
    <w:bookmarkStart w:id="4" w:name="_Toc312839010" w:displacedByCustomXml="next"/>
    <w:sdt>
      <w:sdtPr>
        <w:rPr>
          <w:rFonts w:ascii="Times New Roman" w:hAnsi="Times New Roman" w:cs="Times New Roman"/>
          <w:b w:val="0"/>
          <w:color w:val="auto"/>
          <w:sz w:val="24"/>
          <w:szCs w:val="24"/>
        </w:rPr>
        <w:id w:val="-1988388712"/>
        <w:docPartObj>
          <w:docPartGallery w:val="Table of Contents"/>
          <w:docPartUnique/>
        </w:docPartObj>
      </w:sdtPr>
      <w:sdtEndPr>
        <w:rPr>
          <w:noProof/>
        </w:rPr>
      </w:sdtEndPr>
      <w:sdtContent>
        <w:p w14:paraId="622CE720" w14:textId="5CE7235C" w:rsidR="00995ABD" w:rsidRPr="002870AE" w:rsidRDefault="00351041" w:rsidP="002870AE">
          <w:pPr>
            <w:pStyle w:val="Cabealhodondice"/>
            <w:jc w:val="both"/>
            <w:rPr>
              <w:rFonts w:ascii="Times New Roman" w:hAnsi="Times New Roman" w:cs="Times New Roman"/>
              <w:color w:val="auto"/>
              <w:sz w:val="24"/>
              <w:szCs w:val="24"/>
              <w:lang w:val="pt-PT"/>
            </w:rPr>
          </w:pPr>
          <w:r w:rsidRPr="002870AE">
            <w:rPr>
              <w:rFonts w:ascii="Times New Roman" w:hAnsi="Times New Roman" w:cs="Times New Roman"/>
              <w:sz w:val="24"/>
              <w:szCs w:val="24"/>
              <w:lang w:val="pt-PT"/>
            </w:rPr>
            <w:t>Índice</w:t>
          </w:r>
        </w:p>
        <w:p w14:paraId="73680952" w14:textId="5455E83F" w:rsidR="00ED2289" w:rsidRPr="002870AE" w:rsidRDefault="008E4A71"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TOC \o "1-3" </w:instrText>
          </w:r>
          <w:r w:rsidRPr="002870AE">
            <w:rPr>
              <w:rFonts w:ascii="Times New Roman" w:hAnsi="Times New Roman" w:cs="Times New Roman"/>
              <w:sz w:val="24"/>
            </w:rPr>
            <w:fldChar w:fldCharType="separate"/>
          </w:r>
          <w:r w:rsidR="00ED2289" w:rsidRPr="002870AE">
            <w:rPr>
              <w:rFonts w:ascii="Times New Roman" w:hAnsi="Times New Roman" w:cs="Times New Roman"/>
              <w:sz w:val="24"/>
              <w:lang w:val="pt-PT"/>
            </w:rPr>
            <w:t>1</w:t>
          </w:r>
          <w:r w:rsidR="00ED2289"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I</w:t>
          </w:r>
          <w:r w:rsidR="00ED2289" w:rsidRPr="002870AE">
            <w:rPr>
              <w:rFonts w:ascii="Times New Roman" w:hAnsi="Times New Roman" w:cs="Times New Roman"/>
              <w:sz w:val="24"/>
              <w:lang w:val="pt-PT"/>
            </w:rPr>
            <w:t>ntrodução</w:t>
          </w:r>
          <w:r w:rsidR="00ED2289" w:rsidRPr="002870AE">
            <w:rPr>
              <w:rFonts w:ascii="Times New Roman" w:hAnsi="Times New Roman" w:cs="Times New Roman"/>
              <w:sz w:val="24"/>
              <w:lang w:val="pt-PT"/>
            </w:rPr>
            <w:tab/>
          </w:r>
          <w:r w:rsidR="00ED2289" w:rsidRPr="002870AE">
            <w:rPr>
              <w:rFonts w:ascii="Times New Roman" w:hAnsi="Times New Roman" w:cs="Times New Roman"/>
              <w:sz w:val="24"/>
            </w:rPr>
            <w:fldChar w:fldCharType="begin"/>
          </w:r>
          <w:r w:rsidR="00ED2289" w:rsidRPr="002870AE">
            <w:rPr>
              <w:rFonts w:ascii="Times New Roman" w:hAnsi="Times New Roman" w:cs="Times New Roman"/>
              <w:sz w:val="24"/>
              <w:lang w:val="pt-PT"/>
            </w:rPr>
            <w:instrText xml:space="preserve"> PAGEREF _Toc52034794 \h </w:instrText>
          </w:r>
          <w:r w:rsidR="00ED2289" w:rsidRPr="002870AE">
            <w:rPr>
              <w:rFonts w:ascii="Times New Roman" w:hAnsi="Times New Roman" w:cs="Times New Roman"/>
              <w:sz w:val="24"/>
            </w:rPr>
          </w:r>
          <w:r w:rsidR="00ED2289" w:rsidRPr="002870AE">
            <w:rPr>
              <w:rFonts w:ascii="Times New Roman" w:hAnsi="Times New Roman" w:cs="Times New Roman"/>
              <w:sz w:val="24"/>
            </w:rPr>
            <w:fldChar w:fldCharType="separate"/>
          </w:r>
          <w:r w:rsidR="009D07DA">
            <w:rPr>
              <w:rFonts w:ascii="Times New Roman" w:hAnsi="Times New Roman" w:cs="Times New Roman"/>
              <w:sz w:val="24"/>
              <w:lang w:val="pt-PT"/>
            </w:rPr>
            <w:t>3</w:t>
          </w:r>
          <w:r w:rsidR="00ED2289" w:rsidRPr="002870AE">
            <w:rPr>
              <w:rFonts w:ascii="Times New Roman" w:hAnsi="Times New Roman" w:cs="Times New Roman"/>
              <w:sz w:val="24"/>
            </w:rPr>
            <w:fldChar w:fldCharType="end"/>
          </w:r>
        </w:p>
        <w:p w14:paraId="793A93A2" w14:textId="7BCDC8B0"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2</w:t>
          </w:r>
          <w:r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Q</w:t>
          </w:r>
          <w:r w:rsidRPr="002870AE">
            <w:rPr>
              <w:rFonts w:ascii="Times New Roman" w:hAnsi="Times New Roman" w:cs="Times New Roman"/>
              <w:sz w:val="24"/>
              <w:lang w:val="pt-PT"/>
            </w:rPr>
            <w:t>uestões</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_Toc52034795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4</w:t>
          </w:r>
          <w:r w:rsidRPr="002870AE">
            <w:rPr>
              <w:rFonts w:ascii="Times New Roman" w:hAnsi="Times New Roman" w:cs="Times New Roman"/>
              <w:sz w:val="24"/>
            </w:rPr>
            <w:fldChar w:fldCharType="end"/>
          </w:r>
        </w:p>
        <w:p w14:paraId="573EB000" w14:textId="2ACB93F7"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3</w:t>
          </w:r>
          <w:r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E</w:t>
          </w:r>
          <w:r w:rsidRPr="002870AE">
            <w:rPr>
              <w:rFonts w:ascii="Times New Roman" w:hAnsi="Times New Roman" w:cs="Times New Roman"/>
              <w:sz w:val="24"/>
              <w:lang w:val="pt-PT"/>
            </w:rPr>
            <w:t>nquadramento regulamentar</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_Toc52034796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5</w:t>
          </w:r>
          <w:r w:rsidRPr="002870AE">
            <w:rPr>
              <w:rFonts w:ascii="Times New Roman" w:hAnsi="Times New Roman" w:cs="Times New Roman"/>
              <w:sz w:val="24"/>
            </w:rPr>
            <w:fldChar w:fldCharType="end"/>
          </w:r>
        </w:p>
        <w:p w14:paraId="1AF2DD79" w14:textId="70833F39"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4</w:t>
          </w:r>
          <w:r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A</w:t>
          </w:r>
          <w:r w:rsidRPr="002870AE">
            <w:rPr>
              <w:rFonts w:ascii="Times New Roman" w:hAnsi="Times New Roman" w:cs="Times New Roman"/>
              <w:sz w:val="24"/>
              <w:lang w:val="pt-PT"/>
            </w:rPr>
            <w:t>nálise de mercados</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_Toc52034797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7</w:t>
          </w:r>
          <w:r w:rsidRPr="002870AE">
            <w:rPr>
              <w:rFonts w:ascii="Times New Roman" w:hAnsi="Times New Roman" w:cs="Times New Roman"/>
              <w:sz w:val="24"/>
            </w:rPr>
            <w:fldChar w:fldCharType="end"/>
          </w:r>
        </w:p>
        <w:p w14:paraId="72272CE4" w14:textId="61A9B9D7"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4.1</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Metodologia de análise de mercados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_Toc52034798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7</w:t>
          </w:r>
          <w:r w:rsidRPr="002870AE">
            <w:rPr>
              <w:rFonts w:ascii="Times New Roman" w:hAnsi="Times New Roman" w:cs="Times New Roman"/>
              <w:sz w:val="24"/>
              <w:szCs w:val="24"/>
            </w:rPr>
            <w:fldChar w:fldCharType="end"/>
          </w:r>
        </w:p>
        <w:p w14:paraId="63F22109" w14:textId="323D51ED"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5</w:t>
          </w:r>
          <w:r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D</w:t>
          </w:r>
          <w:r w:rsidRPr="002870AE">
            <w:rPr>
              <w:rFonts w:ascii="Times New Roman" w:hAnsi="Times New Roman" w:cs="Times New Roman"/>
              <w:sz w:val="24"/>
              <w:lang w:val="pt-PT"/>
            </w:rPr>
            <w:t>efinição do âmbito dos mercados</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_Toc52034799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12</w:t>
          </w:r>
          <w:r w:rsidRPr="002870AE">
            <w:rPr>
              <w:rFonts w:ascii="Times New Roman" w:hAnsi="Times New Roman" w:cs="Times New Roman"/>
              <w:sz w:val="24"/>
            </w:rPr>
            <w:fldChar w:fldCharType="end"/>
          </w:r>
        </w:p>
        <w:p w14:paraId="5AEA39FF" w14:textId="4E00FC30"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5.1</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1 (Retalho): Acesso e serviços móveis de voz e mensagens de texto</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_Toc52034800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13</w:t>
          </w:r>
          <w:r w:rsidRPr="002870AE">
            <w:rPr>
              <w:rFonts w:ascii="Times New Roman" w:hAnsi="Times New Roman" w:cs="Times New Roman"/>
              <w:sz w:val="24"/>
              <w:szCs w:val="24"/>
            </w:rPr>
            <w:fldChar w:fldCharType="end"/>
          </w:r>
        </w:p>
        <w:p w14:paraId="66BFE2C5" w14:textId="6A06B71D"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5.2</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2 (Retalho): Serviços móveis de voz e mensagens de texto internacional</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_Toc52034801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20</w:t>
          </w:r>
          <w:r w:rsidRPr="002870AE">
            <w:rPr>
              <w:rFonts w:ascii="Times New Roman" w:hAnsi="Times New Roman" w:cs="Times New Roman"/>
              <w:sz w:val="24"/>
              <w:szCs w:val="24"/>
            </w:rPr>
            <w:fldChar w:fldCharType="end"/>
          </w:r>
        </w:p>
        <w:p w14:paraId="6A6B986C" w14:textId="40850FBB"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5.3</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3 (Retalho): Serviços móveis de acesso à Internet</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_Toc52034802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21</w:t>
          </w:r>
          <w:r w:rsidRPr="002870AE">
            <w:rPr>
              <w:rFonts w:ascii="Times New Roman" w:hAnsi="Times New Roman" w:cs="Times New Roman"/>
              <w:sz w:val="24"/>
              <w:szCs w:val="24"/>
            </w:rPr>
            <w:fldChar w:fldCharType="end"/>
          </w:r>
        </w:p>
        <w:p w14:paraId="3CC366EA" w14:textId="1D985F66"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5.4</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4 (Retalho): Serviços de acesso à Internet a partir de uma localização fixa</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_Toc52034803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22</w:t>
          </w:r>
          <w:r w:rsidRPr="002870AE">
            <w:rPr>
              <w:rFonts w:ascii="Times New Roman" w:hAnsi="Times New Roman" w:cs="Times New Roman"/>
              <w:sz w:val="24"/>
              <w:szCs w:val="24"/>
            </w:rPr>
            <w:fldChar w:fldCharType="end"/>
          </w:r>
        </w:p>
        <w:p w14:paraId="2F4FE644" w14:textId="3BCEE429"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5.5</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5 (Grossista): Serviços de terminação de voz em redes móveis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_Toc52034804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23</w:t>
          </w:r>
          <w:r w:rsidRPr="002870AE">
            <w:rPr>
              <w:rFonts w:ascii="Times New Roman" w:hAnsi="Times New Roman" w:cs="Times New Roman"/>
              <w:sz w:val="24"/>
              <w:szCs w:val="24"/>
            </w:rPr>
            <w:fldChar w:fldCharType="end"/>
          </w:r>
        </w:p>
        <w:p w14:paraId="27418E94" w14:textId="0FCAE787"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5.6</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6 (Grossista): Serviços de terminação de mensagens de texto em redes móveis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_Toc52034805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24</w:t>
          </w:r>
          <w:r w:rsidRPr="002870AE">
            <w:rPr>
              <w:rFonts w:ascii="Times New Roman" w:hAnsi="Times New Roman" w:cs="Times New Roman"/>
              <w:sz w:val="24"/>
              <w:szCs w:val="24"/>
            </w:rPr>
            <w:fldChar w:fldCharType="end"/>
          </w:r>
        </w:p>
        <w:p w14:paraId="19078F5F" w14:textId="666AC7CC"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5.7</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7 (Grossista): Serviços de terminação de chamadas de voz internacionais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_Toc52034806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25</w:t>
          </w:r>
          <w:r w:rsidRPr="002870AE">
            <w:rPr>
              <w:rFonts w:ascii="Times New Roman" w:hAnsi="Times New Roman" w:cs="Times New Roman"/>
              <w:sz w:val="24"/>
              <w:szCs w:val="24"/>
            </w:rPr>
            <w:fldChar w:fldCharType="end"/>
          </w:r>
        </w:p>
        <w:p w14:paraId="5213ED8D" w14:textId="23C857E2"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5.8</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8 (Grossista): Serviços de acesso e originação a redes móveis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_Toc52034807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26</w:t>
          </w:r>
          <w:r w:rsidRPr="002870AE">
            <w:rPr>
              <w:rFonts w:ascii="Times New Roman" w:hAnsi="Times New Roman" w:cs="Times New Roman"/>
              <w:sz w:val="24"/>
              <w:szCs w:val="24"/>
            </w:rPr>
            <w:fldChar w:fldCharType="end"/>
          </w:r>
        </w:p>
        <w:p w14:paraId="618D2358" w14:textId="4FA7A997"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5.9</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 9 (Grossista): Serviços de aluguer de capacidade internacional</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_Toc52034808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29</w:t>
          </w:r>
          <w:r w:rsidRPr="002870AE">
            <w:rPr>
              <w:rFonts w:ascii="Times New Roman" w:hAnsi="Times New Roman" w:cs="Times New Roman"/>
              <w:sz w:val="24"/>
              <w:szCs w:val="24"/>
            </w:rPr>
            <w:fldChar w:fldCharType="end"/>
          </w:r>
        </w:p>
        <w:p w14:paraId="7E91E119" w14:textId="2580F679"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6</w:t>
          </w:r>
          <w:r w:rsidRPr="002870AE">
            <w:rPr>
              <w:rFonts w:ascii="Times New Roman" w:hAnsi="Times New Roman" w:cs="Times New Roman"/>
              <w:b w:val="0"/>
              <w:bCs w:val="0"/>
              <w:color w:val="auto"/>
              <w:sz w:val="24"/>
              <w:lang w:val="pt-PT" w:eastAsia="pt-PT"/>
            </w:rPr>
            <w:tab/>
          </w:r>
          <w:r w:rsidRPr="002870AE">
            <w:rPr>
              <w:rFonts w:ascii="Times New Roman" w:hAnsi="Times New Roman" w:cs="Times New Roman"/>
              <w:sz w:val="24"/>
              <w:lang w:val="pt-PT"/>
            </w:rPr>
            <w:t>Susceptibilidade do mercado a regulação ex ante: Aplicação de critérios</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_Toc52034809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32</w:t>
          </w:r>
          <w:r w:rsidRPr="002870AE">
            <w:rPr>
              <w:rFonts w:ascii="Times New Roman" w:hAnsi="Times New Roman" w:cs="Times New Roman"/>
              <w:sz w:val="24"/>
            </w:rPr>
            <w:fldChar w:fldCharType="end"/>
          </w:r>
        </w:p>
        <w:p w14:paraId="3D757F22" w14:textId="405FBADA"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6.1</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Critério (a): Barreiras elevadas e não transitórias à entrada no mercado</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_Toc52034810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32</w:t>
          </w:r>
          <w:r w:rsidRPr="002870AE">
            <w:rPr>
              <w:rFonts w:ascii="Times New Roman" w:hAnsi="Times New Roman" w:cs="Times New Roman"/>
              <w:sz w:val="24"/>
              <w:szCs w:val="24"/>
            </w:rPr>
            <w:fldChar w:fldCharType="end"/>
          </w:r>
        </w:p>
        <w:p w14:paraId="5F9B095A" w14:textId="38215957"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6.2</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Critério (b): Nenhuma tendência à concorrência por trás dessas barreiras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_Toc52034811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33</w:t>
          </w:r>
          <w:r w:rsidRPr="002870AE">
            <w:rPr>
              <w:rFonts w:ascii="Times New Roman" w:hAnsi="Times New Roman" w:cs="Times New Roman"/>
              <w:sz w:val="24"/>
              <w:szCs w:val="24"/>
            </w:rPr>
            <w:fldChar w:fldCharType="end"/>
          </w:r>
        </w:p>
        <w:p w14:paraId="59C29EE8" w14:textId="63B0B85C"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6.3</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Aplicação dos critérios aos mercados de retalho identificados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_Toc52034812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33</w:t>
          </w:r>
          <w:r w:rsidRPr="002870AE">
            <w:rPr>
              <w:rFonts w:ascii="Times New Roman" w:hAnsi="Times New Roman" w:cs="Times New Roman"/>
              <w:sz w:val="24"/>
              <w:szCs w:val="24"/>
            </w:rPr>
            <w:fldChar w:fldCharType="end"/>
          </w:r>
        </w:p>
        <w:p w14:paraId="1A5702A0" w14:textId="6FE4701C"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6.4</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Aplicação dos critérios aos mercados grossistas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_Toc52034813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34</w:t>
          </w:r>
          <w:r w:rsidRPr="002870AE">
            <w:rPr>
              <w:rFonts w:ascii="Times New Roman" w:hAnsi="Times New Roman" w:cs="Times New Roman"/>
              <w:sz w:val="24"/>
              <w:szCs w:val="24"/>
            </w:rPr>
            <w:fldChar w:fldCharType="end"/>
          </w:r>
        </w:p>
        <w:p w14:paraId="170C6D86" w14:textId="0CC7262A"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7</w:t>
          </w:r>
          <w:r w:rsidRPr="002870AE">
            <w:rPr>
              <w:rFonts w:ascii="Times New Roman" w:hAnsi="Times New Roman" w:cs="Times New Roman"/>
              <w:b w:val="0"/>
              <w:bCs w:val="0"/>
              <w:color w:val="auto"/>
              <w:sz w:val="24"/>
              <w:lang w:val="pt-PT" w:eastAsia="pt-PT"/>
            </w:rPr>
            <w:tab/>
          </w:r>
          <w:r w:rsidRPr="002870AE">
            <w:rPr>
              <w:rFonts w:ascii="Times New Roman" w:hAnsi="Times New Roman" w:cs="Times New Roman"/>
              <w:sz w:val="24"/>
              <w:lang w:val="pt-PT"/>
            </w:rPr>
            <w:t>Avaliação do poder de mercado significativo em cada um dos mercados</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_Toc52034814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36</w:t>
          </w:r>
          <w:r w:rsidRPr="002870AE">
            <w:rPr>
              <w:rFonts w:ascii="Times New Roman" w:hAnsi="Times New Roman" w:cs="Times New Roman"/>
              <w:sz w:val="24"/>
            </w:rPr>
            <w:fldChar w:fldCharType="end"/>
          </w:r>
        </w:p>
        <w:p w14:paraId="52D26666" w14:textId="2A930C77"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7.1</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Mercados retalhistas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_Toc52034815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37</w:t>
          </w:r>
          <w:r w:rsidRPr="002870AE">
            <w:rPr>
              <w:rFonts w:ascii="Times New Roman" w:hAnsi="Times New Roman" w:cs="Times New Roman"/>
              <w:sz w:val="24"/>
              <w:szCs w:val="24"/>
            </w:rPr>
            <w:fldChar w:fldCharType="end"/>
          </w:r>
        </w:p>
        <w:p w14:paraId="6CAF4426" w14:textId="70C24E46"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7.2</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Mercados grossistas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_Toc52034816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43</w:t>
          </w:r>
          <w:r w:rsidRPr="002870AE">
            <w:rPr>
              <w:rFonts w:ascii="Times New Roman" w:hAnsi="Times New Roman" w:cs="Times New Roman"/>
              <w:sz w:val="24"/>
              <w:szCs w:val="24"/>
            </w:rPr>
            <w:fldChar w:fldCharType="end"/>
          </w:r>
        </w:p>
        <w:p w14:paraId="1AD651A1" w14:textId="1BFF2F6F" w:rsidR="00ED2289" w:rsidRPr="002870AE" w:rsidRDefault="00ED2289" w:rsidP="002870AE">
          <w:pPr>
            <w:pStyle w:val="ndice1"/>
            <w:jc w:val="both"/>
            <w:rPr>
              <w:rFonts w:ascii="Times New Roman" w:hAnsi="Times New Roman" w:cs="Times New Roman"/>
              <w:b w:val="0"/>
              <w:bCs w:val="0"/>
              <w:color w:val="auto"/>
              <w:sz w:val="24"/>
              <w:lang w:val="pt-PT" w:eastAsia="pt-PT"/>
            </w:rPr>
          </w:pPr>
          <w:r w:rsidRPr="002870AE">
            <w:rPr>
              <w:rFonts w:ascii="Times New Roman" w:hAnsi="Times New Roman" w:cs="Times New Roman"/>
              <w:sz w:val="24"/>
              <w:lang w:val="pt-PT"/>
            </w:rPr>
            <w:t>8</w:t>
          </w:r>
          <w:r w:rsidRPr="002870AE">
            <w:rPr>
              <w:rFonts w:ascii="Times New Roman" w:hAnsi="Times New Roman" w:cs="Times New Roman"/>
              <w:b w:val="0"/>
              <w:bCs w:val="0"/>
              <w:color w:val="auto"/>
              <w:sz w:val="24"/>
              <w:lang w:val="pt-PT" w:eastAsia="pt-PT"/>
            </w:rPr>
            <w:tab/>
          </w:r>
          <w:r w:rsidR="00DD1642" w:rsidRPr="002870AE">
            <w:rPr>
              <w:rFonts w:ascii="Times New Roman" w:hAnsi="Times New Roman" w:cs="Times New Roman"/>
              <w:sz w:val="24"/>
              <w:lang w:val="pt-PT"/>
            </w:rPr>
            <w:t>O</w:t>
          </w:r>
          <w:r w:rsidRPr="002870AE">
            <w:rPr>
              <w:rFonts w:ascii="Times New Roman" w:hAnsi="Times New Roman" w:cs="Times New Roman"/>
              <w:sz w:val="24"/>
              <w:lang w:val="pt-PT"/>
            </w:rPr>
            <w:t>brigaçõe para poder significativo de mercado</w:t>
          </w:r>
          <w:r w:rsidRPr="002870AE">
            <w:rPr>
              <w:rFonts w:ascii="Times New Roman" w:hAnsi="Times New Roman" w:cs="Times New Roman"/>
              <w:sz w:val="24"/>
              <w:lang w:val="pt-PT"/>
            </w:rPr>
            <w:tab/>
          </w:r>
          <w:r w:rsidRPr="002870AE">
            <w:rPr>
              <w:rFonts w:ascii="Times New Roman" w:hAnsi="Times New Roman" w:cs="Times New Roman"/>
              <w:sz w:val="24"/>
            </w:rPr>
            <w:fldChar w:fldCharType="begin"/>
          </w:r>
          <w:r w:rsidRPr="002870AE">
            <w:rPr>
              <w:rFonts w:ascii="Times New Roman" w:hAnsi="Times New Roman" w:cs="Times New Roman"/>
              <w:sz w:val="24"/>
              <w:lang w:val="pt-PT"/>
            </w:rPr>
            <w:instrText xml:space="preserve"> PAGEREF _Toc52034817 \h </w:instrText>
          </w:r>
          <w:r w:rsidRPr="002870AE">
            <w:rPr>
              <w:rFonts w:ascii="Times New Roman" w:hAnsi="Times New Roman" w:cs="Times New Roman"/>
              <w:sz w:val="24"/>
            </w:rPr>
          </w:r>
          <w:r w:rsidRPr="002870AE">
            <w:rPr>
              <w:rFonts w:ascii="Times New Roman" w:hAnsi="Times New Roman" w:cs="Times New Roman"/>
              <w:sz w:val="24"/>
            </w:rPr>
            <w:fldChar w:fldCharType="separate"/>
          </w:r>
          <w:r w:rsidR="009D07DA">
            <w:rPr>
              <w:rFonts w:ascii="Times New Roman" w:hAnsi="Times New Roman" w:cs="Times New Roman"/>
              <w:sz w:val="24"/>
              <w:lang w:val="pt-PT"/>
            </w:rPr>
            <w:t>45</w:t>
          </w:r>
          <w:r w:rsidRPr="002870AE">
            <w:rPr>
              <w:rFonts w:ascii="Times New Roman" w:hAnsi="Times New Roman" w:cs="Times New Roman"/>
              <w:sz w:val="24"/>
            </w:rPr>
            <w:fldChar w:fldCharType="end"/>
          </w:r>
        </w:p>
        <w:p w14:paraId="2B064FA7" w14:textId="42A864D3"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8.1</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Introdução</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_Toc52034818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45</w:t>
          </w:r>
          <w:r w:rsidRPr="002870AE">
            <w:rPr>
              <w:rFonts w:ascii="Times New Roman" w:hAnsi="Times New Roman" w:cs="Times New Roman"/>
              <w:sz w:val="24"/>
              <w:szCs w:val="24"/>
            </w:rPr>
            <w:fldChar w:fldCharType="end"/>
          </w:r>
        </w:p>
        <w:p w14:paraId="2C2A7C0E" w14:textId="57B1B47D"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8.2</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Tipos de problemas de concorrência</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_Toc52034819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45</w:t>
          </w:r>
          <w:r w:rsidRPr="002870AE">
            <w:rPr>
              <w:rFonts w:ascii="Times New Roman" w:hAnsi="Times New Roman" w:cs="Times New Roman"/>
              <w:sz w:val="24"/>
              <w:szCs w:val="24"/>
            </w:rPr>
            <w:fldChar w:fldCharType="end"/>
          </w:r>
        </w:p>
        <w:p w14:paraId="74E5FC60" w14:textId="7F1D7226"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8.3</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Obrigações disponíveis</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_Toc52034820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48</w:t>
          </w:r>
          <w:r w:rsidRPr="002870AE">
            <w:rPr>
              <w:rFonts w:ascii="Times New Roman" w:hAnsi="Times New Roman" w:cs="Times New Roman"/>
              <w:sz w:val="24"/>
              <w:szCs w:val="24"/>
            </w:rPr>
            <w:fldChar w:fldCharType="end"/>
          </w:r>
        </w:p>
        <w:p w14:paraId="360FE02B" w14:textId="51C59C4D" w:rsidR="00ED2289" w:rsidRPr="002870AE" w:rsidRDefault="00ED2289" w:rsidP="002870AE">
          <w:pPr>
            <w:pStyle w:val="ndice2"/>
            <w:jc w:val="both"/>
            <w:rPr>
              <w:rFonts w:ascii="Times New Roman" w:hAnsi="Times New Roman" w:cs="Times New Roman"/>
              <w:sz w:val="24"/>
              <w:szCs w:val="24"/>
              <w:lang w:val="pt-PT" w:eastAsia="pt-PT"/>
            </w:rPr>
          </w:pPr>
          <w:r w:rsidRPr="002870AE">
            <w:rPr>
              <w:rFonts w:ascii="Times New Roman" w:hAnsi="Times New Roman" w:cs="Times New Roman"/>
              <w:sz w:val="24"/>
              <w:szCs w:val="24"/>
              <w:lang w:val="pt-PT"/>
            </w:rPr>
            <w:t>8.4</w:t>
          </w:r>
          <w:r w:rsidRPr="002870AE">
            <w:rPr>
              <w:rFonts w:ascii="Times New Roman" w:hAnsi="Times New Roman" w:cs="Times New Roman"/>
              <w:sz w:val="24"/>
              <w:szCs w:val="24"/>
              <w:lang w:val="pt-PT" w:eastAsia="pt-PT"/>
            </w:rPr>
            <w:tab/>
          </w:r>
          <w:r w:rsidRPr="002870AE">
            <w:rPr>
              <w:rFonts w:ascii="Times New Roman" w:hAnsi="Times New Roman" w:cs="Times New Roman"/>
              <w:sz w:val="24"/>
              <w:szCs w:val="24"/>
              <w:lang w:val="pt-PT"/>
            </w:rPr>
            <w:t>Imposição de Obrigações na Guiné Bissau</w:t>
          </w:r>
          <w:r w:rsidRPr="002870AE">
            <w:rPr>
              <w:rFonts w:ascii="Times New Roman" w:hAnsi="Times New Roman" w:cs="Times New Roman"/>
              <w:sz w:val="24"/>
              <w:szCs w:val="24"/>
              <w:lang w:val="pt-PT"/>
            </w:rPr>
            <w:tab/>
          </w:r>
          <w:r w:rsidRPr="002870AE">
            <w:rPr>
              <w:rFonts w:ascii="Times New Roman" w:hAnsi="Times New Roman" w:cs="Times New Roman"/>
              <w:sz w:val="24"/>
              <w:szCs w:val="24"/>
            </w:rPr>
            <w:fldChar w:fldCharType="begin"/>
          </w:r>
          <w:r w:rsidRPr="002870AE">
            <w:rPr>
              <w:rFonts w:ascii="Times New Roman" w:hAnsi="Times New Roman" w:cs="Times New Roman"/>
              <w:sz w:val="24"/>
              <w:szCs w:val="24"/>
              <w:lang w:val="pt-PT"/>
            </w:rPr>
            <w:instrText xml:space="preserve"> PAGEREF _Toc52034821 \h </w:instrText>
          </w:r>
          <w:r w:rsidRPr="002870AE">
            <w:rPr>
              <w:rFonts w:ascii="Times New Roman" w:hAnsi="Times New Roman" w:cs="Times New Roman"/>
              <w:sz w:val="24"/>
              <w:szCs w:val="24"/>
            </w:rPr>
          </w:r>
          <w:r w:rsidRPr="002870AE">
            <w:rPr>
              <w:rFonts w:ascii="Times New Roman" w:hAnsi="Times New Roman" w:cs="Times New Roman"/>
              <w:sz w:val="24"/>
              <w:szCs w:val="24"/>
            </w:rPr>
            <w:fldChar w:fldCharType="separate"/>
          </w:r>
          <w:r w:rsidR="009D07DA">
            <w:rPr>
              <w:rFonts w:ascii="Times New Roman" w:hAnsi="Times New Roman" w:cs="Times New Roman"/>
              <w:sz w:val="24"/>
              <w:szCs w:val="24"/>
              <w:lang w:val="pt-PT"/>
            </w:rPr>
            <w:t>55</w:t>
          </w:r>
          <w:r w:rsidRPr="002870AE">
            <w:rPr>
              <w:rFonts w:ascii="Times New Roman" w:hAnsi="Times New Roman" w:cs="Times New Roman"/>
              <w:sz w:val="24"/>
              <w:szCs w:val="24"/>
            </w:rPr>
            <w:fldChar w:fldCharType="end"/>
          </w:r>
        </w:p>
        <w:p w14:paraId="3A02D9C2" w14:textId="1A179DAD" w:rsidR="00F24B57" w:rsidRPr="002870AE" w:rsidRDefault="008E4A71" w:rsidP="002870AE">
          <w:pPr>
            <w:jc w:val="both"/>
            <w:rPr>
              <w:rFonts w:ascii="Times New Roman" w:hAnsi="Times New Roman" w:cs="Times New Roman"/>
              <w:sz w:val="24"/>
              <w:szCs w:val="24"/>
            </w:rPr>
          </w:pPr>
          <w:r w:rsidRPr="002870AE">
            <w:rPr>
              <w:rFonts w:ascii="Times New Roman" w:hAnsi="Times New Roman" w:cs="Times New Roman"/>
              <w:b/>
              <w:bCs/>
              <w:noProof/>
              <w:color w:val="456E7F" w:themeColor="accent2" w:themeShade="BF"/>
              <w:sz w:val="24"/>
              <w:szCs w:val="24"/>
            </w:rPr>
            <w:fldChar w:fldCharType="end"/>
          </w:r>
        </w:p>
      </w:sdtContent>
    </w:sdt>
    <w:p w14:paraId="1A68AD3D" w14:textId="40E0F5FA" w:rsidR="00E02295" w:rsidRPr="002870AE" w:rsidRDefault="00390901" w:rsidP="002870AE">
      <w:pPr>
        <w:pStyle w:val="Ttulo1"/>
        <w:jc w:val="both"/>
        <w:rPr>
          <w:rFonts w:ascii="Times New Roman" w:hAnsi="Times New Roman" w:cs="Times New Roman"/>
          <w:sz w:val="24"/>
          <w:szCs w:val="24"/>
          <w:lang w:val="pt-PT"/>
        </w:rPr>
      </w:pPr>
      <w:bookmarkStart w:id="5" w:name="_Toc52034794"/>
      <w:bookmarkEnd w:id="4"/>
      <w:bookmarkEnd w:id="3"/>
      <w:bookmarkEnd w:id="2"/>
      <w:bookmarkEnd w:id="1"/>
      <w:bookmarkEnd w:id="0"/>
      <w:r w:rsidRPr="002870AE">
        <w:rPr>
          <w:rFonts w:ascii="Times New Roman" w:hAnsi="Times New Roman" w:cs="Times New Roman"/>
          <w:sz w:val="24"/>
          <w:szCs w:val="24"/>
          <w:lang w:val="pt-PT"/>
        </w:rPr>
        <w:lastRenderedPageBreak/>
        <w:t>introdução</w:t>
      </w:r>
      <w:bookmarkEnd w:id="5"/>
    </w:p>
    <w:p w14:paraId="5A714FE0" w14:textId="77777777" w:rsidR="001D41AB" w:rsidRPr="002870AE" w:rsidRDefault="00390901" w:rsidP="002870AE">
      <w:pPr>
        <w:autoSpaceDE w:val="0"/>
        <w:autoSpaceDN w:val="0"/>
        <w:adjustRightInd w:val="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No âmbito das suas competências de regulação e supervisão a </w:t>
      </w:r>
      <w:r w:rsidR="00A568F5" w:rsidRPr="002870AE">
        <w:rPr>
          <w:rFonts w:ascii="Times New Roman" w:hAnsi="Times New Roman" w:cs="Times New Roman"/>
          <w:sz w:val="24"/>
          <w:szCs w:val="24"/>
          <w:lang w:val="pt-PT"/>
        </w:rPr>
        <w:t xml:space="preserve">Autoridade Reguladora Nacional das Tecnologias de Informação e Comunicação da Guiné Bissau, doravante designada nesta Consulta Pública por </w:t>
      </w:r>
      <w:r w:rsidRPr="002870AE">
        <w:rPr>
          <w:rFonts w:ascii="Times New Roman" w:hAnsi="Times New Roman" w:cs="Times New Roman"/>
          <w:sz w:val="24"/>
          <w:szCs w:val="24"/>
          <w:lang w:val="pt-PT"/>
        </w:rPr>
        <w:t>ARN</w:t>
      </w:r>
      <w:r w:rsidR="00A568F5" w:rsidRPr="002870AE">
        <w:rPr>
          <w:rFonts w:ascii="Times New Roman" w:hAnsi="Times New Roman" w:cs="Times New Roman"/>
          <w:sz w:val="24"/>
          <w:szCs w:val="24"/>
          <w:lang w:val="pt-PT"/>
        </w:rPr>
        <w:t>,</w:t>
      </w:r>
      <w:r w:rsidRPr="002870AE">
        <w:rPr>
          <w:rFonts w:ascii="Times New Roman" w:hAnsi="Times New Roman" w:cs="Times New Roman"/>
          <w:sz w:val="24"/>
          <w:szCs w:val="24"/>
          <w:lang w:val="pt-PT"/>
        </w:rPr>
        <w:t xml:space="preserve"> procedeu à definição dos mercados relevantes de produtos e serviços, à determinação de um mercado relevante como efetivamente concorrencial ou não, à declaração das empresas com poder de mercado significativo nos mercados relevantes e à </w:t>
      </w:r>
      <w:r w:rsidR="00541590" w:rsidRPr="002870AE">
        <w:rPr>
          <w:rFonts w:ascii="Times New Roman" w:hAnsi="Times New Roman" w:cs="Times New Roman"/>
          <w:sz w:val="24"/>
          <w:szCs w:val="24"/>
          <w:lang w:val="pt-PT"/>
        </w:rPr>
        <w:t>definição</w:t>
      </w:r>
      <w:r w:rsidR="00BC5BC5" w:rsidRPr="002870AE">
        <w:rPr>
          <w:rFonts w:ascii="Times New Roman" w:hAnsi="Times New Roman" w:cs="Times New Roman"/>
          <w:sz w:val="24"/>
          <w:szCs w:val="24"/>
          <w:lang w:val="pt-PT"/>
        </w:rPr>
        <w:t xml:space="preserve"> </w:t>
      </w:r>
      <w:r w:rsidRPr="002870AE">
        <w:rPr>
          <w:rFonts w:ascii="Times New Roman" w:hAnsi="Times New Roman" w:cs="Times New Roman"/>
          <w:sz w:val="24"/>
          <w:szCs w:val="24"/>
          <w:lang w:val="pt-PT"/>
        </w:rPr>
        <w:t xml:space="preserve">de obrigações </w:t>
      </w:r>
      <w:r w:rsidR="00541590" w:rsidRPr="002870AE">
        <w:rPr>
          <w:rFonts w:ascii="Times New Roman" w:hAnsi="Times New Roman" w:cs="Times New Roman"/>
          <w:sz w:val="24"/>
          <w:szCs w:val="24"/>
          <w:lang w:val="pt-PT"/>
        </w:rPr>
        <w:t xml:space="preserve">a colocar </w:t>
      </w:r>
      <w:r w:rsidRPr="002870AE">
        <w:rPr>
          <w:rFonts w:ascii="Times New Roman" w:hAnsi="Times New Roman" w:cs="Times New Roman"/>
          <w:sz w:val="24"/>
          <w:szCs w:val="24"/>
          <w:lang w:val="pt-PT"/>
        </w:rPr>
        <w:t xml:space="preserve">às empresas com poder de mercado significativo. </w:t>
      </w:r>
    </w:p>
    <w:p w14:paraId="62DDF841" w14:textId="77777777" w:rsidR="00101128" w:rsidRPr="002870AE" w:rsidRDefault="00101128"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objetivo da presente Consulta Pública é recolher as opiniões dos intervenientes nos vários mercados sobre as análises e opções preliminares apresentadas pela ARN, em particular, pretende-se recolher opiniões e informação adicional sobre os critérios e indicadores utilizados na:</w:t>
      </w:r>
    </w:p>
    <w:p w14:paraId="578F4A28" w14:textId="77777777" w:rsidR="00101128" w:rsidRPr="002870AE" w:rsidRDefault="00101128" w:rsidP="002870AE">
      <w:pPr>
        <w:pStyle w:val="PargrafodaLista"/>
        <w:numPr>
          <w:ilvl w:val="0"/>
          <w:numId w:val="2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Definição de mercados grossistas e retalhistas</w:t>
      </w:r>
    </w:p>
    <w:p w14:paraId="1B8C3DF1" w14:textId="2B2DF3F0" w:rsidR="00101128" w:rsidRPr="002870AE" w:rsidRDefault="00101128" w:rsidP="002870AE">
      <w:pPr>
        <w:pStyle w:val="PargrafodaLista"/>
        <w:numPr>
          <w:ilvl w:val="0"/>
          <w:numId w:val="2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Definição de mercados considerados relevantes para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w:t>
      </w:r>
    </w:p>
    <w:p w14:paraId="58037359" w14:textId="77777777" w:rsidR="00101128" w:rsidRPr="002870AE" w:rsidRDefault="00101128" w:rsidP="002870AE">
      <w:pPr>
        <w:pStyle w:val="PargrafodaLista"/>
        <w:numPr>
          <w:ilvl w:val="0"/>
          <w:numId w:val="2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Avaliação do grau de concorrência em cada um dos mercados;</w:t>
      </w:r>
    </w:p>
    <w:p w14:paraId="2E49A14C" w14:textId="4B56F866" w:rsidR="00101128" w:rsidRPr="002870AE" w:rsidRDefault="00101128" w:rsidP="002870AE">
      <w:pPr>
        <w:pStyle w:val="PargrafodaLista"/>
        <w:numPr>
          <w:ilvl w:val="0"/>
          <w:numId w:val="2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Imposição de obrigações.</w:t>
      </w:r>
    </w:p>
    <w:p w14:paraId="59BD9D9A" w14:textId="73281A3F" w:rsidR="00101128" w:rsidRPr="002870AE" w:rsidRDefault="00C16B5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Autoridade espera que as respostas sigam a mesma estrutura que a estabelecida na presente Consulta Pública. A Autoridade também convida os inquiridos a fundamentar as suas respostas às questões levantadas, sempre que possível, fornecendo provas factuais para apoiar as suas respostas.</w:t>
      </w:r>
    </w:p>
    <w:p w14:paraId="73AACAD2" w14:textId="3464F176" w:rsidR="001D41AB" w:rsidRPr="002870AE" w:rsidRDefault="00101128"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documento </w:t>
      </w:r>
      <w:r w:rsidR="005D0A95" w:rsidRPr="002870AE">
        <w:rPr>
          <w:rFonts w:ascii="Times New Roman" w:hAnsi="Times New Roman" w:cs="Times New Roman"/>
          <w:sz w:val="24"/>
          <w:szCs w:val="24"/>
          <w:lang w:val="pt-PT"/>
        </w:rPr>
        <w:t>que agora se apresenta</w:t>
      </w:r>
      <w:r w:rsidRPr="002870AE">
        <w:rPr>
          <w:rFonts w:ascii="Times New Roman" w:hAnsi="Times New Roman" w:cs="Times New Roman"/>
          <w:sz w:val="24"/>
          <w:szCs w:val="24"/>
          <w:lang w:val="pt-PT"/>
        </w:rPr>
        <w:t xml:space="preserve"> revela um determinado entendimento </w:t>
      </w:r>
      <w:r w:rsidR="005D0A95" w:rsidRPr="002870AE">
        <w:rPr>
          <w:rFonts w:ascii="Times New Roman" w:hAnsi="Times New Roman" w:cs="Times New Roman"/>
          <w:sz w:val="24"/>
          <w:szCs w:val="24"/>
          <w:lang w:val="pt-PT"/>
        </w:rPr>
        <w:t xml:space="preserve">por parte da ARN </w:t>
      </w:r>
      <w:r w:rsidRPr="002870AE">
        <w:rPr>
          <w:rFonts w:ascii="Times New Roman" w:hAnsi="Times New Roman" w:cs="Times New Roman"/>
          <w:sz w:val="24"/>
          <w:szCs w:val="24"/>
          <w:lang w:val="pt-PT"/>
        </w:rPr>
        <w:t>sobre o processo de análise de mercados</w:t>
      </w:r>
      <w:r w:rsidR="005D0A95" w:rsidRPr="002870AE">
        <w:rPr>
          <w:rFonts w:ascii="Times New Roman" w:hAnsi="Times New Roman" w:cs="Times New Roman"/>
          <w:sz w:val="24"/>
          <w:szCs w:val="24"/>
          <w:lang w:val="pt-PT"/>
        </w:rPr>
        <w:t xml:space="preserve"> e, portanto, constitui-se como uma posição preliminar</w:t>
      </w:r>
      <w:r w:rsidRPr="002870AE">
        <w:rPr>
          <w:rFonts w:ascii="Times New Roman" w:hAnsi="Times New Roman" w:cs="Times New Roman"/>
          <w:sz w:val="24"/>
          <w:szCs w:val="24"/>
          <w:lang w:val="pt-PT"/>
        </w:rPr>
        <w:t xml:space="preserve">. </w:t>
      </w:r>
      <w:r w:rsidR="001D41AB" w:rsidRPr="002870AE">
        <w:rPr>
          <w:rFonts w:ascii="Times New Roman" w:hAnsi="Times New Roman" w:cs="Times New Roman"/>
          <w:sz w:val="24"/>
          <w:szCs w:val="24"/>
          <w:lang w:val="pt-PT"/>
        </w:rPr>
        <w:t>A ARN tomará em consideração as respostas a esta Consulta Pública no âmbito do processo de definição de mercados relevantes, avaliação da concorrência efetiva e imposição</w:t>
      </w:r>
      <w:r w:rsidR="005D0A95" w:rsidRPr="002870AE">
        <w:rPr>
          <w:rFonts w:ascii="Times New Roman" w:hAnsi="Times New Roman" w:cs="Times New Roman"/>
          <w:sz w:val="24"/>
          <w:szCs w:val="24"/>
          <w:lang w:val="pt-PT"/>
        </w:rPr>
        <w:t xml:space="preserve"> </w:t>
      </w:r>
      <w:r w:rsidR="001D41AB" w:rsidRPr="002870AE">
        <w:rPr>
          <w:rFonts w:ascii="Times New Roman" w:hAnsi="Times New Roman" w:cs="Times New Roman"/>
          <w:sz w:val="24"/>
          <w:szCs w:val="24"/>
          <w:lang w:val="pt-PT"/>
        </w:rPr>
        <w:t xml:space="preserve">de obrigações. No entanto, a ARN não condiciona as decisões futuras a esta posição preliminar, considerando, igualmente, não vinculativas as respostas a esta consulta. Todas as </w:t>
      </w:r>
      <w:r w:rsidR="00DD1642" w:rsidRPr="002870AE">
        <w:rPr>
          <w:rFonts w:ascii="Times New Roman" w:hAnsi="Times New Roman" w:cs="Times New Roman"/>
          <w:sz w:val="24"/>
          <w:szCs w:val="24"/>
          <w:lang w:val="pt-PT"/>
        </w:rPr>
        <w:t xml:space="preserve">alterações à posição preliminar agora expressa </w:t>
      </w:r>
      <w:r w:rsidR="001D41AB" w:rsidRPr="002870AE">
        <w:rPr>
          <w:rFonts w:ascii="Times New Roman" w:hAnsi="Times New Roman" w:cs="Times New Roman"/>
          <w:sz w:val="24"/>
          <w:szCs w:val="24"/>
          <w:lang w:val="pt-PT"/>
        </w:rPr>
        <w:t xml:space="preserve">serão devidamente justificadas. </w:t>
      </w:r>
      <w:r w:rsidR="005D0A95" w:rsidRPr="002870AE">
        <w:rPr>
          <w:rFonts w:ascii="Times New Roman" w:hAnsi="Times New Roman" w:cs="Times New Roman"/>
          <w:sz w:val="24"/>
          <w:szCs w:val="24"/>
          <w:lang w:val="pt-PT"/>
        </w:rPr>
        <w:t>Conforme estipulado na lei. a</w:t>
      </w:r>
      <w:r w:rsidR="001D41AB" w:rsidRPr="002870AE">
        <w:rPr>
          <w:rFonts w:ascii="Times New Roman" w:hAnsi="Times New Roman" w:cs="Times New Roman"/>
          <w:sz w:val="24"/>
          <w:szCs w:val="24"/>
          <w:lang w:val="pt-PT"/>
        </w:rPr>
        <w:t xml:space="preserve"> posição final resultante desta Consulta Pública será alvo de revisões periódicas, </w:t>
      </w:r>
      <w:r w:rsidR="005D0A95" w:rsidRPr="002870AE">
        <w:rPr>
          <w:rFonts w:ascii="Times New Roman" w:hAnsi="Times New Roman" w:cs="Times New Roman"/>
          <w:sz w:val="24"/>
          <w:szCs w:val="24"/>
          <w:lang w:val="pt-PT"/>
        </w:rPr>
        <w:t xml:space="preserve">e/ou </w:t>
      </w:r>
      <w:r w:rsidR="001D41AB" w:rsidRPr="002870AE">
        <w:rPr>
          <w:rFonts w:ascii="Times New Roman" w:hAnsi="Times New Roman" w:cs="Times New Roman"/>
          <w:sz w:val="24"/>
          <w:szCs w:val="24"/>
          <w:lang w:val="pt-PT"/>
        </w:rPr>
        <w:t>sempre que se verificarem alterações no mercado que</w:t>
      </w:r>
      <w:r w:rsidR="00DD1642" w:rsidRPr="002870AE">
        <w:rPr>
          <w:rFonts w:ascii="Times New Roman" w:hAnsi="Times New Roman" w:cs="Times New Roman"/>
          <w:sz w:val="24"/>
          <w:szCs w:val="24"/>
          <w:lang w:val="pt-PT"/>
        </w:rPr>
        <w:t xml:space="preserve"> os</w:t>
      </w:r>
      <w:r w:rsidR="001D41AB" w:rsidRPr="002870AE">
        <w:rPr>
          <w:rFonts w:ascii="Times New Roman" w:hAnsi="Times New Roman" w:cs="Times New Roman"/>
          <w:sz w:val="24"/>
          <w:szCs w:val="24"/>
          <w:lang w:val="pt-PT"/>
        </w:rPr>
        <w:t xml:space="preserve"> justifiquem.</w:t>
      </w:r>
    </w:p>
    <w:p w14:paraId="7A33D312" w14:textId="1378585D" w:rsidR="001D41AB" w:rsidRPr="002870AE" w:rsidRDefault="001D41A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prazo para a receção das respostas à Consulta Pública termina no dia </w:t>
      </w:r>
      <w:r w:rsidR="002870AE" w:rsidRPr="002870AE">
        <w:rPr>
          <w:rFonts w:ascii="Times New Roman" w:hAnsi="Times New Roman" w:cs="Times New Roman"/>
          <w:sz w:val="24"/>
          <w:szCs w:val="24"/>
          <w:lang w:val="pt-PT"/>
        </w:rPr>
        <w:t>20</w:t>
      </w:r>
      <w:r w:rsidRPr="002870AE">
        <w:rPr>
          <w:rFonts w:ascii="Times New Roman" w:hAnsi="Times New Roman" w:cs="Times New Roman"/>
          <w:sz w:val="24"/>
          <w:szCs w:val="24"/>
          <w:lang w:val="pt-PT"/>
        </w:rPr>
        <w:t xml:space="preserve"> de </w:t>
      </w:r>
      <w:r w:rsidR="00122901" w:rsidRPr="002870AE">
        <w:rPr>
          <w:rFonts w:ascii="Times New Roman" w:hAnsi="Times New Roman" w:cs="Times New Roman"/>
          <w:sz w:val="24"/>
          <w:szCs w:val="24"/>
          <w:lang w:val="pt-PT"/>
        </w:rPr>
        <w:t>novembro</w:t>
      </w:r>
      <w:r w:rsidRPr="002870AE">
        <w:rPr>
          <w:rFonts w:ascii="Times New Roman" w:hAnsi="Times New Roman" w:cs="Times New Roman"/>
          <w:sz w:val="24"/>
          <w:szCs w:val="24"/>
          <w:lang w:val="pt-PT"/>
        </w:rPr>
        <w:t xml:space="preserve"> de 2020. Solicita-se que as respostas sejam remetidas através de correio eletrónico, para o endereço </w:t>
      </w:r>
      <w:hyperlink r:id="rId13" w:history="1">
        <w:r w:rsidR="002870AE" w:rsidRPr="002870AE">
          <w:rPr>
            <w:rStyle w:val="Hiperligao"/>
            <w:rFonts w:ascii="Times New Roman" w:hAnsi="Times New Roman"/>
            <w:sz w:val="24"/>
            <w:szCs w:val="24"/>
            <w:lang w:val="pt-PT"/>
          </w:rPr>
          <w:t>estatistica@arn.gw</w:t>
        </w:r>
      </w:hyperlink>
      <w:r w:rsidR="002870AE" w:rsidRPr="002870AE">
        <w:rPr>
          <w:rFonts w:ascii="Times New Roman" w:hAnsi="Times New Roman" w:cs="Times New Roman"/>
          <w:sz w:val="24"/>
          <w:szCs w:val="24"/>
          <w:lang w:val="pt-PT"/>
        </w:rPr>
        <w:t xml:space="preserve"> </w:t>
      </w:r>
    </w:p>
    <w:p w14:paraId="31355240" w14:textId="6AFD4C8F" w:rsidR="001D41AB" w:rsidRPr="002870AE" w:rsidRDefault="001D41A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Tendo em conta o conteúdo desta Consulta Pública, é fundamental que quaisquer elementos considerados de natureza confidencial contidos nas respostas sejam claramente identificados pelo remetente.</w:t>
      </w:r>
      <w:r w:rsidR="005420B4" w:rsidRPr="002870AE">
        <w:rPr>
          <w:rFonts w:ascii="Times New Roman" w:hAnsi="Times New Roman" w:cs="Times New Roman"/>
          <w:sz w:val="24"/>
          <w:szCs w:val="24"/>
          <w:lang w:val="pt-PT"/>
        </w:rPr>
        <w:t xml:space="preserve"> No capítulo seguinte, apresentam-se algumas questões para as quais, sem prejuízo de outras que os respondentes a esta Consulta Pública queiram enunciar, a ARN gostaria de ver respondidas.</w:t>
      </w:r>
    </w:p>
    <w:p w14:paraId="35A9DA06" w14:textId="694E69B5" w:rsidR="00C16B5B" w:rsidRPr="002870AE" w:rsidRDefault="00C16B5B" w:rsidP="002870AE">
      <w:pPr>
        <w:pStyle w:val="Ttulo1"/>
        <w:jc w:val="both"/>
        <w:rPr>
          <w:rFonts w:ascii="Times New Roman" w:hAnsi="Times New Roman" w:cs="Times New Roman"/>
          <w:sz w:val="24"/>
          <w:szCs w:val="24"/>
          <w:lang w:val="pt-PT"/>
        </w:rPr>
      </w:pPr>
      <w:bookmarkStart w:id="6" w:name="_Toc52034795"/>
      <w:r w:rsidRPr="002870AE">
        <w:rPr>
          <w:rFonts w:ascii="Times New Roman" w:hAnsi="Times New Roman" w:cs="Times New Roman"/>
          <w:sz w:val="24"/>
          <w:szCs w:val="24"/>
          <w:lang w:val="pt-PT"/>
        </w:rPr>
        <w:lastRenderedPageBreak/>
        <w:t>questões</w:t>
      </w:r>
      <w:bookmarkEnd w:id="6"/>
    </w:p>
    <w:tbl>
      <w:tblPr>
        <w:tblStyle w:val="TabelacomGrelha"/>
        <w:tblW w:w="9493" w:type="dxa"/>
        <w:tblLook w:val="04A0" w:firstRow="1" w:lastRow="0" w:firstColumn="1" w:lastColumn="0" w:noHBand="0" w:noVBand="1"/>
      </w:tblPr>
      <w:tblGrid>
        <w:gridCol w:w="1271"/>
        <w:gridCol w:w="8222"/>
      </w:tblGrid>
      <w:tr w:rsidR="002870AE" w:rsidRPr="000A51F8" w14:paraId="14A89DC5" w14:textId="77777777" w:rsidTr="002870AE">
        <w:tc>
          <w:tcPr>
            <w:tcW w:w="1271" w:type="dxa"/>
            <w:vAlign w:val="center"/>
          </w:tcPr>
          <w:p w14:paraId="351125ED" w14:textId="5A855133"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1</w:t>
            </w:r>
          </w:p>
        </w:tc>
        <w:tc>
          <w:tcPr>
            <w:tcW w:w="8222" w:type="dxa"/>
            <w:vAlign w:val="center"/>
          </w:tcPr>
          <w:p w14:paraId="6DE8BD07" w14:textId="75F52A02"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Por favor, comente sobre a metodologia e estrutura conceptual proposta para identificar os mercados existentes, o âmbito e a relevância de cada mercado, os produtos focais, substitutos atuais e potenciais e seus limites propostos.</w:t>
            </w:r>
          </w:p>
        </w:tc>
      </w:tr>
      <w:tr w:rsidR="002870AE" w:rsidRPr="002870AE" w14:paraId="2EEF6AAB" w14:textId="77777777" w:rsidTr="002870AE">
        <w:tc>
          <w:tcPr>
            <w:tcW w:w="1271" w:type="dxa"/>
            <w:vAlign w:val="center"/>
          </w:tcPr>
          <w:p w14:paraId="6CF3C647" w14:textId="5D67F5A2"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2</w:t>
            </w:r>
          </w:p>
        </w:tc>
        <w:tc>
          <w:tcPr>
            <w:tcW w:w="8222" w:type="dxa"/>
            <w:vAlign w:val="center"/>
          </w:tcPr>
          <w:p w14:paraId="5F0A7320" w14:textId="3A608C32"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Por favor, indique em relação a cada mercado relevante, se você concorda com as conclusões propostas na Análise de Mercados. Concorda que estes são os mais relevantes ou apropriados ou deve a ARN considerar soluções alternativas? Forneça detalhes que apoiem as ​​suas respostas. </w:t>
            </w:r>
          </w:p>
        </w:tc>
      </w:tr>
      <w:tr w:rsidR="002870AE" w:rsidRPr="000A51F8" w14:paraId="4AF67D7E" w14:textId="77777777" w:rsidTr="002870AE">
        <w:tc>
          <w:tcPr>
            <w:tcW w:w="1271" w:type="dxa"/>
            <w:vAlign w:val="center"/>
          </w:tcPr>
          <w:p w14:paraId="7884CD0E" w14:textId="5938BB1D"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3</w:t>
            </w:r>
          </w:p>
        </w:tc>
        <w:tc>
          <w:tcPr>
            <w:tcW w:w="8222" w:type="dxa"/>
            <w:vAlign w:val="center"/>
          </w:tcPr>
          <w:p w14:paraId="19BB8BFF" w14:textId="297BB84C"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Por favor comente, relativamente a cada mercado identificado, as informações apresentadas para apoiar a determinação de dominância nomeadamente as situações em que se identificam operadores com Poder Significativo de Mercado (PSM) em determinados mercados. conforme descritas no capítulo 7. </w:t>
            </w:r>
          </w:p>
        </w:tc>
      </w:tr>
      <w:tr w:rsidR="002870AE" w:rsidRPr="000A51F8" w14:paraId="6250114B" w14:textId="77777777" w:rsidTr="002870AE">
        <w:tc>
          <w:tcPr>
            <w:tcW w:w="1271" w:type="dxa"/>
            <w:vAlign w:val="center"/>
          </w:tcPr>
          <w:p w14:paraId="4F182865" w14:textId="02BD8DC2" w:rsidR="002870AE" w:rsidRPr="002870AE" w:rsidRDefault="002870AE" w:rsidP="002870AE">
            <w:pPr>
              <w:spacing w:after="0"/>
              <w:rPr>
                <w:rFonts w:ascii="Times New Roman" w:hAnsi="Times New Roman" w:cs="Times New Roman"/>
                <w:sz w:val="24"/>
                <w:szCs w:val="24"/>
                <w:lang w:val="pt-PT" w:eastAsia="en-GB"/>
              </w:rPr>
            </w:pPr>
            <w:proofErr w:type="spellStart"/>
            <w:r w:rsidRPr="002870AE">
              <w:rPr>
                <w:rFonts w:ascii="Times New Roman" w:hAnsi="Times New Roman" w:cs="Times New Roman"/>
                <w:sz w:val="24"/>
                <w:szCs w:val="24"/>
                <w:lang w:val="pt-PT" w:eastAsia="en-GB"/>
              </w:rPr>
              <w:t>Qustão</w:t>
            </w:r>
            <w:proofErr w:type="spellEnd"/>
            <w:r w:rsidRPr="002870AE">
              <w:rPr>
                <w:rFonts w:ascii="Times New Roman" w:hAnsi="Times New Roman" w:cs="Times New Roman"/>
                <w:sz w:val="24"/>
                <w:szCs w:val="24"/>
                <w:lang w:val="pt-PT" w:eastAsia="en-GB"/>
              </w:rPr>
              <w:t xml:space="preserve"> 4:</w:t>
            </w:r>
          </w:p>
        </w:tc>
        <w:tc>
          <w:tcPr>
            <w:tcW w:w="8222" w:type="dxa"/>
            <w:vAlign w:val="center"/>
          </w:tcPr>
          <w:p w14:paraId="6CD27E9C" w14:textId="5DD8A468"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Por favor, forneça qualquer informação adicional que possa ter e considerar pertinente para a definição de cada mercado, identificação de mercados relevantes e de PSM em qualquer um dos mercados designados. </w:t>
            </w:r>
          </w:p>
        </w:tc>
      </w:tr>
      <w:tr w:rsidR="002870AE" w:rsidRPr="000A51F8" w14:paraId="1DF204B2" w14:textId="77777777" w:rsidTr="002870AE">
        <w:tc>
          <w:tcPr>
            <w:tcW w:w="1271" w:type="dxa"/>
            <w:vAlign w:val="center"/>
          </w:tcPr>
          <w:p w14:paraId="23292D79" w14:textId="155F89F4"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5</w:t>
            </w:r>
          </w:p>
        </w:tc>
        <w:tc>
          <w:tcPr>
            <w:tcW w:w="8222" w:type="dxa"/>
            <w:vAlign w:val="center"/>
          </w:tcPr>
          <w:p w14:paraId="7DC23180" w14:textId="4B61B9B9"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Indique por favor se concorda que os indicadores e critérios relevantes foram usados ​​ou existem outros que devem ser preferidos em relação a um determinado mercado e por favor indique quais são em relação a cada um deles. </w:t>
            </w:r>
          </w:p>
        </w:tc>
      </w:tr>
      <w:tr w:rsidR="002870AE" w:rsidRPr="000A51F8" w14:paraId="0A253EA9" w14:textId="77777777" w:rsidTr="002870AE">
        <w:tc>
          <w:tcPr>
            <w:tcW w:w="1271" w:type="dxa"/>
            <w:vAlign w:val="center"/>
          </w:tcPr>
          <w:p w14:paraId="57F3C856" w14:textId="3B1D4588"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6</w:t>
            </w:r>
          </w:p>
        </w:tc>
        <w:tc>
          <w:tcPr>
            <w:tcW w:w="8222" w:type="dxa"/>
            <w:vAlign w:val="center"/>
          </w:tcPr>
          <w:p w14:paraId="3E597D35" w14:textId="4AB77650"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Indique por favor se concorda com a metodologia proposta na definição de obrigações e com as obrigações recomendadas para os operadores identificados com PSM. </w:t>
            </w:r>
          </w:p>
        </w:tc>
      </w:tr>
      <w:tr w:rsidR="002870AE" w:rsidRPr="000A51F8" w14:paraId="74B1A907" w14:textId="77777777" w:rsidTr="002870AE">
        <w:tc>
          <w:tcPr>
            <w:tcW w:w="1271" w:type="dxa"/>
            <w:vAlign w:val="center"/>
          </w:tcPr>
          <w:p w14:paraId="7A6A2CA8" w14:textId="7A05BD23" w:rsidR="002870AE" w:rsidRPr="002870AE" w:rsidRDefault="002870AE" w:rsidP="002870AE">
            <w:pPr>
              <w:spacing w:after="0"/>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Questão 7</w:t>
            </w:r>
          </w:p>
        </w:tc>
        <w:tc>
          <w:tcPr>
            <w:tcW w:w="8222" w:type="dxa"/>
            <w:vAlign w:val="center"/>
          </w:tcPr>
          <w:p w14:paraId="56401D52" w14:textId="08B4F8C0" w:rsidR="002870AE" w:rsidRPr="002870AE" w:rsidRDefault="002870A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O mercado de terminação de chamadas internacionais, pelas suas características, tem sido, internacionalmente, endereçado pelos reguladores de formas </w:t>
            </w:r>
            <w:proofErr w:type="gramStart"/>
            <w:r w:rsidRPr="002870AE">
              <w:rPr>
                <w:rFonts w:ascii="Times New Roman" w:hAnsi="Times New Roman" w:cs="Times New Roman"/>
                <w:sz w:val="24"/>
                <w:szCs w:val="24"/>
                <w:lang w:val="pt-PT" w:eastAsia="en-GB"/>
              </w:rPr>
              <w:t>distintas.</w:t>
            </w:r>
            <w:r w:rsidRPr="002870AE">
              <w:rPr>
                <w:rFonts w:ascii="Times New Roman" w:eastAsia="Calibri" w:hAnsi="Times New Roman" w:cs="Times New Roman"/>
                <w:color w:val="000000"/>
                <w:sz w:val="24"/>
                <w:szCs w:val="24"/>
                <w:lang w:val="pt-PT"/>
              </w:rPr>
              <w:t>.</w:t>
            </w:r>
            <w:proofErr w:type="gramEnd"/>
            <w:r w:rsidRPr="002870AE">
              <w:rPr>
                <w:rFonts w:ascii="Times New Roman" w:eastAsia="Calibri" w:hAnsi="Times New Roman" w:cs="Times New Roman"/>
                <w:color w:val="000000"/>
                <w:sz w:val="24"/>
                <w:szCs w:val="24"/>
                <w:lang w:val="pt-PT"/>
              </w:rPr>
              <w:t xml:space="preserve"> Indique por favor se uma obrigação de controlo de preços deverá abranger o tráfego internacional de entrada, ou seja, chamadas originadas em operadores de fora da Guiné Bissau ou se, por outro lado, as chamadas que sejam entregues aos operadores nacionais e que tenham tido origem fora da Guiné Bissau não deveriam estar sujeitas à obrigação de controlo de preços nem consequentemente sujeitas à obrigação de não-discriminação e à publicação prévia dos preços dos serviços de terminação deste tipo de chamadas? </w:t>
            </w:r>
          </w:p>
        </w:tc>
      </w:tr>
    </w:tbl>
    <w:p w14:paraId="6D49F578" w14:textId="77777777" w:rsidR="002870AE" w:rsidRPr="002870AE" w:rsidRDefault="002870AE" w:rsidP="002870AE">
      <w:pPr>
        <w:jc w:val="both"/>
        <w:rPr>
          <w:rFonts w:ascii="Times New Roman" w:hAnsi="Times New Roman" w:cs="Times New Roman"/>
          <w:sz w:val="24"/>
          <w:szCs w:val="24"/>
          <w:lang w:val="pt-PT" w:eastAsia="en-GB"/>
        </w:rPr>
      </w:pPr>
    </w:p>
    <w:p w14:paraId="3A7DF3BE" w14:textId="338D9DB0" w:rsidR="005420B4" w:rsidRPr="002870AE" w:rsidRDefault="005420B4"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Por favor sustente e explique as suas respostas de forma a fundamentar a sua potencial aceitação pela ARN.</w:t>
      </w:r>
    </w:p>
    <w:p w14:paraId="5CB9AF94" w14:textId="2A4026CA" w:rsidR="001D41AB" w:rsidRPr="002870AE" w:rsidRDefault="001D41AB" w:rsidP="002870AE">
      <w:pPr>
        <w:pStyle w:val="Ttulo1"/>
        <w:jc w:val="both"/>
        <w:rPr>
          <w:rFonts w:ascii="Times New Roman" w:hAnsi="Times New Roman" w:cs="Times New Roman"/>
          <w:sz w:val="24"/>
          <w:szCs w:val="24"/>
          <w:lang w:val="pt-PT"/>
        </w:rPr>
      </w:pPr>
      <w:bookmarkStart w:id="7" w:name="_Toc52034796"/>
      <w:r w:rsidRPr="002870AE">
        <w:rPr>
          <w:rFonts w:ascii="Times New Roman" w:hAnsi="Times New Roman" w:cs="Times New Roman"/>
          <w:sz w:val="24"/>
          <w:szCs w:val="24"/>
          <w:lang w:val="pt-PT"/>
        </w:rPr>
        <w:lastRenderedPageBreak/>
        <w:t>enquadramento regulamentar</w:t>
      </w:r>
      <w:bookmarkEnd w:id="7"/>
    </w:p>
    <w:p w14:paraId="3D68F642" w14:textId="6E94B85A" w:rsidR="00390901" w:rsidRPr="002870AE" w:rsidRDefault="00390901" w:rsidP="002870AE">
      <w:pPr>
        <w:autoSpaceDE w:val="0"/>
        <w:autoSpaceDN w:val="0"/>
        <w:adjustRightInd w:val="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Governo da Guiné-Bissau, na Lei de Base das Tecnologias de Informação e Comunicação, Lei Nº 5/2010, de 27 de </w:t>
      </w:r>
      <w:r w:rsidR="00A568F5" w:rsidRPr="002870AE">
        <w:rPr>
          <w:rFonts w:ascii="Times New Roman" w:hAnsi="Times New Roman" w:cs="Times New Roman"/>
          <w:sz w:val="24"/>
          <w:szCs w:val="24"/>
          <w:lang w:val="pt-PT"/>
        </w:rPr>
        <w:t>m</w:t>
      </w:r>
      <w:r w:rsidRPr="002870AE">
        <w:rPr>
          <w:rFonts w:ascii="Times New Roman" w:hAnsi="Times New Roman" w:cs="Times New Roman"/>
          <w:sz w:val="24"/>
          <w:szCs w:val="24"/>
          <w:lang w:val="pt-PT"/>
        </w:rPr>
        <w:t>aio de 2010, estabeleceu o regime jurídico aplicável à política relativa aos serviços e redes das tecnologias de informação e comunicação, e aos recursos e serviços conexos. No seu Artigo 14º nº 1 (Procedimento Geral de Consulta), a Lei Nº 5/2010 de 27 de Maio de 2010 define que, no exercício das suas competências, sempre que a ARN pretenda adotar medidas com impacto significativo no mercado relevante, deve publicitar um aviso prévio sobre o respetivo projeto, dando aos interessados a possibilidade de se pronunciarem num prazo fixado para o efeito.</w:t>
      </w:r>
    </w:p>
    <w:p w14:paraId="7EBC1C30" w14:textId="026C9E5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 Lei Nº 5/2010 fornece também orientação sobre como os mercados de serviços de telecomunicações devem ser definidos com a finalidade de proceder à avaliação do estado da concorrência efetiva, a delimitação dos mercados, quais desses mercados devem ser relevantes para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w:t>
      </w:r>
      <w:r w:rsidR="001B67C9" w:rsidRPr="002870AE">
        <w:rPr>
          <w:rStyle w:val="Refdenotaderodap"/>
          <w:rFonts w:ascii="Times New Roman" w:hAnsi="Times New Roman"/>
          <w:sz w:val="24"/>
          <w:szCs w:val="24"/>
          <w:lang w:val="pt-PT"/>
        </w:rPr>
        <w:footnoteReference w:id="1"/>
      </w:r>
      <w:r w:rsidRPr="002870AE">
        <w:rPr>
          <w:rFonts w:ascii="Times New Roman" w:hAnsi="Times New Roman" w:cs="Times New Roman"/>
          <w:sz w:val="24"/>
          <w:szCs w:val="24"/>
          <w:lang w:val="pt-PT"/>
        </w:rPr>
        <w:t xml:space="preserve">e critérios para a determinação de operadores com posição significativa no mercado ou posição dominante. </w:t>
      </w:r>
    </w:p>
    <w:p w14:paraId="119251F4" w14:textId="5B5C07CE"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Artigo 72.º (Identificação dos mercados relevantes) no seu nº 1 confere poderes à ARN para definir e analisar os mercados relevantes e declarar as empresas com posição significativa no mercado, de acordo com os procedimentos no regulamento relativo à interligação. No seu nº 2 confere poderes á ARN para proceder à análise dos mercados de modo a determinar o carácter concorrencial ou não dos mesmos e determinar quais as obrigações regulamentares que devem ou não ser introduzidas e associadas às ofertas de operadores com posição significativa no mercado, num mercado particular. </w:t>
      </w:r>
    </w:p>
    <w:p w14:paraId="355EC280" w14:textId="50ABBDB5" w:rsidR="00390901" w:rsidRPr="002870AE" w:rsidRDefault="00C16B5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w:t>
      </w:r>
      <w:r w:rsidR="00390901" w:rsidRPr="002870AE">
        <w:rPr>
          <w:rFonts w:ascii="Times New Roman" w:hAnsi="Times New Roman" w:cs="Times New Roman"/>
          <w:sz w:val="24"/>
          <w:szCs w:val="24"/>
          <w:lang w:val="pt-PT"/>
        </w:rPr>
        <w:t>Decreto n.º 13/2010, Regime de Interligação no Artigo 17ª no seu nº 1 (Identificação de Mercados Relevantes) não estabelece em concreto uma metodologia para a definição dos mercados e quais os critérios a aplicar para qualificar determinados mercados como relevantes. Estabelece</w:t>
      </w:r>
      <w:r w:rsidR="00BE167C" w:rsidRPr="002870AE">
        <w:rPr>
          <w:rFonts w:ascii="Times New Roman" w:hAnsi="Times New Roman" w:cs="Times New Roman"/>
          <w:sz w:val="24"/>
          <w:szCs w:val="24"/>
          <w:lang w:val="pt-PT"/>
        </w:rPr>
        <w:t>,</w:t>
      </w:r>
      <w:r w:rsidR="00390901" w:rsidRPr="002870AE">
        <w:rPr>
          <w:rFonts w:ascii="Times New Roman" w:hAnsi="Times New Roman" w:cs="Times New Roman"/>
          <w:sz w:val="24"/>
          <w:szCs w:val="24"/>
          <w:lang w:val="pt-PT"/>
        </w:rPr>
        <w:t xml:space="preserve"> </w:t>
      </w:r>
      <w:r w:rsidR="0048724B" w:rsidRPr="002870AE">
        <w:rPr>
          <w:rFonts w:ascii="Times New Roman" w:hAnsi="Times New Roman" w:cs="Times New Roman"/>
          <w:sz w:val="24"/>
          <w:szCs w:val="24"/>
          <w:lang w:val="pt-PT"/>
        </w:rPr>
        <w:t>no entanto</w:t>
      </w:r>
      <w:r w:rsidR="00BE167C" w:rsidRPr="002870AE">
        <w:rPr>
          <w:rFonts w:ascii="Times New Roman" w:hAnsi="Times New Roman" w:cs="Times New Roman"/>
          <w:sz w:val="24"/>
          <w:szCs w:val="24"/>
          <w:lang w:val="pt-PT"/>
        </w:rPr>
        <w:t>,</w:t>
      </w:r>
      <w:r w:rsidR="00390901" w:rsidRPr="002870AE">
        <w:rPr>
          <w:rFonts w:ascii="Times New Roman" w:hAnsi="Times New Roman" w:cs="Times New Roman"/>
          <w:sz w:val="24"/>
          <w:szCs w:val="24"/>
          <w:lang w:val="pt-PT"/>
        </w:rPr>
        <w:t xml:space="preserve"> orientações no sentido de:</w:t>
      </w:r>
    </w:p>
    <w:p w14:paraId="0F587F92" w14:textId="77777777" w:rsidR="00390901" w:rsidRPr="002870AE" w:rsidRDefault="00390901" w:rsidP="002870AE">
      <w:pPr>
        <w:pStyle w:val="IncyteBullets"/>
        <w:numPr>
          <w:ilvl w:val="0"/>
          <w:numId w:val="1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Proceder à coleta de toda a informação possível sobre um determinado mercado de forma a poder avaliar a dominância nesse mercado;</w:t>
      </w:r>
    </w:p>
    <w:p w14:paraId="5122BA10" w14:textId="77777777" w:rsidR="00390901" w:rsidRPr="002870AE" w:rsidRDefault="00390901" w:rsidP="002870AE">
      <w:pPr>
        <w:pStyle w:val="IncyteBullets"/>
        <w:numPr>
          <w:ilvl w:val="0"/>
          <w:numId w:val="1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Consultar os intervenientes no mercado das telecomunicações sobre a relevância dos diversos mercados por ela identificados, a determinação de PMS e sobre quais as obrigações que devem ser impostas aos operadores com uma posição significativa no mercado relevante</w:t>
      </w:r>
    </w:p>
    <w:p w14:paraId="3C48D03A" w14:textId="77777777" w:rsidR="00390901" w:rsidRPr="002870AE" w:rsidRDefault="00390901" w:rsidP="002870AE">
      <w:pPr>
        <w:jc w:val="both"/>
        <w:rPr>
          <w:rFonts w:ascii="Times New Roman" w:hAnsi="Times New Roman" w:cs="Times New Roman"/>
          <w:sz w:val="24"/>
          <w:szCs w:val="24"/>
          <w:lang w:val="pt-PT"/>
        </w:rPr>
      </w:pPr>
    </w:p>
    <w:p w14:paraId="506927CC"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Artigo 73º da Lei Nº 5/2010 e também o Decreto n.º 13/2010, no seu Artigo 18º definem o que se entende por posição significativa no mercado, sinónimo de posição dominante</w:t>
      </w:r>
      <w:r w:rsidRPr="002870AE">
        <w:rPr>
          <w:rStyle w:val="Refdenotaderodap"/>
          <w:rFonts w:ascii="Times New Roman" w:hAnsi="Times New Roman"/>
          <w:sz w:val="24"/>
          <w:szCs w:val="24"/>
          <w:lang w:val="pt-PT"/>
        </w:rPr>
        <w:footnoteReference w:id="2"/>
      </w:r>
      <w:r w:rsidRPr="002870AE">
        <w:rPr>
          <w:rFonts w:ascii="Times New Roman" w:hAnsi="Times New Roman" w:cs="Times New Roman"/>
          <w:sz w:val="24"/>
          <w:szCs w:val="24"/>
          <w:lang w:val="pt-PT"/>
        </w:rPr>
        <w:t xml:space="preserve">: </w:t>
      </w:r>
    </w:p>
    <w:p w14:paraId="6D289812"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“presume-se que dispõem de uma posição significativa no mercado as empresas que detenham uma quota superior a 25% de um mercado de telecomunicações da área geográfica em que estão habilitadas a operar.”</w:t>
      </w:r>
    </w:p>
    <w:p w14:paraId="495ED802"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Diz ainda o mesmo Artigo no seu número 2 que “Sem prejuízo do disposto no número anterior, considera-se que uma entidade individualmente considerada ou em conjunto com outras, goza de uma posição equivalente a uma posição dominante, quando esta lhe permita agir, em larga medida, independentemente dos concorrentes, dos clientes e dos utilizadores finais. </w:t>
      </w:r>
    </w:p>
    <w:p w14:paraId="5691AD1A"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Para avaliar o poder de mercado de determinada empresa, o número 3 do Artigo 18º, para além da quota de mercado, estabelece os seguintes critérios: </w:t>
      </w:r>
    </w:p>
    <w:p w14:paraId="2DAA9943" w14:textId="77777777" w:rsidR="00390901" w:rsidRPr="002870AE" w:rsidRDefault="00390901" w:rsidP="002870AE">
      <w:pPr>
        <w:pStyle w:val="IncyteBullets"/>
        <w:numPr>
          <w:ilvl w:val="0"/>
          <w:numId w:val="1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Capacidade de influenciar as condições do mercado; </w:t>
      </w:r>
    </w:p>
    <w:p w14:paraId="04C65884" w14:textId="77777777" w:rsidR="00390901" w:rsidRPr="002870AE" w:rsidRDefault="00390901" w:rsidP="002870AE">
      <w:pPr>
        <w:pStyle w:val="IncyteBullets"/>
        <w:numPr>
          <w:ilvl w:val="0"/>
          <w:numId w:val="1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Relação de grandeza entre o volume de vendas e a dimensão do mercado;</w:t>
      </w:r>
    </w:p>
    <w:p w14:paraId="483E63C5" w14:textId="77777777" w:rsidR="00390901" w:rsidRPr="002870AE" w:rsidRDefault="00390901" w:rsidP="002870AE">
      <w:pPr>
        <w:pStyle w:val="IncyteBullets"/>
        <w:numPr>
          <w:ilvl w:val="0"/>
          <w:numId w:val="1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Controlo dos meios de acesso aos utilizadores finais; </w:t>
      </w:r>
    </w:p>
    <w:p w14:paraId="1C864FAA" w14:textId="77777777" w:rsidR="00390901" w:rsidRPr="002870AE" w:rsidRDefault="00390901" w:rsidP="002870AE">
      <w:pPr>
        <w:pStyle w:val="IncyteBullets"/>
        <w:numPr>
          <w:ilvl w:val="0"/>
          <w:numId w:val="1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Capacidade de acesso a recursos financeiros; </w:t>
      </w:r>
    </w:p>
    <w:p w14:paraId="67AAF117" w14:textId="77777777" w:rsidR="00390901" w:rsidRPr="002870AE" w:rsidRDefault="00390901" w:rsidP="002870AE">
      <w:pPr>
        <w:pStyle w:val="IncyteBullets"/>
        <w:numPr>
          <w:ilvl w:val="0"/>
          <w:numId w:val="1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Experiência em matéria de oferta de produtos e serviços no mercado.</w:t>
      </w:r>
    </w:p>
    <w:p w14:paraId="4731F962" w14:textId="2A7064A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Uma vez determinada a existência de entidades com poder significativo de mercado, poderão ser impostas obrigações regulamentares. Nos termos da Lei Nº 5/2010, de 27 de </w:t>
      </w:r>
      <w:r w:rsidR="00A568F5" w:rsidRPr="002870AE">
        <w:rPr>
          <w:rFonts w:ascii="Times New Roman" w:hAnsi="Times New Roman" w:cs="Times New Roman"/>
          <w:sz w:val="24"/>
          <w:szCs w:val="24"/>
          <w:lang w:val="pt-PT"/>
        </w:rPr>
        <w:t>m</w:t>
      </w:r>
      <w:r w:rsidRPr="002870AE">
        <w:rPr>
          <w:rFonts w:ascii="Times New Roman" w:hAnsi="Times New Roman" w:cs="Times New Roman"/>
          <w:sz w:val="24"/>
          <w:szCs w:val="24"/>
          <w:lang w:val="pt-PT"/>
        </w:rPr>
        <w:t xml:space="preserve">aio de 2010 (Lei de Base), a ARN tem poderes para realizar iniciativas para alcançar esses objetivos. O Artigo 70º confere poderes à ARN para requerer às entidades licenciadas ou autorizadas que detenham poder de mercado significativo que disponham de um sistema de contabilidade analítica e apresentar contabilidade separada para a atividade de informação e comunicação. </w:t>
      </w:r>
    </w:p>
    <w:p w14:paraId="6338FA65"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Artigo 74º enumera também um conjunto de obrigações que podem ser impostas às entidades licenciadas ou autorizadas que detenham poder de mercado significativo:</w:t>
      </w:r>
    </w:p>
    <w:p w14:paraId="1BEACDB5" w14:textId="77777777"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(i) transparência na publicação de informações, incluindo ofertas de referência de acesso ou interligação ou catálogos de interligação; </w:t>
      </w:r>
    </w:p>
    <w:p w14:paraId="19E26A81" w14:textId="77777777"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w:t>
      </w:r>
      <w:proofErr w:type="spellStart"/>
      <w:r w:rsidRPr="002870AE">
        <w:rPr>
          <w:rFonts w:ascii="Times New Roman" w:hAnsi="Times New Roman" w:cs="Times New Roman"/>
          <w:sz w:val="24"/>
          <w:szCs w:val="24"/>
          <w:lang w:val="pt-PT"/>
        </w:rPr>
        <w:t>ii</w:t>
      </w:r>
      <w:proofErr w:type="spellEnd"/>
      <w:r w:rsidRPr="002870AE">
        <w:rPr>
          <w:rFonts w:ascii="Times New Roman" w:hAnsi="Times New Roman" w:cs="Times New Roman"/>
          <w:sz w:val="24"/>
          <w:szCs w:val="24"/>
          <w:lang w:val="pt-PT"/>
        </w:rPr>
        <w:t xml:space="preserve">) não discriminação na oferta de acesso e interligação; </w:t>
      </w:r>
    </w:p>
    <w:p w14:paraId="1E1C90DC" w14:textId="77777777"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w:t>
      </w:r>
      <w:proofErr w:type="spellStart"/>
      <w:r w:rsidRPr="002870AE">
        <w:rPr>
          <w:rFonts w:ascii="Times New Roman" w:hAnsi="Times New Roman" w:cs="Times New Roman"/>
          <w:sz w:val="24"/>
          <w:szCs w:val="24"/>
          <w:lang w:val="pt-PT"/>
        </w:rPr>
        <w:t>iii</w:t>
      </w:r>
      <w:proofErr w:type="spellEnd"/>
      <w:r w:rsidRPr="002870AE">
        <w:rPr>
          <w:rFonts w:ascii="Times New Roman" w:hAnsi="Times New Roman" w:cs="Times New Roman"/>
          <w:sz w:val="24"/>
          <w:szCs w:val="24"/>
          <w:lang w:val="pt-PT"/>
        </w:rPr>
        <w:t xml:space="preserve">) separação de contas quanto às atividades específicas relacionadas com o acesso ou a interligação; </w:t>
      </w:r>
    </w:p>
    <w:p w14:paraId="48EE1207" w14:textId="77777777"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w:t>
      </w:r>
      <w:proofErr w:type="spellStart"/>
      <w:r w:rsidRPr="002870AE">
        <w:rPr>
          <w:rFonts w:ascii="Times New Roman" w:hAnsi="Times New Roman" w:cs="Times New Roman"/>
          <w:sz w:val="24"/>
          <w:szCs w:val="24"/>
          <w:lang w:val="pt-PT"/>
        </w:rPr>
        <w:t>iv</w:t>
      </w:r>
      <w:proofErr w:type="spellEnd"/>
      <w:r w:rsidRPr="002870AE">
        <w:rPr>
          <w:rFonts w:ascii="Times New Roman" w:hAnsi="Times New Roman" w:cs="Times New Roman"/>
          <w:sz w:val="24"/>
          <w:szCs w:val="24"/>
          <w:lang w:val="pt-PT"/>
        </w:rPr>
        <w:t xml:space="preserve">) responder aos pedidos razoáveis de acesso; </w:t>
      </w:r>
    </w:p>
    <w:p w14:paraId="703662AB" w14:textId="77777777"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(v) controlo de preços e de contabilização de custos;</w:t>
      </w:r>
    </w:p>
    <w:p w14:paraId="717428F0" w14:textId="40DFAB3C" w:rsidR="00390901" w:rsidRPr="002870AE" w:rsidRDefault="00390901" w:rsidP="002870AE">
      <w:pPr>
        <w:ind w:left="36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(vi) respeitar o princípio da orientação para os custos.</w:t>
      </w:r>
    </w:p>
    <w:p w14:paraId="441154FC" w14:textId="5628A534" w:rsidR="001D41AB" w:rsidRPr="002870AE" w:rsidRDefault="001D41AB" w:rsidP="002870AE">
      <w:pPr>
        <w:pStyle w:val="Ttulo1"/>
        <w:jc w:val="both"/>
        <w:rPr>
          <w:rFonts w:ascii="Times New Roman" w:hAnsi="Times New Roman" w:cs="Times New Roman"/>
          <w:sz w:val="24"/>
          <w:szCs w:val="24"/>
          <w:lang w:val="pt-PT"/>
        </w:rPr>
      </w:pPr>
      <w:bookmarkStart w:id="8" w:name="_Toc52034797"/>
      <w:r w:rsidRPr="002870AE">
        <w:rPr>
          <w:rFonts w:ascii="Times New Roman" w:hAnsi="Times New Roman" w:cs="Times New Roman"/>
          <w:sz w:val="24"/>
          <w:szCs w:val="24"/>
          <w:lang w:val="pt-PT"/>
        </w:rPr>
        <w:lastRenderedPageBreak/>
        <w:t>análise de mercados</w:t>
      </w:r>
      <w:bookmarkEnd w:id="8"/>
    </w:p>
    <w:p w14:paraId="6C45885A" w14:textId="77777777" w:rsidR="00390901" w:rsidRPr="002870AE" w:rsidRDefault="00390901" w:rsidP="002870AE">
      <w:pPr>
        <w:pStyle w:val="Ttulo2"/>
        <w:ind w:left="709" w:hanging="709"/>
        <w:jc w:val="both"/>
        <w:rPr>
          <w:rFonts w:ascii="Times New Roman" w:hAnsi="Times New Roman" w:cs="Times New Roman"/>
          <w:lang w:val="pt-PT"/>
        </w:rPr>
      </w:pPr>
      <w:bookmarkStart w:id="9" w:name="_Toc31617421"/>
      <w:bookmarkStart w:id="10" w:name="_Toc52034798"/>
      <w:r w:rsidRPr="002870AE">
        <w:rPr>
          <w:rFonts w:ascii="Times New Roman" w:hAnsi="Times New Roman" w:cs="Times New Roman"/>
          <w:lang w:val="pt-PT"/>
        </w:rPr>
        <w:t>Metodologia de análise de mercados</w:t>
      </w:r>
      <w:bookmarkEnd w:id="9"/>
      <w:bookmarkEnd w:id="10"/>
    </w:p>
    <w:p w14:paraId="428CD1F1" w14:textId="5D7EF6A4"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 ARN realizou uma análise de mercado na Guiné Bissau. “Análise de mercado”, neste contexto, significa uma revisão dos vários mercados existentes para serviços de </w:t>
      </w:r>
      <w:r w:rsidR="00BC5BC5" w:rsidRPr="002870AE">
        <w:rPr>
          <w:rFonts w:ascii="Times New Roman" w:hAnsi="Times New Roman" w:cs="Times New Roman"/>
          <w:sz w:val="24"/>
          <w:szCs w:val="24"/>
          <w:lang w:val="pt-PT"/>
        </w:rPr>
        <w:t>comunicações eletrónicas</w:t>
      </w:r>
      <w:r w:rsidRPr="002870AE">
        <w:rPr>
          <w:rFonts w:ascii="Times New Roman" w:hAnsi="Times New Roman" w:cs="Times New Roman"/>
          <w:sz w:val="24"/>
          <w:szCs w:val="24"/>
          <w:lang w:val="pt-PT"/>
        </w:rPr>
        <w:t xml:space="preserve"> na Guiné Bissau, definidos para os fins de regulação do mercado. Uma análise de mercado possui dois elementos fundamentais:</w:t>
      </w:r>
    </w:p>
    <w:p w14:paraId="2F5EDE19" w14:textId="77777777" w:rsidR="00390901" w:rsidRPr="002870AE" w:rsidRDefault="00390901" w:rsidP="002870AE">
      <w:pPr>
        <w:pStyle w:val="PargrafodaLista"/>
        <w:numPr>
          <w:ilvl w:val="0"/>
          <w:numId w:val="2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Definir os mercados relevantes; e</w:t>
      </w:r>
    </w:p>
    <w:p w14:paraId="657B2CDD" w14:textId="77777777" w:rsidR="00390901" w:rsidRPr="002870AE" w:rsidRDefault="00390901" w:rsidP="002870AE">
      <w:pPr>
        <w:pStyle w:val="PargrafodaLista"/>
        <w:numPr>
          <w:ilvl w:val="0"/>
          <w:numId w:val="2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cada mercado relevante identificar se existem intervenientes que possuam poder significativo de mercado conforme determinado na Lei 5/2010 Lei de Base das Telecomunicações.</w:t>
      </w:r>
    </w:p>
    <w:p w14:paraId="4174F493"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análise de mercados envolve as seguintes tarefas:</w:t>
      </w:r>
    </w:p>
    <w:p w14:paraId="3ED78085" w14:textId="77777777" w:rsidR="00390901" w:rsidRPr="002870AE" w:rsidRDefault="00390901" w:rsidP="002870AE">
      <w:pPr>
        <w:pStyle w:val="IncyteBullets"/>
        <w:numPr>
          <w:ilvl w:val="0"/>
          <w:numId w:val="2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Definir os mercados de serviços de telecomunicações a considerar na análise;</w:t>
      </w:r>
    </w:p>
    <w:p w14:paraId="48781DAC" w14:textId="77777777" w:rsidR="00017280" w:rsidRPr="002870AE" w:rsidRDefault="00017280" w:rsidP="002870AE">
      <w:pPr>
        <w:pStyle w:val="IncyteBullets"/>
        <w:numPr>
          <w:ilvl w:val="0"/>
          <w:numId w:val="2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Uma vez definidos os mercados decidir quais destes mercados são apropriados para o exercício de regulação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ou seja, quais são os denominados “mercados relevantes”;</w:t>
      </w:r>
    </w:p>
    <w:p w14:paraId="4658E171" w14:textId="77777777" w:rsidR="00390901" w:rsidRPr="002870AE" w:rsidRDefault="00390901" w:rsidP="002870AE">
      <w:pPr>
        <w:pStyle w:val="IncyteBullets"/>
        <w:numPr>
          <w:ilvl w:val="0"/>
          <w:numId w:val="2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Determinar quais os prestadores de serviços que são dominantes nos mercados relevantes;</w:t>
      </w:r>
    </w:p>
    <w:p w14:paraId="21B16C49" w14:textId="77777777" w:rsidR="00017280" w:rsidRPr="002870AE" w:rsidRDefault="00017280" w:rsidP="002870AE">
      <w:pPr>
        <w:pStyle w:val="IncyteBullets"/>
        <w:numPr>
          <w:ilvl w:val="0"/>
          <w:numId w:val="2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Por último, quais as obrigações a impor aos operadores com posição dominante mais adequadas para prevenir que ponham em prática comportamentos anti concorrenciais. </w:t>
      </w:r>
    </w:p>
    <w:p w14:paraId="1A14C7D0"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Conforme referido anteriormente a legislação em vigor na Guiné Bissau não define em concreto como se deve definir o âmbito de cada mercado e quais os critérios a utilizar para determinar se um determinado mercado deve ser considerado relevante. Portanto, a ARN decidiu utilizar aquilo que se consideram as melhores práticas internacionais no processo de identificação de mercados relevantes. Uma das melhores práticas para a análise de mercado regulatório foi estabelecida pela União Europeia como parte de seu pacote de reformas regulamentares introduzidas em 2002. A regulamentação da UE descreve um processo em duas etapas. </w:t>
      </w:r>
    </w:p>
    <w:p w14:paraId="36D9DAE5" w14:textId="39B2966D" w:rsidR="00BC5BC5"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Em primeiro lugar, estabelece-se o âmbito do mercado a partir de um produto focal e com base numa análise da substituibilidade da procura e da oferta - ou seja, por meio de um teste como o teste do monopolista hipotético (TMH). Na prática, a substituibilidade pode ser melhor analisada em termos de três dimensões para a definição de mercado para os propósitos de um processo de análise de mercado: cliente, produto / serviço e geografia. O </w:t>
      </w:r>
      <w:r w:rsidR="00A47C1C" w:rsidRPr="002870AE">
        <w:rPr>
          <w:rFonts w:ascii="Times New Roman" w:hAnsi="Times New Roman" w:cs="Times New Roman"/>
          <w:sz w:val="24"/>
          <w:szCs w:val="24"/>
          <w:lang w:val="pt-PT"/>
        </w:rPr>
        <w:t xml:space="preserve">teste do monopolista hipotético </w:t>
      </w:r>
      <w:r w:rsidRPr="002870AE">
        <w:rPr>
          <w:rFonts w:ascii="Times New Roman" w:hAnsi="Times New Roman" w:cs="Times New Roman"/>
          <w:sz w:val="24"/>
          <w:szCs w:val="24"/>
          <w:lang w:val="pt-PT"/>
        </w:rPr>
        <w:t>começa por identificar um produto focal, ou seja, o produto mais estreitamente definido que existe no mercado em análise. Outros produtos candidatos serão incluídos no mesmo mercado dependendo em que medida se aplica qualquer uma das seguintes formas de substituição entre o produto focal e o produto candidato:</w:t>
      </w:r>
    </w:p>
    <w:p w14:paraId="05DEEC9F" w14:textId="1ED5AC9B" w:rsidR="00BC5BC5" w:rsidRPr="002870AE" w:rsidRDefault="00BC5BC5"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 i) </w:t>
      </w:r>
      <w:r w:rsidR="00390901" w:rsidRPr="002870AE">
        <w:rPr>
          <w:rFonts w:ascii="Times New Roman" w:hAnsi="Times New Roman" w:cs="Times New Roman"/>
          <w:sz w:val="24"/>
          <w:szCs w:val="24"/>
          <w:lang w:val="pt-PT"/>
        </w:rPr>
        <w:t xml:space="preserve">Substituibilidade do lado da oferta; </w:t>
      </w:r>
    </w:p>
    <w:p w14:paraId="1AC67E9E" w14:textId="77777777" w:rsidR="00BC5BC5" w:rsidRPr="002870AE" w:rsidRDefault="00390901" w:rsidP="002870AE">
      <w:pPr>
        <w:ind w:left="720"/>
        <w:jc w:val="both"/>
        <w:rPr>
          <w:rFonts w:ascii="Times New Roman" w:hAnsi="Times New Roman" w:cs="Times New Roman"/>
          <w:sz w:val="24"/>
          <w:szCs w:val="24"/>
          <w:lang w:val="pt-PT"/>
        </w:rPr>
      </w:pPr>
      <w:proofErr w:type="spellStart"/>
      <w:r w:rsidRPr="002870AE">
        <w:rPr>
          <w:rFonts w:ascii="Times New Roman" w:hAnsi="Times New Roman" w:cs="Times New Roman"/>
          <w:sz w:val="24"/>
          <w:szCs w:val="24"/>
          <w:lang w:val="pt-PT"/>
        </w:rPr>
        <w:t>ii</w:t>
      </w:r>
      <w:proofErr w:type="spellEnd"/>
      <w:r w:rsidRPr="002870AE">
        <w:rPr>
          <w:rFonts w:ascii="Times New Roman" w:hAnsi="Times New Roman" w:cs="Times New Roman"/>
          <w:sz w:val="24"/>
          <w:szCs w:val="24"/>
          <w:lang w:val="pt-PT"/>
        </w:rPr>
        <w:t>) Substituibilidade do lado da procura grossista;</w:t>
      </w:r>
    </w:p>
    <w:p w14:paraId="158DBC8C" w14:textId="77777777" w:rsidR="00BC5BC5" w:rsidRPr="002870AE" w:rsidRDefault="00390901"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 </w:t>
      </w:r>
      <w:proofErr w:type="spellStart"/>
      <w:r w:rsidRPr="002870AE">
        <w:rPr>
          <w:rFonts w:ascii="Times New Roman" w:hAnsi="Times New Roman" w:cs="Times New Roman"/>
          <w:sz w:val="24"/>
          <w:szCs w:val="24"/>
          <w:lang w:val="pt-PT"/>
        </w:rPr>
        <w:t>iii</w:t>
      </w:r>
      <w:proofErr w:type="spellEnd"/>
      <w:r w:rsidRPr="002870AE">
        <w:rPr>
          <w:rFonts w:ascii="Times New Roman" w:hAnsi="Times New Roman" w:cs="Times New Roman"/>
          <w:sz w:val="24"/>
          <w:szCs w:val="24"/>
          <w:lang w:val="pt-PT"/>
        </w:rPr>
        <w:t xml:space="preserve">) Substituibilidade do lado da procura a retalho. </w:t>
      </w:r>
    </w:p>
    <w:p w14:paraId="2A423415" w14:textId="6151DDD5"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TMH considera um monopolista hipotético e pergunta se um pequeno, mas significativo </w:t>
      </w:r>
      <w:r w:rsidR="00017280" w:rsidRPr="002870AE">
        <w:rPr>
          <w:rFonts w:ascii="Times New Roman" w:hAnsi="Times New Roman" w:cs="Times New Roman"/>
          <w:sz w:val="24"/>
          <w:szCs w:val="24"/>
          <w:lang w:val="pt-PT"/>
        </w:rPr>
        <w:t xml:space="preserve">aumento </w:t>
      </w:r>
      <w:r w:rsidRPr="002870AE">
        <w:rPr>
          <w:rFonts w:ascii="Times New Roman" w:hAnsi="Times New Roman" w:cs="Times New Roman"/>
          <w:sz w:val="24"/>
          <w:szCs w:val="24"/>
          <w:lang w:val="pt-PT"/>
        </w:rPr>
        <w:t xml:space="preserve">(entendido como um aumento de 5-10%) não-transitório (pelo menos </w:t>
      </w:r>
      <w:r w:rsidR="00BC5BC5" w:rsidRPr="002870AE">
        <w:rPr>
          <w:rFonts w:ascii="Times New Roman" w:hAnsi="Times New Roman" w:cs="Times New Roman"/>
          <w:sz w:val="24"/>
          <w:szCs w:val="24"/>
          <w:lang w:val="pt-PT"/>
        </w:rPr>
        <w:t>de</w:t>
      </w:r>
      <w:r w:rsidRPr="002870AE">
        <w:rPr>
          <w:rFonts w:ascii="Times New Roman" w:hAnsi="Times New Roman" w:cs="Times New Roman"/>
          <w:sz w:val="24"/>
          <w:szCs w:val="24"/>
          <w:lang w:val="pt-PT"/>
        </w:rPr>
        <w:t xml:space="preserve"> duração de 1 ano) no preço do produto focal é rentável. Isto irá depender do número de clientes que transferem a sua procura para um serviço substituto e/ou em que medida fornecedores alternativos são atraídos para este mercado. </w:t>
      </w:r>
      <w:r w:rsidR="00017280" w:rsidRPr="002870AE">
        <w:rPr>
          <w:rFonts w:ascii="Times New Roman" w:hAnsi="Times New Roman" w:cs="Times New Roman"/>
          <w:sz w:val="24"/>
          <w:szCs w:val="24"/>
          <w:lang w:val="pt-PT"/>
        </w:rPr>
        <w:lastRenderedPageBreak/>
        <w:t>Se o pequeno aumento não transitório, mas significativo, do preço ("SSNIP"</w:t>
      </w:r>
      <w:r w:rsidR="00017280" w:rsidRPr="002870AE">
        <w:rPr>
          <w:rStyle w:val="Refdenotaderodap"/>
          <w:rFonts w:ascii="Times New Roman" w:hAnsi="Times New Roman"/>
          <w:sz w:val="24"/>
          <w:szCs w:val="24"/>
          <w:lang w:val="pt-PT"/>
        </w:rPr>
        <w:footnoteReference w:id="3"/>
      </w:r>
      <w:r w:rsidR="00017280" w:rsidRPr="002870AE">
        <w:rPr>
          <w:rFonts w:ascii="Times New Roman" w:hAnsi="Times New Roman" w:cs="Times New Roman"/>
          <w:sz w:val="24"/>
          <w:szCs w:val="24"/>
          <w:lang w:val="pt-PT"/>
        </w:rPr>
        <w:t>) é rentável</w:t>
      </w:r>
      <w:r w:rsidR="00017280" w:rsidRPr="002870AE">
        <w:rPr>
          <w:rStyle w:val="Refdenotaderodap"/>
          <w:rFonts w:ascii="Times New Roman" w:hAnsi="Times New Roman"/>
          <w:sz w:val="24"/>
          <w:szCs w:val="24"/>
          <w:lang w:val="pt-PT"/>
        </w:rPr>
        <w:footnoteReference w:id="4"/>
      </w:r>
      <w:r w:rsidR="00017280" w:rsidRPr="002870AE">
        <w:rPr>
          <w:rFonts w:ascii="Times New Roman" w:hAnsi="Times New Roman" w:cs="Times New Roman"/>
          <w:sz w:val="24"/>
          <w:szCs w:val="24"/>
          <w:lang w:val="pt-PT"/>
        </w:rPr>
        <w:t>, então estamos perante a evidência da ausência de substitutos adequados, e, por conseguinte, dos limites de um mercado individualizado. Se o aumento não é rentável, a definição do serviço precisa de ser expandida para incluir o serviço ou serviços substitutos. A análise continua até não se identificarem mais substitutos, momento a partir do qual se consegue definir o âmbito do mercado</w:t>
      </w:r>
      <w:r w:rsidRPr="002870AE">
        <w:rPr>
          <w:rFonts w:ascii="Times New Roman" w:hAnsi="Times New Roman" w:cs="Times New Roman"/>
          <w:sz w:val="24"/>
          <w:szCs w:val="24"/>
          <w:lang w:val="pt-PT"/>
        </w:rPr>
        <w:t>.</w:t>
      </w:r>
    </w:p>
    <w:p w14:paraId="7A690B8F" w14:textId="77777777" w:rsidR="00C37159" w:rsidRPr="002870AE" w:rsidRDefault="00C37159"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dimensão geográfica define um mercado em termos da localização comum em que existem as necessidades dos consumidores e os produtos/serviços destinados a cumprir essas necessidades. Considerações geográficas são importantes para determinar os limites de substituibilidade da oferta e da procura. Tradicionalmente, o valor e a natureza dos bens e serviços determinariam significativamente até que ponto os clientes poderiam ir para adquirir bens e serviços e até onde as empresas poderiam ir para fornecê-los ou entregá-los. A dimensão geográfica dos mercados encontra-se em profunda mudança com o desenvolvimento dos sistemas de comércio eletrônico e pagamento, particularmente aqueles acedidos ​​pela Internet pública. No âmbito da regulação das telecomunicações, existe uma propensão geral para definir os mercados como nacionais, a menos que haja variações regionais demonstráveis ​​na oferta ou na procura.</w:t>
      </w:r>
    </w:p>
    <w:p w14:paraId="25225E14" w14:textId="61FFF3AB"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Ao definir os mercados de serviços de comunicações eletrónicas na Guiné Bissau, a ARN </w:t>
      </w:r>
      <w:r w:rsidR="00247D06" w:rsidRPr="002870AE">
        <w:rPr>
          <w:rFonts w:ascii="Times New Roman" w:hAnsi="Times New Roman" w:cs="Times New Roman"/>
          <w:sz w:val="24"/>
          <w:szCs w:val="24"/>
          <w:lang w:val="pt-PT"/>
        </w:rPr>
        <w:t>adota</w:t>
      </w:r>
      <w:r w:rsidRPr="002870AE">
        <w:rPr>
          <w:rFonts w:ascii="Times New Roman" w:hAnsi="Times New Roman" w:cs="Times New Roman"/>
          <w:sz w:val="24"/>
          <w:szCs w:val="24"/>
          <w:lang w:val="pt-PT"/>
        </w:rPr>
        <w:t xml:space="preserve"> a presumível refutação de que todos os mercados de comunicações eletrónicas na Guiné Bissau têm âmbito nacional, a menos que haja evidências claras em contrário, como variações regionais de preços, disponibilidade de produtos / serviços ou barreiras à entrada. Assim a não ser que existam fatores que demonstrem o contrário cada mercado identificado </w:t>
      </w:r>
      <w:r w:rsidR="00646FC9" w:rsidRPr="002870AE">
        <w:rPr>
          <w:rFonts w:ascii="Times New Roman" w:hAnsi="Times New Roman" w:cs="Times New Roman"/>
          <w:sz w:val="24"/>
          <w:szCs w:val="24"/>
          <w:lang w:val="pt-PT"/>
        </w:rPr>
        <w:t xml:space="preserve">na presente análise </w:t>
      </w:r>
      <w:r w:rsidRPr="002870AE">
        <w:rPr>
          <w:rFonts w:ascii="Times New Roman" w:hAnsi="Times New Roman" w:cs="Times New Roman"/>
          <w:sz w:val="24"/>
          <w:szCs w:val="24"/>
          <w:lang w:val="pt-PT"/>
        </w:rPr>
        <w:t>é considerado pela ARN ser de âmbito nacional.</w:t>
      </w:r>
    </w:p>
    <w:p w14:paraId="327FD8F8" w14:textId="555348A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Em segundo lugar, a suscetibilidade de um mercado a regulação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xml:space="preserve"> tem de ser confirmada usando um teste baseado em critérios pré-definidos. Não sendo a legislação em vigor na Guiné Bissau específica nesta matéria a metodologia que se </w:t>
      </w:r>
      <w:r w:rsidR="00247D06" w:rsidRPr="002870AE">
        <w:rPr>
          <w:rFonts w:ascii="Times New Roman" w:hAnsi="Times New Roman" w:cs="Times New Roman"/>
          <w:sz w:val="24"/>
          <w:szCs w:val="24"/>
          <w:lang w:val="pt-PT"/>
        </w:rPr>
        <w:t>decidiu</w:t>
      </w:r>
      <w:r w:rsidRPr="002870AE">
        <w:rPr>
          <w:rFonts w:ascii="Times New Roman" w:hAnsi="Times New Roman" w:cs="Times New Roman"/>
          <w:sz w:val="24"/>
          <w:szCs w:val="24"/>
          <w:lang w:val="pt-PT"/>
        </w:rPr>
        <w:t xml:space="preserve"> adotar para determinar se um dado mercado é relevante </w:t>
      </w:r>
      <w:r w:rsidR="00247D06" w:rsidRPr="002870AE">
        <w:rPr>
          <w:rFonts w:ascii="Times New Roman" w:hAnsi="Times New Roman" w:cs="Times New Roman"/>
          <w:sz w:val="24"/>
          <w:szCs w:val="24"/>
          <w:lang w:val="pt-PT"/>
        </w:rPr>
        <w:t>segue também aqui</w:t>
      </w:r>
      <w:r w:rsidRPr="002870AE">
        <w:rPr>
          <w:rFonts w:ascii="Times New Roman" w:hAnsi="Times New Roman" w:cs="Times New Roman"/>
          <w:sz w:val="24"/>
          <w:szCs w:val="24"/>
          <w:lang w:val="pt-PT"/>
        </w:rPr>
        <w:t xml:space="preserve"> as </w:t>
      </w:r>
      <w:r w:rsidR="00247D06" w:rsidRPr="002870AE">
        <w:rPr>
          <w:rFonts w:ascii="Times New Roman" w:hAnsi="Times New Roman" w:cs="Times New Roman"/>
          <w:sz w:val="24"/>
          <w:szCs w:val="24"/>
          <w:lang w:val="pt-PT"/>
        </w:rPr>
        <w:t xml:space="preserve">consideradas </w:t>
      </w:r>
      <w:r w:rsidRPr="002870AE">
        <w:rPr>
          <w:rFonts w:ascii="Times New Roman" w:hAnsi="Times New Roman" w:cs="Times New Roman"/>
          <w:sz w:val="24"/>
          <w:szCs w:val="24"/>
          <w:lang w:val="pt-PT"/>
        </w:rPr>
        <w:t xml:space="preserve">melhores práticas internacionais ou seja, usando o </w:t>
      </w:r>
      <w:r w:rsidR="00646FC9" w:rsidRPr="002870AE">
        <w:rPr>
          <w:rFonts w:ascii="Times New Roman" w:hAnsi="Times New Roman" w:cs="Times New Roman"/>
          <w:sz w:val="24"/>
          <w:szCs w:val="24"/>
          <w:lang w:val="pt-PT"/>
        </w:rPr>
        <w:t>t</w:t>
      </w:r>
      <w:r w:rsidRPr="002870AE">
        <w:rPr>
          <w:rFonts w:ascii="Times New Roman" w:hAnsi="Times New Roman" w:cs="Times New Roman"/>
          <w:sz w:val="24"/>
          <w:szCs w:val="24"/>
          <w:lang w:val="pt-PT"/>
        </w:rPr>
        <w:t xml:space="preserve">este dos </w:t>
      </w:r>
      <w:r w:rsidR="00646FC9" w:rsidRPr="002870AE">
        <w:rPr>
          <w:rFonts w:ascii="Times New Roman" w:hAnsi="Times New Roman" w:cs="Times New Roman"/>
          <w:sz w:val="24"/>
          <w:szCs w:val="24"/>
          <w:lang w:val="pt-PT"/>
        </w:rPr>
        <w:t>t</w:t>
      </w:r>
      <w:r w:rsidRPr="002870AE">
        <w:rPr>
          <w:rFonts w:ascii="Times New Roman" w:hAnsi="Times New Roman" w:cs="Times New Roman"/>
          <w:sz w:val="24"/>
          <w:szCs w:val="24"/>
          <w:lang w:val="pt-PT"/>
        </w:rPr>
        <w:t xml:space="preserve">rês </w:t>
      </w:r>
      <w:r w:rsidR="00646FC9" w:rsidRPr="002870AE">
        <w:rPr>
          <w:rFonts w:ascii="Times New Roman" w:hAnsi="Times New Roman" w:cs="Times New Roman"/>
          <w:sz w:val="24"/>
          <w:szCs w:val="24"/>
          <w:lang w:val="pt-PT"/>
        </w:rPr>
        <w:t>c</w:t>
      </w:r>
      <w:r w:rsidRPr="002870AE">
        <w:rPr>
          <w:rFonts w:ascii="Times New Roman" w:hAnsi="Times New Roman" w:cs="Times New Roman"/>
          <w:sz w:val="24"/>
          <w:szCs w:val="24"/>
          <w:lang w:val="pt-PT"/>
        </w:rPr>
        <w:t xml:space="preserve">ritérios (T3C) ou uma variante deste. </w:t>
      </w:r>
    </w:p>
    <w:p w14:paraId="6DB3624E" w14:textId="3C0645CF"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w:t>
      </w:r>
      <w:r w:rsidR="00646FC9" w:rsidRPr="002870AE">
        <w:rPr>
          <w:rFonts w:ascii="Times New Roman" w:hAnsi="Times New Roman" w:cs="Times New Roman"/>
          <w:sz w:val="24"/>
          <w:szCs w:val="24"/>
          <w:lang w:val="pt-PT"/>
        </w:rPr>
        <w:t>t</w:t>
      </w:r>
      <w:r w:rsidRPr="002870AE">
        <w:rPr>
          <w:rFonts w:ascii="Times New Roman" w:hAnsi="Times New Roman" w:cs="Times New Roman"/>
          <w:sz w:val="24"/>
          <w:szCs w:val="24"/>
          <w:lang w:val="pt-PT"/>
        </w:rPr>
        <w:t xml:space="preserve">este dos </w:t>
      </w:r>
      <w:r w:rsidR="00646FC9" w:rsidRPr="002870AE">
        <w:rPr>
          <w:rFonts w:ascii="Times New Roman" w:hAnsi="Times New Roman" w:cs="Times New Roman"/>
          <w:sz w:val="24"/>
          <w:szCs w:val="24"/>
          <w:lang w:val="pt-PT"/>
        </w:rPr>
        <w:t>t</w:t>
      </w:r>
      <w:r w:rsidRPr="002870AE">
        <w:rPr>
          <w:rFonts w:ascii="Times New Roman" w:hAnsi="Times New Roman" w:cs="Times New Roman"/>
          <w:sz w:val="24"/>
          <w:szCs w:val="24"/>
          <w:lang w:val="pt-PT"/>
        </w:rPr>
        <w:t xml:space="preserve">rês </w:t>
      </w:r>
      <w:r w:rsidR="00646FC9" w:rsidRPr="002870AE">
        <w:rPr>
          <w:rFonts w:ascii="Times New Roman" w:hAnsi="Times New Roman" w:cs="Times New Roman"/>
          <w:sz w:val="24"/>
          <w:szCs w:val="24"/>
          <w:lang w:val="pt-PT"/>
        </w:rPr>
        <w:t>c</w:t>
      </w:r>
      <w:r w:rsidRPr="002870AE">
        <w:rPr>
          <w:rFonts w:ascii="Times New Roman" w:hAnsi="Times New Roman" w:cs="Times New Roman"/>
          <w:sz w:val="24"/>
          <w:szCs w:val="24"/>
          <w:lang w:val="pt-PT"/>
        </w:rPr>
        <w:t xml:space="preserve">ritérios refere-se aos três critérios que, na legislação da União Europeia, devem ser observados para que um mercado seja suscetível de regulação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Os critérios são:</w:t>
      </w:r>
    </w:p>
    <w:p w14:paraId="15CF3DBA" w14:textId="77777777" w:rsidR="00390901" w:rsidRPr="002870AE" w:rsidRDefault="00390901" w:rsidP="002870AE">
      <w:pPr>
        <w:pStyle w:val="PargrafodaLista"/>
        <w:numPr>
          <w:ilvl w:val="0"/>
          <w:numId w:val="2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Se existem fortes e permanentes barreiras à entrada no mercado em análise;</w:t>
      </w:r>
    </w:p>
    <w:p w14:paraId="4A7FD7EB" w14:textId="77777777" w:rsidR="00390901" w:rsidRPr="002870AE" w:rsidRDefault="00390901" w:rsidP="002870AE">
      <w:pPr>
        <w:pStyle w:val="PargrafodaLista"/>
        <w:numPr>
          <w:ilvl w:val="0"/>
          <w:numId w:val="2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que medida o mercado de telecomunicações em consideração tenderia naturalmente, a curto ou médio prazo, para um nível de concorrência suficiente para proteger os interesses dos clientes, mesmo sem intervenção regulatória; e</w:t>
      </w:r>
    </w:p>
    <w:p w14:paraId="258B39ED" w14:textId="77777777" w:rsidR="00390901" w:rsidRPr="002870AE" w:rsidRDefault="00390901" w:rsidP="002870AE">
      <w:pPr>
        <w:pStyle w:val="PargrafodaLista"/>
        <w:numPr>
          <w:ilvl w:val="0"/>
          <w:numId w:val="2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 xml:space="preserve">Em que medida uma intervenção </w:t>
      </w:r>
      <w:proofErr w:type="spellStart"/>
      <w:r w:rsidRPr="002870AE">
        <w:rPr>
          <w:rFonts w:ascii="Times New Roman" w:hAnsi="Times New Roman" w:cs="Times New Roman"/>
          <w:i/>
          <w:iCs/>
          <w:sz w:val="24"/>
          <w:szCs w:val="24"/>
          <w:lang w:val="pt-PT"/>
        </w:rPr>
        <w:t>ex-post</w:t>
      </w:r>
      <w:proofErr w:type="spellEnd"/>
      <w:r w:rsidRPr="002870AE">
        <w:rPr>
          <w:rFonts w:ascii="Times New Roman" w:hAnsi="Times New Roman" w:cs="Times New Roman"/>
          <w:sz w:val="24"/>
          <w:szCs w:val="24"/>
          <w:lang w:val="pt-PT"/>
        </w:rPr>
        <w:t xml:space="preserve">, na ausência de remédios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xml:space="preserve"> no mesmo mercado de telecomunicações, seria suficiente para abordar os problemas decorrentes de posição dominante nesse mercado.</w:t>
      </w:r>
    </w:p>
    <w:p w14:paraId="6939ED9F" w14:textId="77777777" w:rsidR="00390901" w:rsidRPr="002870AE" w:rsidRDefault="0039090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Estes critérios têm de ser aplicados em conjunto. Se as barreiras à entrada não são duradouras, e se há indícios recentes de aumento da concorrência, se existe a probabilidade da concorrência aumentar a curto e médio prazo, e se há alguma razão para acreditar que a intervenção </w:t>
      </w:r>
      <w:proofErr w:type="spellStart"/>
      <w:r w:rsidRPr="002870AE">
        <w:rPr>
          <w:rFonts w:ascii="Times New Roman" w:hAnsi="Times New Roman" w:cs="Times New Roman"/>
          <w:i/>
          <w:iCs/>
          <w:sz w:val="24"/>
          <w:szCs w:val="24"/>
          <w:lang w:val="pt-PT"/>
        </w:rPr>
        <w:t>ex-post</w:t>
      </w:r>
      <w:proofErr w:type="spellEnd"/>
      <w:r w:rsidRPr="002870AE">
        <w:rPr>
          <w:rFonts w:ascii="Times New Roman" w:hAnsi="Times New Roman" w:cs="Times New Roman"/>
          <w:sz w:val="24"/>
          <w:szCs w:val="24"/>
          <w:lang w:val="pt-PT"/>
        </w:rPr>
        <w:t xml:space="preserve"> pelo regulador pode ser eficaz, há uma boa razão para o regulador se abster de intervir e determinar remédios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xml:space="preserve"> para operadores com poder significativo. Em alternativa, o regulador pode optar por acompanhar a evolução do mercado para ver se este se desenvolve no sentido de uma maior competitividade. A Comissão Europeia sintetiza e explica os critérios da seguinte forma:</w:t>
      </w:r>
    </w:p>
    <w:p w14:paraId="6E5DD343" w14:textId="77777777" w:rsidR="00390901" w:rsidRPr="002870AE" w:rsidRDefault="00390901" w:rsidP="002870AE">
      <w:pPr>
        <w:jc w:val="both"/>
        <w:rPr>
          <w:rFonts w:ascii="Times New Roman" w:hAnsi="Times New Roman" w:cs="Times New Roman"/>
          <w:sz w:val="24"/>
          <w:szCs w:val="24"/>
          <w:lang w:val="pt-PT"/>
        </w:rPr>
      </w:pPr>
    </w:p>
    <w:p w14:paraId="207E9DC3" w14:textId="1608F077" w:rsidR="00390901" w:rsidRPr="002870AE" w:rsidRDefault="00390901" w:rsidP="00C32669">
      <w:pPr>
        <w:jc w:val="both"/>
        <w:rPr>
          <w:rFonts w:ascii="Times New Roman" w:hAnsi="Times New Roman" w:cs="Times New Roman"/>
          <w:i/>
          <w:iCs/>
          <w:sz w:val="24"/>
          <w:szCs w:val="24"/>
          <w:lang w:val="pt-PT"/>
        </w:rPr>
      </w:pPr>
      <w:r w:rsidRPr="002870AE">
        <w:rPr>
          <w:rFonts w:ascii="Times New Roman" w:hAnsi="Times New Roman" w:cs="Times New Roman"/>
          <w:i/>
          <w:iCs/>
          <w:sz w:val="24"/>
          <w:szCs w:val="24"/>
          <w:lang w:val="pt-PT"/>
        </w:rPr>
        <w:t xml:space="preserve">“O primeiro critério é se o mercado está sujeito a barreiras fortes e não transitórias à entrada. A existência de barreiras fortes e não transitórios à entrada, embora uma condição necessária, não é por si só uma condição suficiente para justificar a inclusão de um determinado mercado. Dada a natureza dinâmica dos mercados de comunicações eletrónicas, a possibilidade de que o mercado se torne competitivo, apesar de existirem barreiras fortes e não transitórios à entrada, também deve ser tomada em consideração. </w:t>
      </w:r>
    </w:p>
    <w:p w14:paraId="34771563" w14:textId="71532B2F" w:rsidR="00390901" w:rsidRPr="002870AE" w:rsidRDefault="00390901" w:rsidP="00C32669">
      <w:pPr>
        <w:jc w:val="both"/>
        <w:rPr>
          <w:rFonts w:ascii="Times New Roman" w:hAnsi="Times New Roman" w:cs="Times New Roman"/>
          <w:i/>
          <w:sz w:val="24"/>
          <w:szCs w:val="24"/>
          <w:lang w:val="pt-PT"/>
        </w:rPr>
      </w:pPr>
      <w:r w:rsidRPr="002870AE">
        <w:rPr>
          <w:rFonts w:ascii="Times New Roman" w:hAnsi="Times New Roman" w:cs="Times New Roman"/>
          <w:i/>
          <w:sz w:val="24"/>
          <w:szCs w:val="24"/>
          <w:lang w:val="pt-PT"/>
        </w:rPr>
        <w:t>O segundo critério, portanto, é de que o mercado possua características tais que não tenderá ao longo do tempo para uma concorrência efetiva. Este critério é dinâmico e leva em conta uma série de aspetos estruturais e comportamentais que indicam, quando ponderados, e durante o período de tempo considerado, se o mercado tem ou não características que podem justificar a imposição de obrigações regulamentares, tal como estabelecido nas Dire</w:t>
      </w:r>
      <w:r w:rsidR="007700CE" w:rsidRPr="002870AE">
        <w:rPr>
          <w:rFonts w:ascii="Times New Roman" w:hAnsi="Times New Roman" w:cs="Times New Roman"/>
          <w:i/>
          <w:sz w:val="24"/>
          <w:szCs w:val="24"/>
          <w:lang w:val="pt-PT"/>
        </w:rPr>
        <w:t>t</w:t>
      </w:r>
      <w:r w:rsidRPr="002870AE">
        <w:rPr>
          <w:rFonts w:ascii="Times New Roman" w:hAnsi="Times New Roman" w:cs="Times New Roman"/>
          <w:i/>
          <w:sz w:val="24"/>
          <w:szCs w:val="24"/>
          <w:lang w:val="pt-PT"/>
        </w:rPr>
        <w:t>ivas específicas do novo regime regulamentar [EU].</w:t>
      </w:r>
    </w:p>
    <w:p w14:paraId="577C3EBF" w14:textId="77777777" w:rsidR="00390901" w:rsidRPr="002870AE" w:rsidRDefault="00390901" w:rsidP="00C32669">
      <w:pPr>
        <w:jc w:val="both"/>
        <w:rPr>
          <w:rFonts w:ascii="Times New Roman" w:hAnsi="Times New Roman" w:cs="Times New Roman"/>
          <w:i/>
          <w:sz w:val="24"/>
          <w:szCs w:val="24"/>
          <w:lang w:val="pt-PT"/>
        </w:rPr>
      </w:pPr>
      <w:r w:rsidRPr="002870AE">
        <w:rPr>
          <w:rFonts w:ascii="Times New Roman" w:hAnsi="Times New Roman" w:cs="Times New Roman"/>
          <w:i/>
          <w:sz w:val="24"/>
          <w:szCs w:val="24"/>
          <w:lang w:val="pt-PT"/>
        </w:rPr>
        <w:t xml:space="preserve">O terceiro critério considera a insuficiência do direito da concorrência por si só para lidar com a falha de mercado (sem regulação </w:t>
      </w:r>
      <w:proofErr w:type="spellStart"/>
      <w:r w:rsidRPr="002870AE">
        <w:rPr>
          <w:rFonts w:ascii="Times New Roman" w:hAnsi="Times New Roman" w:cs="Times New Roman"/>
          <w:i/>
          <w:sz w:val="24"/>
          <w:szCs w:val="24"/>
          <w:lang w:val="pt-PT"/>
        </w:rPr>
        <w:t>ex</w:t>
      </w:r>
      <w:proofErr w:type="spellEnd"/>
      <w:r w:rsidRPr="002870AE">
        <w:rPr>
          <w:rFonts w:ascii="Times New Roman" w:hAnsi="Times New Roman" w:cs="Times New Roman"/>
          <w:i/>
          <w:sz w:val="24"/>
          <w:szCs w:val="24"/>
          <w:lang w:val="pt-PT"/>
        </w:rPr>
        <w:t xml:space="preserve"> ante), tendo em conta as características específicas do sector das comunicações eletrónicas.”</w:t>
      </w:r>
    </w:p>
    <w:p w14:paraId="547FFFAD" w14:textId="77777777" w:rsidR="00390901" w:rsidRPr="002870AE" w:rsidRDefault="00390901" w:rsidP="002870AE">
      <w:pPr>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 xml:space="preserve">Somente se o regulador considerar que um mercado cumpre o primeiro critério, acima, será necessário avaliar o mercado em relação ao segundo critério. Essa análise deve examinar as características estruturais do mercado relevante e considerar se essas características provavelmente permitirão ao mercado tornar-se ou permanecer efetivamente competitivo por um período prospetivo de 2 a 3 anos. O período de 2 a 3 anos é considerado geralmente adequado, dada a natureza em rápida mudança do setor das comunicações eletrónicas. </w:t>
      </w:r>
    </w:p>
    <w:p w14:paraId="4EB5796E" w14:textId="57EDA201" w:rsidR="00A13E3E" w:rsidRPr="002870AE" w:rsidRDefault="00A13E3E" w:rsidP="002870AE">
      <w:pPr>
        <w:pStyle w:val="Corpodetexto"/>
        <w:jc w:val="both"/>
        <w:rPr>
          <w:rFonts w:ascii="Times New Roman" w:hAnsi="Times New Roman" w:cs="Times New Roman"/>
          <w:iCs/>
          <w:sz w:val="24"/>
          <w:szCs w:val="24"/>
          <w:lang w:val="pt-PT"/>
        </w:rPr>
      </w:pPr>
      <w:r w:rsidRPr="002870AE">
        <w:rPr>
          <w:rFonts w:ascii="Times New Roman" w:hAnsi="Times New Roman" w:cs="Times New Roman"/>
          <w:iCs/>
          <w:sz w:val="24"/>
          <w:szCs w:val="24"/>
          <w:lang w:val="pt-PT"/>
        </w:rPr>
        <w:t xml:space="preserve">Quanto ao terceiro critério, insuficiência do direito da concorrência por si só para lidar com a falha de mercado, no entender da ARN não há necessidade de fazer uma avaliação para cada mercado individual na Guiné Bissau. É improvável que os controlos </w:t>
      </w:r>
      <w:proofErr w:type="spellStart"/>
      <w:r w:rsidRPr="002870AE">
        <w:rPr>
          <w:rFonts w:ascii="Times New Roman" w:hAnsi="Times New Roman" w:cs="Times New Roman"/>
          <w:i/>
          <w:sz w:val="24"/>
          <w:szCs w:val="24"/>
          <w:lang w:val="pt-PT"/>
        </w:rPr>
        <w:t>ex</w:t>
      </w:r>
      <w:proofErr w:type="spellEnd"/>
      <w:r w:rsidRPr="002870AE">
        <w:rPr>
          <w:rFonts w:ascii="Times New Roman" w:hAnsi="Times New Roman" w:cs="Times New Roman"/>
          <w:i/>
          <w:sz w:val="24"/>
          <w:szCs w:val="24"/>
          <w:lang w:val="pt-PT"/>
        </w:rPr>
        <w:t xml:space="preserve"> </w:t>
      </w:r>
      <w:proofErr w:type="spellStart"/>
      <w:r w:rsidRPr="002870AE">
        <w:rPr>
          <w:rFonts w:ascii="Times New Roman" w:hAnsi="Times New Roman" w:cs="Times New Roman"/>
          <w:i/>
          <w:sz w:val="24"/>
          <w:szCs w:val="24"/>
          <w:lang w:val="pt-PT"/>
        </w:rPr>
        <w:t>post</w:t>
      </w:r>
      <w:proofErr w:type="spellEnd"/>
      <w:r w:rsidR="001B67C9" w:rsidRPr="002870AE">
        <w:rPr>
          <w:rStyle w:val="Refdenotaderodap"/>
          <w:rFonts w:ascii="Times New Roman" w:hAnsi="Times New Roman"/>
          <w:i/>
          <w:sz w:val="24"/>
          <w:szCs w:val="24"/>
          <w:lang w:val="pt-PT"/>
        </w:rPr>
        <w:footnoteReference w:id="5"/>
      </w:r>
      <w:r w:rsidRPr="002870AE">
        <w:rPr>
          <w:rFonts w:ascii="Times New Roman" w:hAnsi="Times New Roman" w:cs="Times New Roman"/>
          <w:iCs/>
          <w:sz w:val="24"/>
          <w:szCs w:val="24"/>
          <w:lang w:val="pt-PT"/>
        </w:rPr>
        <w:t xml:space="preserve"> da concorrência resolvam adequadamente as falhas de mercado nesses mercados porque a Guiné Bissau não possui uma lei da concorrência, portanto a ARN seria totalmente dependente das disposições da Lei que exigem investigação intensiva e levaria muito tempo para tratar de forma eficaz os problemas ditos de concorrência. </w:t>
      </w:r>
    </w:p>
    <w:p w14:paraId="5A2CCFD4" w14:textId="45D0955B" w:rsidR="00F64A1C" w:rsidRPr="002870AE" w:rsidRDefault="00A13E3E" w:rsidP="002870AE">
      <w:pPr>
        <w:pStyle w:val="Corpodetexto"/>
        <w:jc w:val="both"/>
        <w:rPr>
          <w:rFonts w:ascii="Times New Roman" w:hAnsi="Times New Roman" w:cs="Times New Roman"/>
          <w:iCs/>
          <w:sz w:val="24"/>
          <w:szCs w:val="24"/>
          <w:lang w:val="pt-PT"/>
        </w:rPr>
      </w:pPr>
      <w:r w:rsidRPr="002870AE">
        <w:rPr>
          <w:rFonts w:ascii="Times New Roman" w:hAnsi="Times New Roman" w:cs="Times New Roman"/>
          <w:iCs/>
          <w:sz w:val="24"/>
          <w:szCs w:val="24"/>
          <w:lang w:val="pt-PT"/>
        </w:rPr>
        <w:lastRenderedPageBreak/>
        <w:t xml:space="preserve">Danos consideráveis aos interesses do consumidor podem ocorrer nesse período. Portanto, é importante que qualquer exercício de poder de mercado significativo seja impedido na fonte e não resolvido após o evento. Portanto, </w:t>
      </w:r>
      <w:r w:rsidR="001B67C9" w:rsidRPr="002870AE">
        <w:rPr>
          <w:rFonts w:ascii="Times New Roman" w:hAnsi="Times New Roman" w:cs="Times New Roman"/>
          <w:iCs/>
          <w:sz w:val="24"/>
          <w:szCs w:val="24"/>
          <w:lang w:val="pt-PT"/>
        </w:rPr>
        <w:t>decidiu-se avaliar</w:t>
      </w:r>
      <w:r w:rsidRPr="002870AE">
        <w:rPr>
          <w:rFonts w:ascii="Times New Roman" w:hAnsi="Times New Roman" w:cs="Times New Roman"/>
          <w:iCs/>
          <w:sz w:val="24"/>
          <w:szCs w:val="24"/>
          <w:lang w:val="pt-PT"/>
        </w:rPr>
        <w:t xml:space="preserve"> cada mercado </w:t>
      </w:r>
      <w:r w:rsidR="00247D06" w:rsidRPr="002870AE">
        <w:rPr>
          <w:rFonts w:ascii="Times New Roman" w:hAnsi="Times New Roman" w:cs="Times New Roman"/>
          <w:iCs/>
          <w:sz w:val="24"/>
          <w:szCs w:val="24"/>
          <w:lang w:val="pt-PT"/>
        </w:rPr>
        <w:t xml:space="preserve">quanto à sua relevância </w:t>
      </w:r>
      <w:r w:rsidRPr="002870AE">
        <w:rPr>
          <w:rFonts w:ascii="Times New Roman" w:hAnsi="Times New Roman" w:cs="Times New Roman"/>
          <w:iCs/>
          <w:sz w:val="24"/>
          <w:szCs w:val="24"/>
          <w:lang w:val="pt-PT"/>
        </w:rPr>
        <w:t>apenas com base nos dois primeiros critérios</w:t>
      </w:r>
      <w:r w:rsidR="00247D06" w:rsidRPr="002870AE">
        <w:rPr>
          <w:rFonts w:ascii="Times New Roman" w:hAnsi="Times New Roman" w:cs="Times New Roman"/>
          <w:iCs/>
          <w:sz w:val="24"/>
          <w:szCs w:val="24"/>
          <w:lang w:val="pt-PT"/>
        </w:rPr>
        <w:t>,</w:t>
      </w:r>
      <w:r w:rsidRPr="002870AE">
        <w:rPr>
          <w:rFonts w:ascii="Times New Roman" w:hAnsi="Times New Roman" w:cs="Times New Roman"/>
          <w:iCs/>
          <w:sz w:val="24"/>
          <w:szCs w:val="24"/>
          <w:lang w:val="pt-PT"/>
        </w:rPr>
        <w:t xml:space="preserve"> conforme descrito nas secções a seguir.</w:t>
      </w:r>
    </w:p>
    <w:p w14:paraId="62BD39A8" w14:textId="4A821286" w:rsidR="00247D06" w:rsidRPr="002870AE" w:rsidRDefault="00390901" w:rsidP="002870AE">
      <w:pPr>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 xml:space="preserve">O trabalho necessário para atingir estes objetivos é substancial e, em muitos países, exigiu uma quantidade de tempo e esforço muito elevado. Para um país com a dimensão e o nível de desenvolvimento do setor na Guiné Bissau seria vantajoso que as lições aprendidas com a experiência noutras jurisdições pudessem ser aproveitadas e que uma abordagem simplificada pudesse ser adotada sempre que possível.  Por exemplo poderia partir-se de uma </w:t>
      </w:r>
      <w:r w:rsidR="00D0058A" w:rsidRPr="002870AE">
        <w:rPr>
          <w:rFonts w:ascii="Times New Roman" w:hAnsi="Times New Roman" w:cs="Times New Roman"/>
          <w:kern w:val="32"/>
          <w:sz w:val="24"/>
          <w:szCs w:val="24"/>
          <w:lang w:val="pt-PT"/>
        </w:rPr>
        <w:t>lista de</w:t>
      </w:r>
      <w:r w:rsidRPr="002870AE">
        <w:rPr>
          <w:rFonts w:ascii="Times New Roman" w:hAnsi="Times New Roman" w:cs="Times New Roman"/>
          <w:kern w:val="32"/>
          <w:sz w:val="24"/>
          <w:szCs w:val="24"/>
          <w:lang w:val="pt-PT"/>
        </w:rPr>
        <w:t xml:space="preserve"> mercados candidatos sem que fosse necessário realizar todo o processo completo de definição de mercado e que como referimos anteriormente exige a aplicação de um teste baseado na avaliação da substituibilidade de produtos e serviços, tanto do lado da oferta quanto do lado da procura. Esse é um processo complicado que requer dados de mercado detalhados, alguns dos quais é extremamente improvável que existam, e frequentemente pesquisas sobre o comportamento do consumidor. No entanto se pretendêssemos aproveitar o trabalho exaustivo realizado pela Comissão Europeia no estabelecimento de 18 mercados relevantes para análises detalhadas como o nosso ponto de partida constataríamos que não têm na sua grande maioria aplicabilidade no território da Guiné Bissau. O conjunto original de 18 mercados da Comissão Europeia tem especial incidência nos serviços fixos de retalho e grossistas enquanto que a realidade do setor na Guiné Bissau assenta nos serviços móveis que nas jurisdições europeias não foram objeto de análise</w:t>
      </w:r>
      <w:r w:rsidR="00247D06" w:rsidRPr="002870AE">
        <w:rPr>
          <w:rFonts w:ascii="Times New Roman" w:hAnsi="Times New Roman" w:cs="Times New Roman"/>
          <w:kern w:val="32"/>
          <w:sz w:val="24"/>
          <w:szCs w:val="24"/>
          <w:lang w:val="pt-PT"/>
        </w:rPr>
        <w:t xml:space="preserve"> por já serem considerados mercados concorrenciais</w:t>
      </w:r>
      <w:r w:rsidRPr="002870AE">
        <w:rPr>
          <w:rFonts w:ascii="Times New Roman" w:hAnsi="Times New Roman" w:cs="Times New Roman"/>
          <w:kern w:val="32"/>
          <w:sz w:val="24"/>
          <w:szCs w:val="24"/>
          <w:lang w:val="pt-PT"/>
        </w:rPr>
        <w:t xml:space="preserve">. </w:t>
      </w:r>
      <w:r w:rsidR="00247D06" w:rsidRPr="002870AE">
        <w:rPr>
          <w:rFonts w:ascii="Times New Roman" w:hAnsi="Times New Roman" w:cs="Times New Roman"/>
          <w:kern w:val="32"/>
          <w:sz w:val="24"/>
          <w:szCs w:val="24"/>
          <w:lang w:val="pt-PT"/>
        </w:rPr>
        <w:t>Assim propomos, para realizar a análise de mercado, partir dos serviços atualmente oferecidos na Guiné Bissau. Os serviços atualmente oferecidos na Guiné Bissau (incluindo aqueles que apenas são oferecidos ao negócio de retalho por um operador verticalmente integrado), considerando que cada um pode constituir o produto focal para delimitar um mercado, são os seguintes:</w:t>
      </w:r>
    </w:p>
    <w:p w14:paraId="1059D8B9" w14:textId="77777777" w:rsidR="00247D06" w:rsidRPr="002870AE" w:rsidRDefault="00247D06" w:rsidP="002870AE">
      <w:pPr>
        <w:spacing w:line="288" w:lineRule="auto"/>
        <w:ind w:left="360"/>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Nível retalhista:</w:t>
      </w:r>
    </w:p>
    <w:p w14:paraId="61DBD9E4"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1. Acesso a redes móveis. </w:t>
      </w:r>
    </w:p>
    <w:p w14:paraId="4A42F1DE"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2. Serviços de chamadas de voz nacionais em redes móveis. </w:t>
      </w:r>
    </w:p>
    <w:p w14:paraId="0545BD06"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 Serviços de mensagens de texto nacionais em redes móveis</w:t>
      </w:r>
    </w:p>
    <w:p w14:paraId="5F714DD1"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4. Serviços de chamadas de voz internacionais em redes móveis. </w:t>
      </w:r>
    </w:p>
    <w:p w14:paraId="18C34570"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5. Serviços de mensagens de texto internacionais em redes móveis. </w:t>
      </w:r>
    </w:p>
    <w:p w14:paraId="164B8C7E"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6. Serviços de acesso á internet em redes móveis. </w:t>
      </w:r>
    </w:p>
    <w:p w14:paraId="6B597717" w14:textId="77777777" w:rsidR="00247D06" w:rsidRPr="002870AE" w:rsidRDefault="00247D06" w:rsidP="002870AE">
      <w:pPr>
        <w:spacing w:line="288" w:lineRule="auto"/>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7. Serviços de acesso á internet num local fixo</w:t>
      </w:r>
    </w:p>
    <w:p w14:paraId="623AABD5" w14:textId="77777777" w:rsidR="00247D06" w:rsidRPr="002870AE" w:rsidRDefault="00247D06" w:rsidP="002870AE">
      <w:pPr>
        <w:ind w:left="360"/>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 xml:space="preserve">Nível grossista: </w:t>
      </w:r>
    </w:p>
    <w:p w14:paraId="7FDEFB98" w14:textId="77777777" w:rsidR="00247D06" w:rsidRPr="002870AE" w:rsidRDefault="00247D06"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8. Terminação de chamadas de voz em redes móveis </w:t>
      </w:r>
    </w:p>
    <w:p w14:paraId="6224C05C" w14:textId="77777777" w:rsidR="00C32669" w:rsidRDefault="00247D06" w:rsidP="00C32669">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9. Terminação de mensagens de texto em redes móveis</w:t>
      </w:r>
    </w:p>
    <w:p w14:paraId="0DEC22E2" w14:textId="12B26DA3" w:rsidR="00247D06" w:rsidRPr="002870AE" w:rsidRDefault="00247D06" w:rsidP="00C32669">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10. Acesso e </w:t>
      </w:r>
      <w:proofErr w:type="spellStart"/>
      <w:r w:rsidRPr="002870AE">
        <w:rPr>
          <w:rFonts w:ascii="Times New Roman" w:hAnsi="Times New Roman" w:cs="Times New Roman"/>
          <w:sz w:val="24"/>
          <w:szCs w:val="24"/>
          <w:lang w:val="pt-PT"/>
        </w:rPr>
        <w:t>originação</w:t>
      </w:r>
      <w:proofErr w:type="spellEnd"/>
      <w:r w:rsidRPr="002870AE">
        <w:rPr>
          <w:rFonts w:ascii="Times New Roman" w:hAnsi="Times New Roman" w:cs="Times New Roman"/>
          <w:sz w:val="24"/>
          <w:szCs w:val="24"/>
          <w:lang w:val="pt-PT"/>
        </w:rPr>
        <w:t xml:space="preserve"> a redes móveis</w:t>
      </w:r>
      <w:r w:rsidRPr="002870AE">
        <w:rPr>
          <w:rStyle w:val="Refdenotaderodap"/>
          <w:rFonts w:ascii="Times New Roman" w:hAnsi="Times New Roman"/>
          <w:sz w:val="24"/>
          <w:szCs w:val="24"/>
          <w:lang w:val="pt-PT"/>
        </w:rPr>
        <w:footnoteReference w:id="6"/>
      </w:r>
      <w:r w:rsidRPr="002870AE">
        <w:rPr>
          <w:rFonts w:ascii="Times New Roman" w:hAnsi="Times New Roman" w:cs="Times New Roman"/>
          <w:sz w:val="24"/>
          <w:szCs w:val="24"/>
          <w:lang w:val="pt-PT"/>
        </w:rPr>
        <w:t xml:space="preserve"> </w:t>
      </w:r>
    </w:p>
    <w:p w14:paraId="3702EFB3" w14:textId="77777777" w:rsidR="00247D06" w:rsidRPr="002870AE" w:rsidRDefault="00247D06"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 xml:space="preserve">11. Acesso a infraestrutura passiva </w:t>
      </w:r>
      <w:r w:rsidRPr="002870AE">
        <w:rPr>
          <w:rStyle w:val="Refdenotaderodap"/>
          <w:rFonts w:ascii="Times New Roman" w:hAnsi="Times New Roman"/>
          <w:sz w:val="24"/>
          <w:szCs w:val="24"/>
          <w:lang w:val="pt-PT"/>
        </w:rPr>
        <w:footnoteReference w:id="7"/>
      </w:r>
    </w:p>
    <w:p w14:paraId="06B27754" w14:textId="77777777" w:rsidR="00247D06" w:rsidRPr="002870AE" w:rsidRDefault="00247D06"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12. Acesso a capacidade internacional</w:t>
      </w:r>
      <w:r w:rsidRPr="002870AE">
        <w:rPr>
          <w:rStyle w:val="Refdenotaderodap"/>
          <w:rFonts w:ascii="Times New Roman" w:hAnsi="Times New Roman"/>
          <w:sz w:val="24"/>
          <w:szCs w:val="24"/>
          <w:lang w:val="pt-PT"/>
        </w:rPr>
        <w:footnoteReference w:id="8"/>
      </w:r>
    </w:p>
    <w:p w14:paraId="07988811" w14:textId="36F46177" w:rsidR="00247D06" w:rsidRDefault="00247D06" w:rsidP="002870AE">
      <w:pPr>
        <w:jc w:val="both"/>
        <w:rPr>
          <w:rFonts w:ascii="Times New Roman" w:hAnsi="Times New Roman" w:cs="Times New Roman"/>
          <w:kern w:val="32"/>
          <w:sz w:val="24"/>
          <w:szCs w:val="24"/>
          <w:lang w:val="pt-PT"/>
        </w:rPr>
      </w:pPr>
      <w:r w:rsidRPr="002870AE">
        <w:rPr>
          <w:rFonts w:ascii="Times New Roman" w:hAnsi="Times New Roman" w:cs="Times New Roman"/>
          <w:sz w:val="24"/>
          <w:szCs w:val="24"/>
          <w:lang w:val="pt-PT"/>
        </w:rPr>
        <w:t>Quando relevante em cada um dos mercados, a ARN analisou potenciais diferenças para clientes residenciais e não residenciais</w:t>
      </w:r>
      <w:r w:rsidRPr="002870AE">
        <w:rPr>
          <w:rFonts w:ascii="Times New Roman" w:hAnsi="Times New Roman" w:cs="Times New Roman"/>
          <w:kern w:val="32"/>
          <w:sz w:val="24"/>
          <w:szCs w:val="24"/>
          <w:lang w:val="pt-PT"/>
        </w:rPr>
        <w:t xml:space="preserve"> de forma a incluir ou não ofertas específicas no mesmo mercado.</w:t>
      </w:r>
    </w:p>
    <w:p w14:paraId="584BD61D" w14:textId="77777777" w:rsidR="00C32669" w:rsidRDefault="00C32669" w:rsidP="002870AE">
      <w:pPr>
        <w:jc w:val="both"/>
        <w:rPr>
          <w:rFonts w:ascii="Times New Roman" w:hAnsi="Times New Roman" w:cs="Times New Roman"/>
          <w:kern w:val="32"/>
          <w:sz w:val="24"/>
          <w:szCs w:val="24"/>
          <w:lang w:val="pt-PT"/>
        </w:rPr>
      </w:pPr>
    </w:p>
    <w:p w14:paraId="6FFADBAA" w14:textId="0C4651B2" w:rsidR="00263DBC" w:rsidRPr="002870AE" w:rsidRDefault="00F51996" w:rsidP="002870AE">
      <w:pPr>
        <w:pStyle w:val="Ttulo1"/>
        <w:jc w:val="both"/>
        <w:rPr>
          <w:rFonts w:ascii="Times New Roman" w:hAnsi="Times New Roman" w:cs="Times New Roman"/>
          <w:sz w:val="24"/>
          <w:szCs w:val="24"/>
          <w:lang w:val="pt-PT"/>
        </w:rPr>
      </w:pPr>
      <w:bookmarkStart w:id="11" w:name="_Toc52034799"/>
      <w:r w:rsidRPr="002870AE">
        <w:rPr>
          <w:rFonts w:ascii="Times New Roman" w:hAnsi="Times New Roman" w:cs="Times New Roman"/>
          <w:sz w:val="24"/>
          <w:szCs w:val="24"/>
          <w:lang w:val="pt-PT"/>
        </w:rPr>
        <w:lastRenderedPageBreak/>
        <w:t>definição do âmbito dos mercados</w:t>
      </w:r>
      <w:bookmarkEnd w:id="11"/>
    </w:p>
    <w:p w14:paraId="2BAE779A" w14:textId="77777777" w:rsidR="003529EE" w:rsidRPr="002870AE" w:rsidRDefault="003529E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A definição de mercados candidatos começa com a identificação de um serviço focal definido de maneira restrita, por exemplo chamadas de voz em redes móveis nacionais. O mercado para a prestação deste serviço é então ampliado para todos os substitutos do lado da procura e da oferta que um hipotético monopolista precisaria controlar antes que pudesse aumentar os preços de maneira lucrativa numa quantia pequena, mas significativa e de forma não transitória. </w:t>
      </w:r>
    </w:p>
    <w:p w14:paraId="5F2F203E" w14:textId="77777777" w:rsidR="003529EE" w:rsidRPr="002870AE" w:rsidRDefault="003529E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A abordagem identifica segmentos de retalho e grossistas reconhecendo que os mercados grossistas são derivados dos mercados de retalho. Na presença de dois mercados verticalmente conexos, uma das primeiras perguntas é se é indiferente ser o mercado a montante ou a jusante o primeiro a ser delineado. A Recomendação da UE sobre mercados relevantes de produtos e serviços</w:t>
      </w:r>
      <w:r w:rsidRPr="002870AE">
        <w:rPr>
          <w:rStyle w:val="Refdenotaderodap"/>
          <w:rFonts w:ascii="Times New Roman" w:hAnsi="Times New Roman"/>
          <w:sz w:val="24"/>
          <w:szCs w:val="24"/>
          <w:lang w:val="pt-PT" w:eastAsia="en-GB"/>
        </w:rPr>
        <w:footnoteReference w:id="9"/>
      </w:r>
      <w:r w:rsidRPr="002870AE">
        <w:rPr>
          <w:rFonts w:ascii="Times New Roman" w:hAnsi="Times New Roman" w:cs="Times New Roman"/>
          <w:sz w:val="24"/>
          <w:szCs w:val="24"/>
          <w:lang w:val="pt-PT" w:eastAsia="en-GB"/>
        </w:rPr>
        <w:t xml:space="preserve"> indica que a definição de mercado deve começar com a definição de um mercado de retalho relevante. Esta recomendação baseia-se no facto de que a procura pelo produto ou serviço a montante é uma procura derivada, ou seja, é a procura pelos serviços de retalho que determina a procura pelo produto grossista. Portanto, uma análise de dominância num mercado a montante depende das condições competitivas no mercado a jusante relacionado. </w:t>
      </w:r>
    </w:p>
    <w:p w14:paraId="2DF4C770" w14:textId="77777777" w:rsidR="003529EE" w:rsidRPr="002870AE" w:rsidRDefault="003529EE" w:rsidP="002870AE">
      <w:pPr>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O processo de análise aborda duas dimensões principais: a dimensão relevante do produto (também considerada um mercado de serviços no contexto das telecomunicações) e a dimensão geográfica relevante de cada mercado de produto. O objetivo desta abordagem ao longo de duas dimensões é ser capaz de identificar mercados económicos nos quais as condições são homogêneas. Ou seja, os produtos no mercado e a geografia sobre a qual o mercado é definido têm restrições concorrenciais semelhantes em termos de procura e oferta. </w:t>
      </w:r>
    </w:p>
    <w:p w14:paraId="2293D028" w14:textId="77777777" w:rsidR="003529EE" w:rsidRPr="002870AE" w:rsidRDefault="003529EE" w:rsidP="002870AE">
      <w:pPr>
        <w:jc w:val="both"/>
        <w:rPr>
          <w:rFonts w:ascii="Times New Roman" w:hAnsi="Times New Roman" w:cs="Times New Roman"/>
          <w:sz w:val="24"/>
          <w:szCs w:val="24"/>
          <w:lang w:val="pt-PT"/>
        </w:rPr>
      </w:pPr>
      <w:r w:rsidRPr="002870AE">
        <w:rPr>
          <w:rFonts w:ascii="Times New Roman" w:eastAsia="MS Mincho" w:hAnsi="Times New Roman" w:cs="Times New Roman"/>
          <w:bCs/>
          <w:sz w:val="24"/>
          <w:szCs w:val="24"/>
          <w:lang w:val="pt-PT"/>
        </w:rPr>
        <w:t xml:space="preserve">De acordo com as melhores práticas, no setor das comunicações eletrónicas, a definição do âmbito geográfico do mercado é geralmente determinada com referência à área coberta por uma rede e à existência de instrumentos legais e outros instrumentos regulatórios. Com base nessas definições, conforme já referido anteriormente, </w:t>
      </w:r>
      <w:r w:rsidRPr="002870AE">
        <w:rPr>
          <w:rFonts w:ascii="Times New Roman" w:hAnsi="Times New Roman" w:cs="Times New Roman"/>
          <w:sz w:val="24"/>
          <w:szCs w:val="24"/>
          <w:lang w:val="pt-PT"/>
        </w:rPr>
        <w:t xml:space="preserve">que a não ser que existam fatores que demonstrem o contrário cada mercado identificado é considerado ser de âmbito nacional. </w:t>
      </w:r>
      <w:r w:rsidRPr="002870AE">
        <w:rPr>
          <w:rFonts w:ascii="Times New Roman" w:eastAsia="MS Mincho" w:hAnsi="Times New Roman" w:cs="Times New Roman"/>
          <w:bCs/>
          <w:sz w:val="24"/>
          <w:szCs w:val="24"/>
          <w:lang w:val="pt-PT"/>
        </w:rPr>
        <w:t>Esta perspetiva é também suportada pelo fato de que ambas as operadoras móveis operam a nível nacional e não diferenciam os seus serviços em termos de preço e disponibilidade entre diferentes regiões geográficas da Guiné Bissau.</w:t>
      </w:r>
    </w:p>
    <w:p w14:paraId="55F53BEB" w14:textId="05E77426" w:rsidR="00490FC5" w:rsidRPr="002870AE" w:rsidRDefault="003529EE" w:rsidP="002870AE">
      <w:pPr>
        <w:autoSpaceDE w:val="0"/>
        <w:autoSpaceDN w:val="0"/>
        <w:adjustRightInd w:val="0"/>
        <w:spacing w:before="0" w:after="0"/>
        <w:jc w:val="both"/>
        <w:rPr>
          <w:rFonts w:ascii="Times New Roman" w:hAnsi="Times New Roman" w:cs="Times New Roman"/>
          <w:sz w:val="24"/>
          <w:szCs w:val="24"/>
          <w:lang w:val="pt-PT" w:eastAsia="en-GB"/>
        </w:rPr>
      </w:pPr>
      <w:r w:rsidRPr="002870AE">
        <w:rPr>
          <w:rFonts w:ascii="Times New Roman" w:hAnsi="Times New Roman" w:cs="Times New Roman"/>
          <w:sz w:val="24"/>
          <w:szCs w:val="24"/>
          <w:lang w:val="pt-PT" w:eastAsia="en-GB"/>
        </w:rPr>
        <w:t xml:space="preserve">A abordagem proposta também considera se diferentes segmentos de clientes, nomeadamente clientes empresariais e residenciais, têm graus de homogeneidade suficientes para serem incluídos no mesmo mercado económico. Por vezes, dependendo das circunstâncias, as restrições concorrenciais entre esses dois segmentos variam substancialmente. Do lado da procura, pode haver grandes diferenças entre os requisitos de clientes residenciais e empresariais ou diferenças na elasticidade da procura (ou seja, a disposição do valor a pagar pelo mesmo produto é substancialmente diferente). Do lado da oferta, as diferenças podem significar por exemplo que um segmento de clientes tem mais concorrentes oferecendo os seus serviços do que o outro segmento. </w:t>
      </w:r>
    </w:p>
    <w:p w14:paraId="1B5F7F8B" w14:textId="77777777" w:rsidR="00490FC5" w:rsidRPr="002870AE" w:rsidRDefault="00490FC5" w:rsidP="002870AE">
      <w:pPr>
        <w:autoSpaceDE w:val="0"/>
        <w:autoSpaceDN w:val="0"/>
        <w:adjustRightInd w:val="0"/>
        <w:spacing w:before="0" w:after="0"/>
        <w:jc w:val="both"/>
        <w:rPr>
          <w:rFonts w:ascii="Times New Roman" w:hAnsi="Times New Roman" w:cs="Times New Roman"/>
          <w:sz w:val="24"/>
          <w:szCs w:val="24"/>
          <w:lang w:val="pt-PT" w:eastAsia="en-GB"/>
        </w:rPr>
      </w:pPr>
    </w:p>
    <w:p w14:paraId="5EE98BA9" w14:textId="3C087B44" w:rsidR="003529EE" w:rsidRPr="002870AE" w:rsidRDefault="00490FC5" w:rsidP="002870AE">
      <w:pPr>
        <w:autoSpaceDE w:val="0"/>
        <w:autoSpaceDN w:val="0"/>
        <w:adjustRightInd w:val="0"/>
        <w:spacing w:before="0" w:after="0"/>
        <w:jc w:val="both"/>
        <w:rPr>
          <w:rFonts w:ascii="Times New Roman" w:eastAsia="Calibri" w:hAnsi="Times New Roman" w:cs="Times New Roman"/>
          <w:sz w:val="24"/>
          <w:szCs w:val="24"/>
          <w:lang w:val="pt-PT"/>
        </w:rPr>
      </w:pPr>
      <w:r w:rsidRPr="002870AE">
        <w:rPr>
          <w:rFonts w:ascii="Times New Roman" w:eastAsia="Calibri" w:hAnsi="Times New Roman" w:cs="Times New Roman"/>
          <w:sz w:val="24"/>
          <w:szCs w:val="24"/>
          <w:lang w:val="pt-PT"/>
        </w:rPr>
        <w:lastRenderedPageBreak/>
        <w:t xml:space="preserve">Por último a abordagem metodológica seguida na definição dos mercados considera também uma visão prospetiva dos mercados, ou seja, a sua potencial evolução num período razoável de tempo (2 a 3 anos). A substituição do lado da procura deve atender às restrições competitivas impostas pelos serviços emergentes e, ao avaliar a substituição da oferta, deve-se ter em consideração a probabilidade de possíveis concorrentes entrarem no mercado dentro de um prazo razoável. Consequentemente, a concorrência potencial deve ser abordada na definição do mercado (e não posteriormente na avaliação de poder de mercado) sempre que a capacidade financeira e a lucratividade motivem possíveis concorrentes a entrarem num determinado mercado. A avaliação das restrições impostas pelos serviços emergentes como por exemplo voz sobre internet que são substitutos da telefonia tradicional deve ser também considerada para se realizar uma análise consistente do mercado e aplicar com precisão a regulação </w:t>
      </w:r>
      <w:proofErr w:type="spellStart"/>
      <w:r w:rsidRPr="002870AE">
        <w:rPr>
          <w:rFonts w:ascii="Times New Roman" w:eastAsia="Calibri" w:hAnsi="Times New Roman" w:cs="Times New Roman"/>
          <w:i/>
          <w:iCs/>
          <w:sz w:val="24"/>
          <w:szCs w:val="24"/>
          <w:lang w:val="pt-PT"/>
        </w:rPr>
        <w:t>ex</w:t>
      </w:r>
      <w:proofErr w:type="spellEnd"/>
      <w:r w:rsidRPr="002870AE">
        <w:rPr>
          <w:rFonts w:ascii="Times New Roman" w:eastAsia="Calibri" w:hAnsi="Times New Roman" w:cs="Times New Roman"/>
          <w:i/>
          <w:iCs/>
          <w:sz w:val="24"/>
          <w:szCs w:val="24"/>
          <w:lang w:val="pt-PT"/>
        </w:rPr>
        <w:t xml:space="preserve"> ante</w:t>
      </w:r>
      <w:r w:rsidRPr="002870AE">
        <w:rPr>
          <w:rFonts w:ascii="Times New Roman" w:eastAsia="Calibri" w:hAnsi="Times New Roman" w:cs="Times New Roman"/>
          <w:sz w:val="24"/>
          <w:szCs w:val="24"/>
          <w:lang w:val="pt-PT"/>
        </w:rPr>
        <w:t>.</w:t>
      </w:r>
    </w:p>
    <w:p w14:paraId="7FA4F55C" w14:textId="0A0DFBC6" w:rsidR="0038594D" w:rsidRPr="002870AE" w:rsidRDefault="0038594D" w:rsidP="002870AE">
      <w:pPr>
        <w:pStyle w:val="Ttulo2"/>
        <w:ind w:left="709" w:hanging="709"/>
        <w:jc w:val="both"/>
        <w:rPr>
          <w:rFonts w:ascii="Times New Roman" w:hAnsi="Times New Roman" w:cs="Times New Roman"/>
          <w:lang w:val="pt-PT"/>
        </w:rPr>
      </w:pPr>
      <w:bookmarkStart w:id="12" w:name="_Toc52034800"/>
      <w:r w:rsidRPr="002870AE">
        <w:rPr>
          <w:rFonts w:ascii="Times New Roman" w:hAnsi="Times New Roman" w:cs="Times New Roman"/>
          <w:lang w:val="pt-PT"/>
        </w:rPr>
        <w:t xml:space="preserve">Mercado 1 (Retalho): </w:t>
      </w:r>
      <w:r w:rsidR="00FC05E6" w:rsidRPr="002870AE">
        <w:rPr>
          <w:rFonts w:ascii="Times New Roman" w:hAnsi="Times New Roman" w:cs="Times New Roman"/>
          <w:lang w:val="pt-PT"/>
        </w:rPr>
        <w:t>Acesso e s</w:t>
      </w:r>
      <w:r w:rsidRPr="002870AE">
        <w:rPr>
          <w:rFonts w:ascii="Times New Roman" w:hAnsi="Times New Roman" w:cs="Times New Roman"/>
          <w:lang w:val="pt-PT"/>
        </w:rPr>
        <w:t>erviços móveis de voz e mensagens de texto</w:t>
      </w:r>
      <w:bookmarkEnd w:id="12"/>
      <w:r w:rsidRPr="002870AE">
        <w:rPr>
          <w:rFonts w:ascii="Times New Roman" w:hAnsi="Times New Roman" w:cs="Times New Roman"/>
          <w:lang w:val="pt-PT"/>
        </w:rPr>
        <w:t xml:space="preserve"> </w:t>
      </w:r>
    </w:p>
    <w:p w14:paraId="78FA65CC" w14:textId="74CD2E35" w:rsidR="00D04278" w:rsidRPr="002870AE" w:rsidRDefault="00D04278" w:rsidP="002870AE">
      <w:pPr>
        <w:pStyle w:val="Ttulo4"/>
        <w:numPr>
          <w:ilvl w:val="0"/>
          <w:numId w:val="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611D5B1F"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bookmarkStart w:id="13" w:name="_Ref283037251"/>
      <w:bookmarkStart w:id="14" w:name="_Toc283146006"/>
      <w:bookmarkStart w:id="15" w:name="_Toc283705405"/>
      <w:r w:rsidRPr="002870AE">
        <w:rPr>
          <w:rFonts w:ascii="Times New Roman" w:hAnsi="Times New Roman" w:cs="Times New Roman"/>
          <w:b w:val="0"/>
          <w:color w:val="auto"/>
          <w:sz w:val="24"/>
          <w:szCs w:val="24"/>
          <w:lang w:val="pt-PT"/>
        </w:rPr>
        <w:t>O âmbito de mercado proposto é o de serviços de retalho móveis incluindo o acesso, chamadas de voz e o envio de mensagens de texto. Em mercados em que estes serviços são na sua grande maioria vendidos em conjunto com serviços de acesso à Internet como pacotes de serviços e não existem como serviços separados é habitual nessas jurisdições considerar um âmbito de mercado mais amplo, por exemplo serviços móveis. Nesses mercados os prestadores de serviços móveis consideram esses serviços como pacotes "naturais" ou esperados que normalmente são oferecidos definindo o preço, as quantidades e/ou o tempo de validade. No entanto este ainda não é o caso na Guiné Bissau. Os serviços de telefonia móvel são geralmente oferecidos como ofertas pré-pagas ou pós-pagas. Os clientes pré-pagos adquirem crédito por um valor especificado, que pode ser usado para um determinado número de chamadas e outros serviços como por exemplo mensagens de texto ou acesso à Internet móvel. Os clientes de serviços móveis pós-pagos assinam um contrato de longo prazo com a operadora prestadora do serviço, no qual um valor é pago regularmente (geralmente mensalmente) em troca dos serviços pelo período de vigência do contrato. No entanto existe neste caso um valor inicial de caução bastante elevado.</w:t>
      </w:r>
    </w:p>
    <w:p w14:paraId="3E3D9A64"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As tecnologias normalmente usadas para fornecer serviços de telefonia móvel incluem 2G, 3G e 4G. No entanto, na análise de mercados utiliza-se uma abordagem tecnologicamente neutra. Portanto, não há distinção entre as tecnologias sobre as quais os serviços móveis são prestados.</w:t>
      </w:r>
    </w:p>
    <w:p w14:paraId="5C58B7E8"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As chamadas feitas numa rede móvel e as mensagens de texto enviadas podem ser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-net" (ou seja, entre assinantes na mesma rede) ou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 xml:space="preserve">-net" (ou seja, entre assinantes pertencentes a duas redes diferentes). As chamadas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-net podem ainda ser nacionais ou internacionais.</w:t>
      </w:r>
    </w:p>
    <w:p w14:paraId="5294275B"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Caracterizam-se de seguida as ofertas pré-pagas de serviços móveis atualmente comercializadas na Guiné Bissau e que constituem a esmagadora maioria em termos de preferências dos consumidores, naturalmente por razões económicas. A MTN oferece pacotes com diferentes combinações de serviços que se podem sistematizar em três categorias: pacotes com chamadas de voz, mensagens de </w:t>
      </w:r>
      <w:r w:rsidRPr="002870AE">
        <w:rPr>
          <w:rFonts w:ascii="Times New Roman" w:hAnsi="Times New Roman" w:cs="Times New Roman"/>
          <w:b w:val="0"/>
          <w:color w:val="auto"/>
          <w:sz w:val="24"/>
          <w:szCs w:val="24"/>
          <w:lang w:val="pt-PT"/>
        </w:rPr>
        <w:lastRenderedPageBreak/>
        <w:t>texto e dados, pacotes só de mensagens de texto e pacotes só de voz internacional. A tabela</w:t>
      </w:r>
      <w:r w:rsidRPr="002870AE">
        <w:rPr>
          <w:rStyle w:val="Refdenotaderodap"/>
          <w:rFonts w:ascii="Times New Roman" w:hAnsi="Times New Roman"/>
          <w:b w:val="0"/>
          <w:color w:val="auto"/>
          <w:sz w:val="24"/>
          <w:szCs w:val="24"/>
          <w:lang w:val="pt-PT"/>
        </w:rPr>
        <w:footnoteReference w:id="10"/>
      </w:r>
      <w:r w:rsidRPr="002870AE">
        <w:rPr>
          <w:rFonts w:ascii="Times New Roman" w:hAnsi="Times New Roman" w:cs="Times New Roman"/>
          <w:b w:val="0"/>
          <w:color w:val="auto"/>
          <w:sz w:val="24"/>
          <w:szCs w:val="24"/>
          <w:lang w:val="pt-PT"/>
        </w:rPr>
        <w:t xml:space="preserve"> seguinte apresenta os serviços comercializados em cada um dos tipos de pacotes comercializados pela MTN:</w:t>
      </w:r>
    </w:p>
    <w:p w14:paraId="18B6B35D" w14:textId="77777777" w:rsidR="00490FC5" w:rsidRPr="002870AE" w:rsidRDefault="00490FC5" w:rsidP="002870AE">
      <w:pPr>
        <w:jc w:val="both"/>
        <w:rPr>
          <w:rFonts w:ascii="Times New Roman" w:hAnsi="Times New Roman" w:cs="Times New Roman"/>
          <w:sz w:val="24"/>
          <w:szCs w:val="24"/>
          <w:lang w:val="pt-PT"/>
        </w:rPr>
      </w:pPr>
    </w:p>
    <w:p w14:paraId="340BC071"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09798B8B" wp14:editId="16EB09BF">
            <wp:extent cx="3366000" cy="997200"/>
            <wp:effectExtent l="0" t="0" r="635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000" cy="997200"/>
                    </a:xfrm>
                    <a:prstGeom prst="rect">
                      <a:avLst/>
                    </a:prstGeom>
                    <a:noFill/>
                    <a:ln>
                      <a:noFill/>
                    </a:ln>
                  </pic:spPr>
                </pic:pic>
              </a:graphicData>
            </a:graphic>
          </wp:inline>
        </w:drawing>
      </w:r>
    </w:p>
    <w:p w14:paraId="41E277BB"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p>
    <w:p w14:paraId="2818221E"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O pacote Bombástico da MTN, com três validades distintas, permite adquirir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SMS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-net e dados numa combinação dos três serviços ou apenas voz em separado na validade de 24 horas:</w:t>
      </w:r>
    </w:p>
    <w:p w14:paraId="40E1A2EE"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51E1AB58" wp14:editId="59772955">
            <wp:extent cx="3888000" cy="1389600"/>
            <wp:effectExtent l="0" t="0" r="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8000" cy="1389600"/>
                    </a:xfrm>
                    <a:prstGeom prst="rect">
                      <a:avLst/>
                    </a:prstGeom>
                    <a:noFill/>
                    <a:ln>
                      <a:noFill/>
                    </a:ln>
                  </pic:spPr>
                </pic:pic>
              </a:graphicData>
            </a:graphic>
          </wp:inline>
        </w:drawing>
      </w:r>
    </w:p>
    <w:p w14:paraId="2B34499F" w14:textId="77777777" w:rsidR="00490FC5" w:rsidRPr="002870AE" w:rsidRDefault="00490FC5" w:rsidP="002870AE">
      <w:pPr>
        <w:jc w:val="both"/>
        <w:rPr>
          <w:rFonts w:ascii="Times New Roman" w:hAnsi="Times New Roman" w:cs="Times New Roman"/>
          <w:sz w:val="24"/>
          <w:szCs w:val="24"/>
          <w:lang w:val="pt-PT"/>
        </w:rPr>
      </w:pPr>
    </w:p>
    <w:p w14:paraId="0FF92557"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O pacote MTN Livre, com validades de 2 semanas ou um mês, permite adquirir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voz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 xml:space="preserve">-net, SMS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e dados numa combinação dos quatro serviços ou sem voz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-net na validade de duas semanas:</w:t>
      </w:r>
    </w:p>
    <w:p w14:paraId="5F0FC324"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4B797DF7" wp14:editId="0EE24FA4">
            <wp:extent cx="4557600" cy="10368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7600" cy="1036800"/>
                    </a:xfrm>
                    <a:prstGeom prst="rect">
                      <a:avLst/>
                    </a:prstGeom>
                    <a:noFill/>
                    <a:ln>
                      <a:noFill/>
                    </a:ln>
                  </pic:spPr>
                </pic:pic>
              </a:graphicData>
            </a:graphic>
          </wp:inline>
        </w:drawing>
      </w:r>
    </w:p>
    <w:p w14:paraId="692DAC1C"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A MTN oferece também um pacote de mensagens de texto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-net, com validades diária, semanal e mensal:</w:t>
      </w:r>
    </w:p>
    <w:p w14:paraId="1CF4FDB1"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1B15F111" wp14:editId="33CDCC47">
            <wp:extent cx="3171600" cy="6516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600" cy="651600"/>
                    </a:xfrm>
                    <a:prstGeom prst="rect">
                      <a:avLst/>
                    </a:prstGeom>
                    <a:noFill/>
                    <a:ln>
                      <a:noFill/>
                    </a:ln>
                  </pic:spPr>
                </pic:pic>
              </a:graphicData>
            </a:graphic>
          </wp:inline>
        </w:drawing>
      </w:r>
    </w:p>
    <w:p w14:paraId="7DB51E6D" w14:textId="77777777" w:rsidR="00490FC5" w:rsidRPr="002870AE" w:rsidRDefault="00490FC5" w:rsidP="002870AE">
      <w:pPr>
        <w:jc w:val="both"/>
        <w:rPr>
          <w:rFonts w:ascii="Times New Roman" w:hAnsi="Times New Roman" w:cs="Times New Roman"/>
          <w:sz w:val="24"/>
          <w:szCs w:val="24"/>
          <w:lang w:val="pt-PT"/>
        </w:rPr>
      </w:pPr>
    </w:p>
    <w:p w14:paraId="285D4578"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Para chamadas de voz internacionais, a MTN comercializa um pacote, com validades diária, semanal e mensal:</w:t>
      </w:r>
    </w:p>
    <w:p w14:paraId="0C9D35BB"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lastRenderedPageBreak/>
        <w:drawing>
          <wp:inline distT="0" distB="0" distL="0" distR="0" wp14:anchorId="792294FC" wp14:editId="3EBA758B">
            <wp:extent cx="3171600" cy="6516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600" cy="651600"/>
                    </a:xfrm>
                    <a:prstGeom prst="rect">
                      <a:avLst/>
                    </a:prstGeom>
                    <a:noFill/>
                    <a:ln>
                      <a:noFill/>
                    </a:ln>
                  </pic:spPr>
                </pic:pic>
              </a:graphicData>
            </a:graphic>
          </wp:inline>
        </w:drawing>
      </w:r>
    </w:p>
    <w:p w14:paraId="0622F8C4"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p>
    <w:p w14:paraId="06AE22AA"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O pacote </w:t>
      </w:r>
      <w:proofErr w:type="spellStart"/>
      <w:r w:rsidRPr="002870AE">
        <w:rPr>
          <w:rFonts w:ascii="Times New Roman" w:hAnsi="Times New Roman" w:cs="Times New Roman"/>
          <w:b w:val="0"/>
          <w:color w:val="auto"/>
          <w:sz w:val="24"/>
          <w:szCs w:val="24"/>
          <w:lang w:val="pt-PT"/>
        </w:rPr>
        <w:t>Nonstop</w:t>
      </w:r>
      <w:proofErr w:type="spellEnd"/>
      <w:r w:rsidRPr="002870AE">
        <w:rPr>
          <w:rFonts w:ascii="Times New Roman" w:hAnsi="Times New Roman" w:cs="Times New Roman"/>
          <w:b w:val="0"/>
          <w:color w:val="auto"/>
          <w:sz w:val="24"/>
          <w:szCs w:val="24"/>
          <w:lang w:val="pt-PT"/>
        </w:rPr>
        <w:t xml:space="preserve"> da MTN, com a validade de uma hora, permite adquirir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-net ou dados em separado ou numa combinação dos dois serviços:</w:t>
      </w:r>
    </w:p>
    <w:p w14:paraId="507A4330"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123C21DA" wp14:editId="27EB5F32">
            <wp:extent cx="2948400" cy="946800"/>
            <wp:effectExtent l="0" t="0" r="4445" b="571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8400" cy="946800"/>
                    </a:xfrm>
                    <a:prstGeom prst="rect">
                      <a:avLst/>
                    </a:prstGeom>
                    <a:noFill/>
                    <a:ln>
                      <a:noFill/>
                    </a:ln>
                  </pic:spPr>
                </pic:pic>
              </a:graphicData>
            </a:graphic>
          </wp:inline>
        </w:drawing>
      </w:r>
    </w:p>
    <w:p w14:paraId="7D707B4D" w14:textId="77777777" w:rsidR="00490FC5" w:rsidRPr="002870AE" w:rsidRDefault="00490FC5" w:rsidP="002870AE">
      <w:pPr>
        <w:jc w:val="both"/>
        <w:rPr>
          <w:rFonts w:ascii="Times New Roman" w:hAnsi="Times New Roman" w:cs="Times New Roman"/>
          <w:sz w:val="24"/>
          <w:szCs w:val="24"/>
          <w:lang w:val="pt-PT"/>
        </w:rPr>
      </w:pPr>
    </w:p>
    <w:p w14:paraId="5F372445"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Adicionalmente a MTN oferece pacotes só de dados com diferentes volumes e validades: </w:t>
      </w:r>
    </w:p>
    <w:p w14:paraId="383C42B6"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0BAFC115" wp14:editId="708EF3C7">
            <wp:extent cx="3171600" cy="15516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1600" cy="1551600"/>
                    </a:xfrm>
                    <a:prstGeom prst="rect">
                      <a:avLst/>
                    </a:prstGeom>
                    <a:noFill/>
                    <a:ln>
                      <a:noFill/>
                    </a:ln>
                  </pic:spPr>
                </pic:pic>
              </a:graphicData>
            </a:graphic>
          </wp:inline>
        </w:drawing>
      </w:r>
    </w:p>
    <w:p w14:paraId="4F405F7C"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O pacote </w:t>
      </w:r>
      <w:proofErr w:type="spellStart"/>
      <w:r w:rsidRPr="002870AE">
        <w:rPr>
          <w:rFonts w:ascii="Times New Roman" w:hAnsi="Times New Roman" w:cs="Times New Roman"/>
          <w:b w:val="0"/>
          <w:color w:val="auto"/>
          <w:sz w:val="24"/>
          <w:szCs w:val="24"/>
          <w:lang w:val="pt-PT"/>
        </w:rPr>
        <w:t>Freebasics</w:t>
      </w:r>
      <w:proofErr w:type="spellEnd"/>
      <w:r w:rsidRPr="002870AE">
        <w:rPr>
          <w:rFonts w:ascii="Times New Roman" w:hAnsi="Times New Roman" w:cs="Times New Roman"/>
          <w:b w:val="0"/>
          <w:color w:val="auto"/>
          <w:sz w:val="24"/>
          <w:szCs w:val="24"/>
          <w:lang w:val="pt-PT"/>
        </w:rPr>
        <w:t>, cuja informação no website da empresa não permite aferir qual o volume de dados permitido:</w:t>
      </w:r>
    </w:p>
    <w:p w14:paraId="436FC28C"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372B1F7E" wp14:editId="0C63E48A">
            <wp:extent cx="2451600" cy="874800"/>
            <wp:effectExtent l="0" t="0" r="6350" b="190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600" cy="874800"/>
                    </a:xfrm>
                    <a:prstGeom prst="rect">
                      <a:avLst/>
                    </a:prstGeom>
                    <a:noFill/>
                    <a:ln>
                      <a:noFill/>
                    </a:ln>
                  </pic:spPr>
                </pic:pic>
              </a:graphicData>
            </a:graphic>
          </wp:inline>
        </w:drawing>
      </w:r>
    </w:p>
    <w:p w14:paraId="2E6FFFE0"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Pacotes de dados válidos por uma hora, </w:t>
      </w:r>
      <w:proofErr w:type="spellStart"/>
      <w:r w:rsidRPr="002870AE">
        <w:rPr>
          <w:rFonts w:ascii="Times New Roman" w:hAnsi="Times New Roman" w:cs="Times New Roman"/>
          <w:b w:val="0"/>
          <w:color w:val="auto"/>
          <w:sz w:val="24"/>
          <w:szCs w:val="24"/>
          <w:lang w:val="pt-PT"/>
        </w:rPr>
        <w:t>Hourly</w:t>
      </w:r>
      <w:proofErr w:type="spellEnd"/>
      <w:r w:rsidRPr="002870AE">
        <w:rPr>
          <w:rFonts w:ascii="Times New Roman" w:hAnsi="Times New Roman" w:cs="Times New Roman"/>
          <w:b w:val="0"/>
          <w:color w:val="auto"/>
          <w:sz w:val="24"/>
          <w:szCs w:val="24"/>
          <w:lang w:val="pt-PT"/>
        </w:rPr>
        <w:t xml:space="preserve"> </w:t>
      </w:r>
      <w:proofErr w:type="spellStart"/>
      <w:r w:rsidRPr="002870AE">
        <w:rPr>
          <w:rFonts w:ascii="Times New Roman" w:hAnsi="Times New Roman" w:cs="Times New Roman"/>
          <w:b w:val="0"/>
          <w:color w:val="auto"/>
          <w:sz w:val="24"/>
          <w:szCs w:val="24"/>
          <w:lang w:val="pt-PT"/>
        </w:rPr>
        <w:t>Bundles</w:t>
      </w:r>
      <w:proofErr w:type="spellEnd"/>
      <w:r w:rsidRPr="002870AE">
        <w:rPr>
          <w:rFonts w:ascii="Times New Roman" w:hAnsi="Times New Roman" w:cs="Times New Roman"/>
          <w:b w:val="0"/>
          <w:color w:val="auto"/>
          <w:sz w:val="24"/>
          <w:szCs w:val="24"/>
          <w:lang w:val="pt-PT"/>
        </w:rPr>
        <w:t>:</w:t>
      </w:r>
    </w:p>
    <w:p w14:paraId="19B7F2CB"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6F434BB6" wp14:editId="03BC6D32">
            <wp:extent cx="2451600" cy="522000"/>
            <wp:effectExtent l="0" t="0" r="635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600" cy="522000"/>
                    </a:xfrm>
                    <a:prstGeom prst="rect">
                      <a:avLst/>
                    </a:prstGeom>
                    <a:noFill/>
                    <a:ln>
                      <a:noFill/>
                    </a:ln>
                  </pic:spPr>
                </pic:pic>
              </a:graphicData>
            </a:graphic>
          </wp:inline>
        </w:drawing>
      </w:r>
    </w:p>
    <w:p w14:paraId="6F33ED12"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e pacotes válidos no período noturno, </w:t>
      </w:r>
      <w:proofErr w:type="spellStart"/>
      <w:r w:rsidRPr="002870AE">
        <w:rPr>
          <w:rFonts w:ascii="Times New Roman" w:hAnsi="Times New Roman" w:cs="Times New Roman"/>
          <w:b w:val="0"/>
          <w:color w:val="auto"/>
          <w:sz w:val="24"/>
          <w:szCs w:val="24"/>
          <w:lang w:val="pt-PT"/>
        </w:rPr>
        <w:t>Night</w:t>
      </w:r>
      <w:proofErr w:type="spellEnd"/>
      <w:r w:rsidRPr="002870AE">
        <w:rPr>
          <w:rFonts w:ascii="Times New Roman" w:hAnsi="Times New Roman" w:cs="Times New Roman"/>
          <w:b w:val="0"/>
          <w:color w:val="auto"/>
          <w:sz w:val="24"/>
          <w:szCs w:val="24"/>
          <w:lang w:val="pt-PT"/>
        </w:rPr>
        <w:t xml:space="preserve"> </w:t>
      </w:r>
      <w:proofErr w:type="spellStart"/>
      <w:r w:rsidRPr="002870AE">
        <w:rPr>
          <w:rFonts w:ascii="Times New Roman" w:hAnsi="Times New Roman" w:cs="Times New Roman"/>
          <w:b w:val="0"/>
          <w:color w:val="auto"/>
          <w:sz w:val="24"/>
          <w:szCs w:val="24"/>
          <w:lang w:val="pt-PT"/>
        </w:rPr>
        <w:t>Bundles</w:t>
      </w:r>
      <w:proofErr w:type="spellEnd"/>
      <w:r w:rsidRPr="002870AE">
        <w:rPr>
          <w:rFonts w:ascii="Times New Roman" w:hAnsi="Times New Roman" w:cs="Times New Roman"/>
          <w:b w:val="0"/>
          <w:color w:val="auto"/>
          <w:sz w:val="24"/>
          <w:szCs w:val="24"/>
          <w:lang w:val="pt-PT"/>
        </w:rPr>
        <w:t>:</w:t>
      </w:r>
    </w:p>
    <w:p w14:paraId="3DBC21B3"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6EB5D62D" wp14:editId="50E67355">
            <wp:extent cx="2451600" cy="741600"/>
            <wp:effectExtent l="0" t="0" r="6350" b="190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1600" cy="741600"/>
                    </a:xfrm>
                    <a:prstGeom prst="rect">
                      <a:avLst/>
                    </a:prstGeom>
                    <a:noFill/>
                    <a:ln>
                      <a:noFill/>
                    </a:ln>
                  </pic:spPr>
                </pic:pic>
              </a:graphicData>
            </a:graphic>
          </wp:inline>
        </w:drawing>
      </w:r>
    </w:p>
    <w:p w14:paraId="756599E7" w14:textId="77777777" w:rsidR="00490FC5" w:rsidRPr="002870AE" w:rsidRDefault="00490FC5" w:rsidP="002870AE">
      <w:pPr>
        <w:jc w:val="both"/>
        <w:rPr>
          <w:rFonts w:ascii="Times New Roman" w:hAnsi="Times New Roman" w:cs="Times New Roman"/>
          <w:sz w:val="24"/>
          <w:szCs w:val="24"/>
          <w:lang w:val="pt-PT"/>
        </w:rPr>
      </w:pPr>
    </w:p>
    <w:p w14:paraId="55CE36DE"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A Orange oferece pacotes com diferentes combinações de serviços que se podem sistematizar em três categorias: pacotes com chamadas de voz e SMS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pacotes com chamadas de voz e mensagens de texto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e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 xml:space="preserve">-net mais mensagens de texto internacionais e pacotes só para chamadas de voz </w:t>
      </w:r>
      <w:r w:rsidRPr="002870AE">
        <w:rPr>
          <w:rFonts w:ascii="Times New Roman" w:hAnsi="Times New Roman" w:cs="Times New Roman"/>
          <w:b w:val="0"/>
          <w:color w:val="auto"/>
          <w:sz w:val="24"/>
          <w:szCs w:val="24"/>
          <w:lang w:val="pt-PT"/>
        </w:rPr>
        <w:lastRenderedPageBreak/>
        <w:t>internacional. A tabela</w:t>
      </w:r>
      <w:r w:rsidRPr="002870AE">
        <w:rPr>
          <w:rStyle w:val="Refdenotaderodap"/>
          <w:rFonts w:ascii="Times New Roman" w:hAnsi="Times New Roman"/>
          <w:b w:val="0"/>
          <w:color w:val="auto"/>
          <w:sz w:val="24"/>
          <w:szCs w:val="24"/>
          <w:lang w:val="pt-PT"/>
        </w:rPr>
        <w:footnoteReference w:id="11"/>
      </w:r>
      <w:r w:rsidRPr="002870AE">
        <w:rPr>
          <w:rFonts w:ascii="Times New Roman" w:hAnsi="Times New Roman" w:cs="Times New Roman"/>
          <w:b w:val="0"/>
          <w:color w:val="auto"/>
          <w:sz w:val="24"/>
          <w:szCs w:val="24"/>
          <w:lang w:val="pt-PT"/>
        </w:rPr>
        <w:t xml:space="preserve"> seguinte apresenta os tipos de pacotes comercializados pela Orange e os serviços correspondentes:</w:t>
      </w:r>
    </w:p>
    <w:p w14:paraId="395D219E"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33E36ECD" wp14:editId="371E9008">
            <wp:extent cx="3153600" cy="1407600"/>
            <wp:effectExtent l="0" t="0" r="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3600" cy="1407600"/>
                    </a:xfrm>
                    <a:prstGeom prst="rect">
                      <a:avLst/>
                    </a:prstGeom>
                    <a:noFill/>
                    <a:ln>
                      <a:noFill/>
                    </a:ln>
                  </pic:spPr>
                </pic:pic>
              </a:graphicData>
            </a:graphic>
          </wp:inline>
        </w:drawing>
      </w:r>
    </w:p>
    <w:p w14:paraId="4E53E4A9"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Os serviços de dados não fazem parte destes pacotes. O pacote Orange Livre oferece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 e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 xml:space="preserve">-net e mensagens de texto, sendo que as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 e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-net possuem preços diferenciados (preços na tabela em FCFA</w:t>
      </w:r>
      <w:r w:rsidRPr="002870AE">
        <w:rPr>
          <w:rStyle w:val="Refdenotaderodap"/>
          <w:rFonts w:ascii="Times New Roman" w:hAnsi="Times New Roman"/>
          <w:b w:val="0"/>
          <w:color w:val="auto"/>
          <w:sz w:val="24"/>
          <w:szCs w:val="24"/>
          <w:lang w:val="pt-PT"/>
        </w:rPr>
        <w:footnoteReference w:id="12"/>
      </w:r>
      <w:r w:rsidRPr="002870AE">
        <w:rPr>
          <w:rFonts w:ascii="Times New Roman" w:hAnsi="Times New Roman" w:cs="Times New Roman"/>
          <w:b w:val="0"/>
          <w:color w:val="auto"/>
          <w:sz w:val="24"/>
          <w:szCs w:val="24"/>
          <w:lang w:val="pt-PT"/>
        </w:rPr>
        <w:t>) que por sua vez também variam em função da hora do dia. O número de mensagens de texto é idêntico em qualquer das opções escolhidas na utilização deste pacote:</w:t>
      </w:r>
    </w:p>
    <w:p w14:paraId="2C0E00E7"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noProof/>
          <w:sz w:val="24"/>
          <w:szCs w:val="24"/>
        </w:rPr>
        <w:drawing>
          <wp:inline distT="0" distB="0" distL="0" distR="0" wp14:anchorId="2A88496A" wp14:editId="49753E6D">
            <wp:extent cx="3552190" cy="105156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2190" cy="1051560"/>
                    </a:xfrm>
                    <a:prstGeom prst="rect">
                      <a:avLst/>
                    </a:prstGeom>
                    <a:noFill/>
                    <a:ln>
                      <a:noFill/>
                    </a:ln>
                  </pic:spPr>
                </pic:pic>
              </a:graphicData>
            </a:graphic>
          </wp:inline>
        </w:drawing>
      </w:r>
    </w:p>
    <w:p w14:paraId="73D6A1BB"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Em separado dos outros serviços a Orange pratica os seguintes preços para diferentes zonas internacionais, taxados ao segundo ou para as zonas 2, 3 e 4 a cada 20 segundos (o preço dos SMS é por mensagem de texto):</w:t>
      </w:r>
    </w:p>
    <w:p w14:paraId="0C078862"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31E8AA0C" wp14:editId="45D06F04">
            <wp:extent cx="2203200" cy="2199600"/>
            <wp:effectExtent l="0" t="0" r="698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3200" cy="2199600"/>
                    </a:xfrm>
                    <a:prstGeom prst="rect">
                      <a:avLst/>
                    </a:prstGeom>
                    <a:noFill/>
                    <a:ln>
                      <a:noFill/>
                    </a:ln>
                  </pic:spPr>
                </pic:pic>
              </a:graphicData>
            </a:graphic>
          </wp:inline>
        </w:drawing>
      </w:r>
    </w:p>
    <w:p w14:paraId="1807DE69" w14:textId="77777777" w:rsidR="00490FC5" w:rsidRPr="002870AE" w:rsidRDefault="00490FC5" w:rsidP="002870AE">
      <w:pPr>
        <w:jc w:val="both"/>
        <w:rPr>
          <w:rFonts w:ascii="Times New Roman" w:hAnsi="Times New Roman" w:cs="Times New Roman"/>
          <w:sz w:val="24"/>
          <w:szCs w:val="24"/>
          <w:lang w:val="pt-PT"/>
        </w:rPr>
      </w:pPr>
    </w:p>
    <w:p w14:paraId="00EC2E93"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A Orange oferece também um pacote dirigido ao segmento jovem denominado Jovem VIP com as seguintes características:</w:t>
      </w:r>
    </w:p>
    <w:p w14:paraId="7FC37B5D" w14:textId="77777777" w:rsidR="00490FC5" w:rsidRPr="002870AE" w:rsidRDefault="00490FC5" w:rsidP="002870AE">
      <w:pPr>
        <w:jc w:val="both"/>
        <w:rPr>
          <w:rFonts w:ascii="Times New Roman" w:hAnsi="Times New Roman" w:cs="Times New Roman"/>
          <w:sz w:val="24"/>
          <w:szCs w:val="24"/>
          <w:lang w:val="pt-PT"/>
        </w:rPr>
      </w:pPr>
    </w:p>
    <w:p w14:paraId="0960A74F" w14:textId="77777777" w:rsidR="00490FC5" w:rsidRPr="002870AE" w:rsidRDefault="00490FC5"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lastRenderedPageBreak/>
        <w:drawing>
          <wp:inline distT="0" distB="0" distL="0" distR="0" wp14:anchorId="683FD26E" wp14:editId="7378A7F7">
            <wp:extent cx="2938780" cy="110998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8780" cy="1109980"/>
                    </a:xfrm>
                    <a:prstGeom prst="rect">
                      <a:avLst/>
                    </a:prstGeom>
                    <a:noFill/>
                    <a:ln>
                      <a:noFill/>
                    </a:ln>
                  </pic:spPr>
                </pic:pic>
              </a:graphicData>
            </a:graphic>
          </wp:inline>
        </w:drawing>
      </w:r>
    </w:p>
    <w:p w14:paraId="6A17C077" w14:textId="77777777" w:rsidR="00490FC5" w:rsidRPr="002870AE" w:rsidRDefault="00490FC5" w:rsidP="002870AE">
      <w:pPr>
        <w:pStyle w:val="IncyteFigure"/>
        <w:jc w:val="both"/>
        <w:rPr>
          <w:rFonts w:ascii="Times New Roman" w:hAnsi="Times New Roman" w:cs="Times New Roman"/>
          <w:b w:val="0"/>
          <w:color w:val="auto"/>
          <w:sz w:val="24"/>
          <w:szCs w:val="24"/>
          <w:lang w:val="pt-PT"/>
        </w:rPr>
      </w:pPr>
      <w:r w:rsidRPr="002870AE">
        <w:rPr>
          <w:rFonts w:ascii="Times New Roman" w:hAnsi="Times New Roman" w:cs="Times New Roman"/>
          <w:b w:val="0"/>
          <w:color w:val="auto"/>
          <w:sz w:val="24"/>
          <w:szCs w:val="24"/>
          <w:lang w:val="pt-PT"/>
        </w:rPr>
        <w:t xml:space="preserve">De referir ainda que neste pacote, para além de uma oferta de acesso à internet, existe uma diferenciação de preços entre chamadas para subscritores do pacote (voz entre JVIP), chamadas de voz </w:t>
      </w:r>
      <w:proofErr w:type="spellStart"/>
      <w:r w:rsidRPr="002870AE">
        <w:rPr>
          <w:rFonts w:ascii="Times New Roman" w:hAnsi="Times New Roman" w:cs="Times New Roman"/>
          <w:b w:val="0"/>
          <w:color w:val="auto"/>
          <w:sz w:val="24"/>
          <w:szCs w:val="24"/>
          <w:lang w:val="pt-PT"/>
        </w:rPr>
        <w:t>on</w:t>
      </w:r>
      <w:proofErr w:type="spellEnd"/>
      <w:r w:rsidRPr="002870AE">
        <w:rPr>
          <w:rFonts w:ascii="Times New Roman" w:hAnsi="Times New Roman" w:cs="Times New Roman"/>
          <w:b w:val="0"/>
          <w:color w:val="auto"/>
          <w:sz w:val="24"/>
          <w:szCs w:val="24"/>
          <w:lang w:val="pt-PT"/>
        </w:rPr>
        <w:t xml:space="preserve">-net, ou seja, dentro da própria rede para outros assinantes que não sejam jovem VIP e chamadas de voz </w:t>
      </w:r>
      <w:proofErr w:type="spellStart"/>
      <w:r w:rsidRPr="002870AE">
        <w:rPr>
          <w:rFonts w:ascii="Times New Roman" w:hAnsi="Times New Roman" w:cs="Times New Roman"/>
          <w:b w:val="0"/>
          <w:color w:val="auto"/>
          <w:sz w:val="24"/>
          <w:szCs w:val="24"/>
          <w:lang w:val="pt-PT"/>
        </w:rPr>
        <w:t>off</w:t>
      </w:r>
      <w:proofErr w:type="spellEnd"/>
      <w:r w:rsidRPr="002870AE">
        <w:rPr>
          <w:rFonts w:ascii="Times New Roman" w:hAnsi="Times New Roman" w:cs="Times New Roman"/>
          <w:b w:val="0"/>
          <w:color w:val="auto"/>
          <w:sz w:val="24"/>
          <w:szCs w:val="24"/>
          <w:lang w:val="pt-PT"/>
        </w:rPr>
        <w:t>-net, isto é, para clientes da MTN. A diferenciação de preço de chamadas de voz dentro da própria rede desaparece no período noturno (22-06h).</w:t>
      </w:r>
    </w:p>
    <w:p w14:paraId="2C3F7836" w14:textId="77777777" w:rsidR="00490FC5" w:rsidRPr="002870AE" w:rsidRDefault="00490FC5"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19F38770" w14:textId="77777777" w:rsidR="00490FC5" w:rsidRPr="002870AE" w:rsidRDefault="00490FC5" w:rsidP="002870AE">
      <w:pPr>
        <w:spacing w:before="160" w:after="0" w:line="260" w:lineRule="exact"/>
        <w:jc w:val="both"/>
        <w:rPr>
          <w:rFonts w:ascii="Times New Roman" w:eastAsia="Times New Roman" w:hAnsi="Times New Roman" w:cs="Times New Roman"/>
          <w:sz w:val="24"/>
          <w:szCs w:val="24"/>
          <w:lang w:val="pt-PT" w:eastAsia="en-GB"/>
        </w:rPr>
      </w:pPr>
      <w:r w:rsidRPr="002870AE">
        <w:rPr>
          <w:rFonts w:ascii="Times New Roman" w:eastAsia="Times New Roman" w:hAnsi="Times New Roman" w:cs="Times New Roman"/>
          <w:sz w:val="24"/>
          <w:szCs w:val="24"/>
          <w:lang w:val="pt-PT" w:eastAsia="en-GB"/>
        </w:rPr>
        <w:t>É importante determinar se os limites do mercado devem incluir:</w:t>
      </w:r>
    </w:p>
    <w:p w14:paraId="2E9F82AB"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Acesso e serviços móveis: o acesso e os serviços móveis são complementares, pois os clientes precisam de acesso móvel para usar os serviços de voz móvel, envio de mensagens de texto ou para acesso à Internet. Além disso, ambos os serviços estão geralmente incluídos na mesma oferta, ou seja, a compra do acesso inclui minutos de voz, mensagens de texto ou acesso à Internet. Consideramos, portanto, que esses serviços são complementares e fazem parte do mesmo mercado.</w:t>
      </w:r>
    </w:p>
    <w:p w14:paraId="3864AFB1"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Acesso móvel pré-pago e pós-pago: o acesso móvel é fornecido sob a forma de um de dois tipos de contrato: pré-pago e pós-pago. Em geral, as tarifas pré-pagas tendem a ser direcionadas a um subconjunto específico de clientes (ou seja, clientes de baixo uso e aqueles que não podem pagar um plano de longo prazo). Por outro lado, os serviços pós-pagos geralmente são oferecidos com descontos promocionais (por exemplo, uma dedução de minutos ou mensagens de texto gratuitos) para incentivar um compromisso contratual de longo prazo. Algumas promoções pré-pagas podem também incluir concessões de minutos de voz ou mensagens de texto gratuitos, mas normalmente é uma quantia mais pequena em relação ao pós-pago. No lado da oferta, os serviços pré-pagos e pós-pagos são capazes de fornecer a mesma funcionalidade básica (ou seja, chamadas de voz e mensagens de texto). Existe alguma substituibilidade do lado da procura entre os serviços em cada tipo de contrato, pois os preços por unidade de serviços pré-pagos e pós-pagos são semelhantes e os serviços são idênticos em termos de qualidade e disponibilidade. A única barreira significativa para mudar de pré-pago para pós-pago é que os clientes são obrigados a fazer um depósito substancial para subscreverem um contrato pós-pago. No sentido inverso seria extremamente fácil a um cliente com um contrato pós-pago obter um SIM pré-pago e obter crédito para usufruir dos serviços. Do lado da oferta, seria relativamente fácil para um prestador de serviços entrar no mercado pré-pago a partir do mercado pós-pago ou vice-versa. Ambos os prestadores de serviços móveis na Guiné Bissau já oferecem os dois serviços; portanto, uma tendência do mercado em relação a uma forma específica pode ser seguida rapidamente e com pouco custo adicional por parte de qualquer um dos operadores. Por estes motivos, propomos que o acesso a serviços móveis pré-pagos e pós-pagos sejam considerados como fazendo parte do mesmo mercado.</w:t>
      </w:r>
    </w:p>
    <w:p w14:paraId="09B4DD6A"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Chamadas de voz e mensagens de texto: Quer as chamadas de voz quer as mensagens de texto são um meio de comunicação direta entre dois subscritores, pelo que estas últimas podem ser uma alternativa funcional adequada às chamadas de voz, mesmo que apenas para um subconjunto de chamadas, ou seja, as mensagens de texto podem eventualmente substituir as chamadas de voz mais curtas, mas não todas as chamadas. No entanto, os dados de utilização de serviços na Guiné Bissau sugerem que as chamadas de voz são amplamente preferidas às mensagens de texto, comparativamente a outros países:</w:t>
      </w:r>
    </w:p>
    <w:p w14:paraId="3C8113D9" w14:textId="77777777" w:rsidR="00490FC5" w:rsidRPr="002870AE" w:rsidRDefault="00490FC5" w:rsidP="002870AE">
      <w:pPr>
        <w:ind w:left="360"/>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76D09F0C" wp14:editId="3C7273FD">
            <wp:extent cx="3337200" cy="777600"/>
            <wp:effectExtent l="0" t="0" r="0" b="381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7200" cy="777600"/>
                    </a:xfrm>
                    <a:prstGeom prst="rect">
                      <a:avLst/>
                    </a:prstGeom>
                    <a:noFill/>
                    <a:ln>
                      <a:noFill/>
                    </a:ln>
                  </pic:spPr>
                </pic:pic>
              </a:graphicData>
            </a:graphic>
          </wp:inline>
        </w:drawing>
      </w:r>
    </w:p>
    <w:p w14:paraId="2F3131F4" w14:textId="77777777" w:rsidR="00490FC5" w:rsidRPr="002870AE" w:rsidRDefault="00490FC5" w:rsidP="002870AE">
      <w:pPr>
        <w:ind w:left="72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forte preferência por chamadas de voz relativamente a mensagens de texto entre os assinantes móveis na Guiné Bissau pode ser orientada por preços ou contextual (por exemplo, uma diferença inerente ao uso de serviços móveis). Sem mais evidências, por exemplo um estudo de mercado junto dos utilizadores de serviços móveis, não está claro se um aumento entre 5 a 10% e não transitório do preço nas chamadas de voz móvel levaria a uma substituição significativa dessas chamadas por mensagens de texto no lado da procura. No lado da oferta, no entanto, voz e mensagens de texto são agrupados por ambas as operadoras móveis na Guiné Bissau. Contudo também é possível comprar pacotes que incluem apenas mensagens de texto. Em resumo, há evidências de substituibilidade do lado da oferta e potencial de substituibilidade do lado da procura pelo que concluímos que as chamadas de voz e mensagens de voz pertencem ao mesmo mercado.</w:t>
      </w:r>
    </w:p>
    <w:p w14:paraId="0D561C5C"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Chamadas de voz e mensagens curtas utilizando aplicativos acessíveis através de banda larga móvel e serviços de voz móvel e mensagens de texto: Normalmente os serviços de voz (muitas vezes designado por voz sobre IP ou VOIP) ou mensagens, oferecidos com base no acesso à internet móvel não possuem garantias quanto ao nível de qualidade obtido. Isso acontece porque os prestadores desses serviços não têm controle sobre a rede móvel subjacente. Consequentemente, eles são transmitidos com base num princípio de "melhores esforços". Pelas suas características esses serviços podem constituir um substituto funcional adequado para chamadas de voz móveis e mensagens de texto, além de que frequentemente são mais baratos ou até mesmo gratuitos. Os únicos custos para o utilizador desses serviços são relativos ao acesso ao pacote de banda larga móvel que subscreve. No entanto, a baixa penetração de </w:t>
      </w:r>
      <w:r w:rsidRPr="002870AE">
        <w:rPr>
          <w:rFonts w:ascii="Times New Roman" w:hAnsi="Times New Roman" w:cs="Times New Roman"/>
          <w:i/>
          <w:iCs/>
          <w:sz w:val="24"/>
          <w:szCs w:val="24"/>
          <w:lang w:val="pt-PT"/>
        </w:rPr>
        <w:t>smartphones</w:t>
      </w:r>
      <w:r w:rsidRPr="002870AE">
        <w:rPr>
          <w:rFonts w:ascii="Times New Roman" w:hAnsi="Times New Roman" w:cs="Times New Roman"/>
          <w:sz w:val="24"/>
          <w:szCs w:val="24"/>
          <w:lang w:val="pt-PT"/>
        </w:rPr>
        <w:t xml:space="preserve"> na Guiné Bissau significa que a procura por aplicativos que permitam esses serviços ainda é baixa e, portanto, não é facilmente substituível para a maioria dos assinantes móveis. Além disso, esses serviços não oferecem o mesmo nível de fiabilidade ou qualidade em relação aos serviços de telefonia móvel na Guiné Bissau. Convém também referir que atualmente a cobertura e a capacidade das redes de dados móveis na Guiné Bissau ainda são limitadas. Como as redes de voz têm cobertura mais extensa, os assinantes têm maior oportunidade de fazer uma chamada bem-sucedida e com qualidade satisfatória através da rede de acesso da operadora do que uma chamada utilizando um aplicativo para voz sobre IP utilizando o acesso à internet da operadora. Do lado da oferta, é possível que um operador introduza seus próprios serviços de VoIP ou de mensagens instantâneas acessíveis através dos serviços de dados, o que sugere um grau de substituibilidade, embora permaneçam questões relacionadas à qualidade e cobertura do serviço. No entanto, para um provedor de aplicativos </w:t>
      </w:r>
      <w:r w:rsidRPr="002870AE">
        <w:rPr>
          <w:rFonts w:ascii="Times New Roman" w:hAnsi="Times New Roman" w:cs="Times New Roman"/>
          <w:sz w:val="24"/>
          <w:szCs w:val="24"/>
          <w:lang w:val="pt-PT"/>
        </w:rPr>
        <w:lastRenderedPageBreak/>
        <w:t>de mensagens instantâneas ou de VoIP entrar no mercado móvel seria difícil e dispendioso, pois isso exigiria investimentos de capital muito substanciais (por exemplo, custos de infraestrutura para se tornar um MNO, custo de espectro como um MNO), bem como acesso a um recurso muito escasso. Portanto, não consideramos substituíveis os serviços VoIP sobre banda larga móvel e mensagens instantâneas no momento, embora esse seja um problema potencial a ser observado no futuro.</w:t>
      </w:r>
    </w:p>
    <w:p w14:paraId="3B8AAA2C"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Chamadas de voz nacionais e internacionais: Na Guiné Bissau, as chamadas móveis podem ser segmentadas de acordo com o destino, isto é, chamadas nacionais e internacionais. Cada serviço possui características distintas de preço com base no tipo de chamada efetuada, sendo que as chamadas nacionais têm um preço substancialmente mais baixo do que as chamadas internacionais. Além disso, as chamadas internacionais variam significativamente de acordo com o destino, enquanto as chamadas nacionais geralmente variam apenas em algumas dimensões (</w:t>
      </w:r>
      <w:proofErr w:type="spellStart"/>
      <w:r w:rsidRPr="002870AE">
        <w:rPr>
          <w:rFonts w:ascii="Times New Roman" w:hAnsi="Times New Roman" w:cs="Times New Roman"/>
          <w:sz w:val="24"/>
          <w:szCs w:val="24"/>
          <w:lang w:val="pt-PT"/>
        </w:rPr>
        <w:t>on</w:t>
      </w:r>
      <w:proofErr w:type="spellEnd"/>
      <w:r w:rsidRPr="002870AE">
        <w:rPr>
          <w:rFonts w:ascii="Times New Roman" w:hAnsi="Times New Roman" w:cs="Times New Roman"/>
          <w:sz w:val="24"/>
          <w:szCs w:val="24"/>
          <w:lang w:val="pt-PT"/>
        </w:rPr>
        <w:t xml:space="preserve">-net vs. </w:t>
      </w:r>
      <w:proofErr w:type="spellStart"/>
      <w:r w:rsidRPr="002870AE">
        <w:rPr>
          <w:rFonts w:ascii="Times New Roman" w:hAnsi="Times New Roman" w:cs="Times New Roman"/>
          <w:sz w:val="24"/>
          <w:szCs w:val="24"/>
          <w:lang w:val="pt-PT"/>
        </w:rPr>
        <w:t>off</w:t>
      </w:r>
      <w:proofErr w:type="spellEnd"/>
      <w:r w:rsidRPr="002870AE">
        <w:rPr>
          <w:rFonts w:ascii="Times New Roman" w:hAnsi="Times New Roman" w:cs="Times New Roman"/>
          <w:sz w:val="24"/>
          <w:szCs w:val="24"/>
          <w:lang w:val="pt-PT"/>
        </w:rPr>
        <w:t>-net e / diurnas vs. noturnas). Devido às diferenças de preço entre chamadas nacionais e internacionais e à capacidade de separar o acesso de chamadas internacionais, pode-se concluir que existem mercados de retalho separados para chamadas nacionais e chamadas internacionais.</w:t>
      </w:r>
    </w:p>
    <w:p w14:paraId="51AF2F07" w14:textId="77777777" w:rsidR="00490FC5" w:rsidRPr="002870AE" w:rsidRDefault="00490FC5" w:rsidP="002870AE">
      <w:pPr>
        <w:pStyle w:val="PargrafodaLista"/>
        <w:numPr>
          <w:ilvl w:val="0"/>
          <w:numId w:val="1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Chamadas de voz fixo e móvel: Na análise de mercados em que o produto focal é uma chamada de voz é comum analisar-se em que medida uma chamada de voz através da rede fixa constitui um produto substituto de uma chamada de voz móvel isto porque apresentam algumas características semelhantes: ambos os serviços estão associados a um número de telefone exclusivo, ambos permitem que os utilizadores finais façam e recebam chamadas para / de outros pontos finais da rede fixa; e ambos os serviços geralmente têm um componente do preço baseado no uso. Para um consumidor final, o custo das chamadas fixas e móveis é comparável. No entanto, existem vários aspetos importantes nas quais os serviços fixo e móvel diferem: o acesso móvel não se restringe a um local fixo; os serviços móveis podem ser usados ​​enquanto o utilizador está em movimento; e números móveis são normalmente associadas a um único indivíduo, enquanto uma linha fixa pode ser compartilhada entre vários utilizadores que vivem ou trabalham no mesmo local. Atualmente não existem serviços fixos na Guiné Bissau e mesmo que esses serviços sejam reativados a penetração de linhas fixas na Guiné Bissau é baixa em comparação com o número de subscritores móveis. Em geral em África onde a penetração de serviços fixos é baixa estes são comprados principalmente pelo segmento de empresas, sendo a penetração no segmento residencial menos relevante. O custo de serviços fixos é uma barreira mais significativa da procura para o segmento residencial na medida que implica um custo contínuo do acesso mesmo sem utilização. As características distintas dos serviços fixos e móveis e a maneira como seriam adotados os serviços fixos caso fossem reativados sugerem que o acesso fixo e móvel não são serviços substitutos na Guiné Bissau. Na maioria das análises de mercado efetuadas noutras jurisdições concluiu-se que eles são serviços complementares, pois muitos dos utilizadores de telefonia fixa também utilizavam serviços móveis. É razoável presumir que os consumidores não mudariam de uma assinatura móvel para uma linha fixa em resposta a um SSNIP móvel em um mercado móvel monopolista hipotético, dada a conveniência e a mobilidade inerentes ao primeiro. Da mesma forma, seria improvável que os utilizadores de negócios abandonassem as suas linhas fixas se um SSNIP fosse aplicado num mercado fixo monopolista hipotético, dada a qualidade e a confiabilidade das chamadas e a conveniência específica da diferente funcionalidade. Assim, </w:t>
      </w:r>
      <w:r w:rsidRPr="002870AE">
        <w:rPr>
          <w:rFonts w:ascii="Times New Roman" w:hAnsi="Times New Roman" w:cs="Times New Roman"/>
          <w:sz w:val="24"/>
          <w:szCs w:val="24"/>
          <w:lang w:val="pt-PT"/>
        </w:rPr>
        <w:lastRenderedPageBreak/>
        <w:t>e pelas razões acima apontadas, os serviços de voz fixo caso existissem seriam definidos em mercados separados dos serviços de voz móvel.</w:t>
      </w:r>
    </w:p>
    <w:p w14:paraId="48ABFF9A" w14:textId="77777777" w:rsidR="00490FC5" w:rsidRPr="002870AE" w:rsidRDefault="00490FC5" w:rsidP="002870AE">
      <w:pPr>
        <w:jc w:val="both"/>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Conclusão: </w:t>
      </w:r>
      <w:r w:rsidRPr="002870AE">
        <w:rPr>
          <w:rFonts w:ascii="Times New Roman" w:hAnsi="Times New Roman" w:cs="Times New Roman"/>
          <w:sz w:val="24"/>
          <w:szCs w:val="24"/>
          <w:lang w:val="pt-PT"/>
        </w:rPr>
        <w:t>Acesso a e serviços móveis de voz e mensagens de texto de âmbito nacional para os segmentos residencial e de negócios pertencem ao mesmo mercado.</w:t>
      </w:r>
    </w:p>
    <w:p w14:paraId="50F3D5E2" w14:textId="26133364" w:rsidR="00F669CB" w:rsidRPr="002870AE" w:rsidRDefault="00F669CB" w:rsidP="002870AE">
      <w:pPr>
        <w:pStyle w:val="Ttulo2"/>
        <w:ind w:left="709" w:hanging="709"/>
        <w:jc w:val="both"/>
        <w:rPr>
          <w:rFonts w:ascii="Times New Roman" w:hAnsi="Times New Roman" w:cs="Times New Roman"/>
          <w:lang w:val="pt-PT"/>
        </w:rPr>
      </w:pPr>
      <w:bookmarkStart w:id="16" w:name="_Toc52034801"/>
      <w:bookmarkEnd w:id="13"/>
      <w:bookmarkEnd w:id="14"/>
      <w:bookmarkEnd w:id="15"/>
      <w:r w:rsidRPr="002870AE">
        <w:rPr>
          <w:rFonts w:ascii="Times New Roman" w:hAnsi="Times New Roman" w:cs="Times New Roman"/>
          <w:lang w:val="pt-PT"/>
        </w:rPr>
        <w:t xml:space="preserve">Mercado 2 (Retalho): Serviços móveis de voz </w:t>
      </w:r>
      <w:r w:rsidR="00391BC0" w:rsidRPr="002870AE">
        <w:rPr>
          <w:rFonts w:ascii="Times New Roman" w:hAnsi="Times New Roman" w:cs="Times New Roman"/>
          <w:lang w:val="pt-PT"/>
        </w:rPr>
        <w:t xml:space="preserve">e </w:t>
      </w:r>
      <w:r w:rsidR="00DC4571" w:rsidRPr="002870AE">
        <w:rPr>
          <w:rFonts w:ascii="Times New Roman" w:hAnsi="Times New Roman" w:cs="Times New Roman"/>
          <w:lang w:val="pt-PT"/>
        </w:rPr>
        <w:t xml:space="preserve">mensagens de </w:t>
      </w:r>
      <w:r w:rsidR="00391BC0" w:rsidRPr="002870AE">
        <w:rPr>
          <w:rFonts w:ascii="Times New Roman" w:hAnsi="Times New Roman" w:cs="Times New Roman"/>
          <w:lang w:val="pt-PT"/>
        </w:rPr>
        <w:t xml:space="preserve">texto </w:t>
      </w:r>
      <w:r w:rsidRPr="002870AE">
        <w:rPr>
          <w:rFonts w:ascii="Times New Roman" w:hAnsi="Times New Roman" w:cs="Times New Roman"/>
          <w:lang w:val="pt-PT"/>
        </w:rPr>
        <w:t>internacional</w:t>
      </w:r>
      <w:bookmarkEnd w:id="16"/>
    </w:p>
    <w:p w14:paraId="18B77E32" w14:textId="6ACDF2DF" w:rsidR="00253E00" w:rsidRPr="002870AE" w:rsidRDefault="00253E00" w:rsidP="002870AE">
      <w:pPr>
        <w:pStyle w:val="Ttulo4"/>
        <w:numPr>
          <w:ilvl w:val="0"/>
          <w:numId w:val="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58E250BF"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Em geral os clientes das redes móveis têm perceções muito diferentes sobre chamadas nacionais, internacionais e em itinerância e sobre os respetivos preços. Na Guiné Bissau é atualmente possível adquirir os diferentes tipos de serviços, através da adesão a um plano tarifário adequado ao seu perfil de utilização. No entanto as chamadas de voz internacional são vendidas em pacotes separados. Comparando os preços das chamadas internacionais originadas nas redes móveis com os preços das chamadas nacionais originadas nas redes móveis, os primeiros são normalmente bastante mais elevados do que os segundos. Pode-se argumentar que as rotas específicas de cada país devem ser tratadas como mercados separados, porque geralmente não são substituíveis. Por exemplo, se o preço de Bissau para Dakar for aumentado, isso não resultará na substituição de chamadas para Dakar por mais chamadas para outro destino. No entanto, uma análise detalhada do mercado rota a rota não se justifica neste momento, uma vez que não existe a intenção atual de regular o mercado dessa forma.</w:t>
      </w:r>
    </w:p>
    <w:p w14:paraId="7D408AB9"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O mercado internacional de serviços de chamadas de voz é, portanto, um mercado separado e discreto que pode ser definido como incluindo chamadas internacionais originadas de serviços móveis. As chamadas internacionais a partir da Guiné Bissau estão num mercado separado e específico. As chamadas internacionais não são substituíveis por chamadas nacionais ou vice-versa. </w:t>
      </w:r>
    </w:p>
    <w:p w14:paraId="3016C528" w14:textId="77777777" w:rsidR="00265BB5" w:rsidRPr="002870AE" w:rsidRDefault="00265BB5"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74966360" w14:textId="77777777" w:rsidR="00265BB5" w:rsidRPr="002870AE" w:rsidRDefault="00265BB5" w:rsidP="002870AE">
      <w:pPr>
        <w:keepNext/>
        <w:widowControl w:val="0"/>
        <w:suppressAutoHyphens/>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Quanto à eventual substituição das chamadas nacionais, internacionais e em itinerância obviamente a sua funcionalidade permite dizer que não são substitutas. Os diferenciais de preços entre as chamadas nacionais e as chamadas internacionais e as diferentes perceções dos clientes quanto à sua substituibilidade levam a concluir que não são substitutas. As chamadas em itinerância também apresentam características próprias que as diferenciam das chamadas nacionais e internacionais. A itinerância em redes internacionais permite aos clientes de uma rede móvel efetuar e/ou receber chamadas enquanto se encontram no estrangeiro, dependentes de outro operador.</w:t>
      </w:r>
    </w:p>
    <w:p w14:paraId="486F3D88" w14:textId="77777777" w:rsidR="00265BB5" w:rsidRPr="002870AE" w:rsidRDefault="00265BB5" w:rsidP="002870AE">
      <w:pPr>
        <w:keepNext/>
        <w:widowControl w:val="0"/>
        <w:suppressAutoHyphens/>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Noutras jurisdições por vezes sugere-se que, quando os serviços de chamadas nacionais, internacionais e em itinerância são oferecidos em pacote apesar de não existir substituibilidade do lado da procura, existe substituibilidade do lado da oferta. Um operador poderá entrar no mercado na sequência de um pequeno aumento de preços não transitório sempre que seja possível adquirir e vender de forma rentável os elementos grossistas necessários para prestar o referido serviço. Note-se, no entanto, que todos os operadores que estão em condições de prestar os serviços de chamadas nacionais, internacionais e em itinerância internacional na Guiné Bissau já prestam efetivamente esses serviços. Assim, não é relevante analisar a substituibilidade do lado da oferta.</w:t>
      </w:r>
    </w:p>
    <w:p w14:paraId="6E98545C"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Assim seria razoável admitir que apesar de não existir substituibilidade do lado da procura, a existência de substituibilidade do lado da oferta e de condições concorrenciais homogéneas, poderia justificar a definição de um mercado único retalhista para as chamadas de saída e que incluísse as </w:t>
      </w:r>
      <w:r w:rsidRPr="002870AE">
        <w:rPr>
          <w:rFonts w:ascii="Times New Roman" w:hAnsi="Times New Roman"/>
          <w:sz w:val="24"/>
          <w:lang w:val="pt-PT"/>
        </w:rPr>
        <w:lastRenderedPageBreak/>
        <w:t xml:space="preserve">chamadas nacionais, internacionais e em itinerância. Efetivamente na Guiné Bissau pelo menos um dos operadores do serviço móvel oferece os diversos tipos de mensagens de texto em pacote, mas também os oferece em separado. Considerando que a análise de mercados não constitui um fim em si mesma mas que é parte de um processo de análise dos mercados relevantes, para na fase seguinte fazer a avaliação da necessidade de intervenção sobre eventuais operadores com poder de mercado significativo, a posição preliminar da ARN é a de considerar que as mensagens de texto e chamadas de voz para destinatários que se encontram fora da Guiné Bissau constituem um mercado separado embora ciente de que a agregação de todos os tipos de chamadas referidos num mesmo mercado relevante provavelmente não alteraria as conclusões relativas ao  grau de concorrência que se verifica nestes mercados. </w:t>
      </w:r>
    </w:p>
    <w:p w14:paraId="64E931F9" w14:textId="77777777" w:rsidR="00265BB5" w:rsidRPr="002870AE" w:rsidRDefault="00265BB5" w:rsidP="002870AE">
      <w:pPr>
        <w:pStyle w:val="Textbody"/>
        <w:jc w:val="both"/>
        <w:rPr>
          <w:rFonts w:ascii="Times New Roman" w:hAnsi="Times New Roman"/>
          <w:sz w:val="24"/>
          <w:lang w:val="pt-PT"/>
        </w:rPr>
      </w:pPr>
      <w:r w:rsidRPr="002870AE">
        <w:rPr>
          <w:rFonts w:ascii="Times New Roman" w:hAnsi="Times New Roman"/>
          <w:sz w:val="24"/>
          <w:lang w:val="pt-PT"/>
        </w:rPr>
        <w:t>Os serviços de chamadas internacionais fornecidos pela MTN e Orange competem contra uma variedade de meios alternativos de comunicação internacional, incluindo:</w:t>
      </w:r>
    </w:p>
    <w:p w14:paraId="612F14AB" w14:textId="77777777" w:rsidR="00265BB5" w:rsidRPr="002870AE" w:rsidRDefault="00265BB5" w:rsidP="002870AE">
      <w:pPr>
        <w:pStyle w:val="Textbody"/>
        <w:numPr>
          <w:ilvl w:val="0"/>
          <w:numId w:val="14"/>
        </w:numPr>
        <w:jc w:val="both"/>
        <w:rPr>
          <w:rFonts w:ascii="Times New Roman" w:hAnsi="Times New Roman"/>
          <w:sz w:val="24"/>
          <w:lang w:val="pt-PT"/>
        </w:rPr>
      </w:pPr>
      <w:r w:rsidRPr="002870AE">
        <w:rPr>
          <w:rFonts w:ascii="Times New Roman" w:hAnsi="Times New Roman"/>
          <w:sz w:val="24"/>
          <w:lang w:val="pt-PT"/>
        </w:rPr>
        <w:t xml:space="preserve">serviços de voz sobre Internet e comunicações OTT, como Skype, </w:t>
      </w:r>
      <w:proofErr w:type="spellStart"/>
      <w:r w:rsidRPr="002870AE">
        <w:rPr>
          <w:rFonts w:ascii="Times New Roman" w:hAnsi="Times New Roman"/>
          <w:sz w:val="24"/>
          <w:lang w:val="pt-PT"/>
        </w:rPr>
        <w:t>Viber</w:t>
      </w:r>
      <w:proofErr w:type="spellEnd"/>
      <w:r w:rsidRPr="002870AE">
        <w:rPr>
          <w:rFonts w:ascii="Times New Roman" w:hAnsi="Times New Roman"/>
          <w:sz w:val="24"/>
          <w:lang w:val="pt-PT"/>
        </w:rPr>
        <w:t xml:space="preserve"> e WhatsApp;</w:t>
      </w:r>
    </w:p>
    <w:p w14:paraId="6638BD95" w14:textId="77777777" w:rsidR="00265BB5" w:rsidRPr="002870AE" w:rsidRDefault="00265BB5" w:rsidP="002870AE">
      <w:pPr>
        <w:pStyle w:val="Textbody"/>
        <w:numPr>
          <w:ilvl w:val="0"/>
          <w:numId w:val="14"/>
        </w:numPr>
        <w:jc w:val="both"/>
        <w:rPr>
          <w:rFonts w:ascii="Times New Roman" w:hAnsi="Times New Roman"/>
          <w:sz w:val="24"/>
          <w:lang w:val="pt-PT"/>
        </w:rPr>
      </w:pPr>
      <w:r w:rsidRPr="002870AE">
        <w:rPr>
          <w:rFonts w:ascii="Times New Roman" w:hAnsi="Times New Roman"/>
          <w:sz w:val="24"/>
          <w:lang w:val="pt-PT"/>
        </w:rPr>
        <w:t>redes sociais e outros serviços de mensagens, como Facebook, Instagram e Twitter;</w:t>
      </w:r>
    </w:p>
    <w:p w14:paraId="29CDF8B0" w14:textId="77777777" w:rsidR="00265BB5" w:rsidRPr="002870AE" w:rsidRDefault="00265BB5" w:rsidP="002870AE">
      <w:pPr>
        <w:pStyle w:val="Textbody"/>
        <w:numPr>
          <w:ilvl w:val="0"/>
          <w:numId w:val="14"/>
        </w:numPr>
        <w:jc w:val="both"/>
        <w:rPr>
          <w:rFonts w:ascii="Times New Roman" w:hAnsi="Times New Roman"/>
          <w:sz w:val="24"/>
          <w:lang w:val="pt-PT"/>
        </w:rPr>
      </w:pPr>
      <w:r w:rsidRPr="002870AE">
        <w:rPr>
          <w:rFonts w:ascii="Times New Roman" w:hAnsi="Times New Roman"/>
          <w:sz w:val="24"/>
          <w:lang w:val="pt-PT"/>
        </w:rPr>
        <w:t>chamadas de entrada, na medida em que onde o preço (noutro país) para chamadas para a Guiné Bissau é mais barato que o preço (na Guiné Bissau) para chamadas de saída, os interlocutores regulares tendem a favorecer a opção de usar chamadas de entrada mais baratas. Isso pode ocorrer por exemplo entre empresas e famílias em circunstâncias em que o preço é um fator importante.</w:t>
      </w:r>
    </w:p>
    <w:p w14:paraId="5DCA3F91"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As chamadas internacionais que utilizam redes de telecomunicações tradicionais foram afetadas pela disponibilidade de chamadas nos serviços baseados em aplicativos disponíveis na internet. Estes serviços fornecem um substituto direto para essas chamadas a um preço muito mais baixo ou, até, sem qualquer custo (onde a chamada ocorre por meio de uma conexão à Internet). Nem a ARN nem provavelmente os operadores na Guiné Bissau têm dados sobre a extensão do uso destes aplicativos para chamadas internacionais ou mensagens de texto. As estimativas internacionais podem não se aplicar ao caso específico da Guiné Bissau. </w:t>
      </w:r>
    </w:p>
    <w:p w14:paraId="32F59064"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eastAsia="MS Mincho" w:hAnsi="Times New Roman"/>
          <w:b/>
          <w:color w:val="002D62"/>
          <w:sz w:val="24"/>
          <w:lang w:val="pt-PT"/>
        </w:rPr>
        <w:t xml:space="preserve">Conclusão: </w:t>
      </w:r>
      <w:r w:rsidRPr="002870AE">
        <w:rPr>
          <w:rFonts w:ascii="Times New Roman" w:hAnsi="Times New Roman"/>
          <w:sz w:val="24"/>
          <w:lang w:val="pt-PT"/>
        </w:rPr>
        <w:t xml:space="preserve">O âmbito de mercado proposto é o de todos os serviços de voz e mensagens de texto oferecidos a consumidores de retalho onde a parte B fica fora da Guiné Bissau. </w:t>
      </w:r>
    </w:p>
    <w:p w14:paraId="6EA8591F" w14:textId="5270F9BD" w:rsidR="00391BC0" w:rsidRPr="002870AE" w:rsidRDefault="00391BC0" w:rsidP="002870AE">
      <w:pPr>
        <w:pStyle w:val="Ttulo2"/>
        <w:ind w:left="709" w:hanging="709"/>
        <w:jc w:val="both"/>
        <w:rPr>
          <w:rFonts w:ascii="Times New Roman" w:hAnsi="Times New Roman" w:cs="Times New Roman"/>
          <w:lang w:val="pt-PT"/>
        </w:rPr>
      </w:pPr>
      <w:bookmarkStart w:id="17" w:name="_Toc52034802"/>
      <w:r w:rsidRPr="002870AE">
        <w:rPr>
          <w:rFonts w:ascii="Times New Roman" w:hAnsi="Times New Roman" w:cs="Times New Roman"/>
          <w:lang w:val="pt-PT"/>
        </w:rPr>
        <w:t>Mercado 3 (Retalho): Serviços móveis de acesso à Internet</w:t>
      </w:r>
      <w:bookmarkEnd w:id="17"/>
    </w:p>
    <w:p w14:paraId="7E6AA593" w14:textId="6D536E80" w:rsidR="00253E00" w:rsidRPr="002870AE" w:rsidRDefault="00253E00" w:rsidP="002870AE">
      <w:pPr>
        <w:pStyle w:val="Ttulo4"/>
        <w:numPr>
          <w:ilvl w:val="0"/>
          <w:numId w:val="1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Definição de mercado</w:t>
      </w:r>
    </w:p>
    <w:p w14:paraId="5F96A8AD"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Os serviços móveis de acesso à Internet são usados para possibilitar, por meio de um navegador da web móvel aceder a diferentes páginas e / ou para executar aplicativos baseados na Internet num terminal móvel. Uma capacidade mínima de transmissão de dados é normalmente exigível para que o serviço seja de qualidade embora diferentes capacidades sejam necessárias em função da utilização (por exemplo aceder a uma página de texto ou ver um vídeo em </w:t>
      </w:r>
      <w:proofErr w:type="spellStart"/>
      <w:r w:rsidRPr="002870AE">
        <w:rPr>
          <w:rFonts w:ascii="Times New Roman" w:hAnsi="Times New Roman"/>
          <w:sz w:val="24"/>
          <w:lang w:val="pt-PT"/>
        </w:rPr>
        <w:t>streaming</w:t>
      </w:r>
      <w:proofErr w:type="spellEnd"/>
      <w:r w:rsidRPr="002870AE">
        <w:rPr>
          <w:rFonts w:ascii="Times New Roman" w:hAnsi="Times New Roman"/>
          <w:sz w:val="24"/>
          <w:lang w:val="pt-PT"/>
        </w:rPr>
        <w:t>). A capacidade de 256kbps é em geral usada como limite mínimo para fins de definição do serviço como sendo de banda larga móvel. Essa definição exclui, portanto, tecnologias que não são capazes de oferecer velocidades a jusante de pelo menos 256kbps para os terminais móveis dos clientes.</w:t>
      </w:r>
    </w:p>
    <w:p w14:paraId="5D6E0B03"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No passado, a capacidade de largura de banda móvel pode ter sido limitada em comparação com o acesso fixo, mas as “velocidades” de acesso móvel melhoraram substancialmente em relação ao 2G +. O 3G normalmente consegue atingir taxas de download de 43 Mbps, sujeitas a congestionamentos, </w:t>
      </w:r>
      <w:r w:rsidRPr="002870AE">
        <w:rPr>
          <w:rFonts w:ascii="Times New Roman" w:hAnsi="Times New Roman"/>
          <w:sz w:val="24"/>
          <w:lang w:val="pt-PT"/>
        </w:rPr>
        <w:lastRenderedPageBreak/>
        <w:t>e aumentará ainda mais com o 4G já disponível na Guiné Bissau nalguns centros urbanos. Como resultado, aplicativos que antes eram limitados à banda larga fixa são cada vez mais executados por meio de serviços móveis. Contudo para a definição de mercado no setor móvel não é feita distinção entre as tecnologias sobre as quais os serviços móveis são fornecidos, a menos que haja uma diferença funcional devido a limitações ou restrições técnicas. A Internet de banda larga móvel geralmente é direcionada a clientes que desejam aceder à Internet em movimento, diferenciando-os, portanto, de serviços fixos.</w:t>
      </w:r>
    </w:p>
    <w:p w14:paraId="378E5381" w14:textId="40B15235" w:rsidR="00B53814" w:rsidRPr="002870AE" w:rsidRDefault="00B53814"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4E3F6594"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O comportamento de uso da banda larga móvel difere significativamente daquele da banda larga fixa e sem fio fixa. O acesso móvel é mais pessoal, usado por um indivíduo, enquanto ele está em movimento. Os utilizadores de serviços de acesso à Internet fixos costumam ter requisitos e expectativas de largura de banda muito maiores do que os móveis, porque os tipos de aplicativos normalmente usados com uma conexão fixa consomem mais largura de banda e recursos e / ou são projetados para serem usados com uma conexão estável à Internet. Essa estabilidade por vezes não existe em mobilidade.</w:t>
      </w:r>
    </w:p>
    <w:p w14:paraId="7128C9D6"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Do ponto de vista da oferta, o mercado móvel possui barreiras consideráveis à entrada, o que restringe a substituição do lado da oferta por um operador de rede fixa. caso este estivesse operacional na Guiné Bissau. Essas barreiras incluem nomeadamente o acesso ao espectro e o investimento necessário para construir uma rede móvel.</w:t>
      </w:r>
    </w:p>
    <w:p w14:paraId="44D4063C"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O acesso à Internet em banda larga móvel geralmente é oferecido a clientes residenciais e empresariais, com pouca discriminação de preço ou diferença de serviço entre os dois grupos de clientes. Embora possam existir ofertas de banda larga móvel com níveis mais altos de serviço e de preço mais elevado, esses serviços não parecem ser amplamente fornecidos pelos operadores móveis na Guiné Bissau, nem existe uma procura significativa entre os clientes empresariais para justificar a existência de mercados separados relativamente aos serviços residenciais. Portanto, consideramos que o mercado é único para consumidores residenciais e empresariais.</w:t>
      </w:r>
    </w:p>
    <w:p w14:paraId="53299CA1" w14:textId="4E07DF06" w:rsidR="00253E00" w:rsidRPr="002870AE" w:rsidRDefault="001A7026" w:rsidP="002870AE">
      <w:pPr>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
          <w:color w:val="002D62"/>
          <w:sz w:val="24"/>
          <w:szCs w:val="24"/>
          <w:lang w:val="pt-PT"/>
        </w:rPr>
        <w:t xml:space="preserve">Conclusão: </w:t>
      </w:r>
      <w:r w:rsidR="00156DA1" w:rsidRPr="002870AE">
        <w:rPr>
          <w:rFonts w:ascii="Times New Roman" w:eastAsia="MS Mincho" w:hAnsi="Times New Roman" w:cs="Times New Roman"/>
          <w:bCs/>
          <w:sz w:val="24"/>
          <w:szCs w:val="24"/>
          <w:lang w:val="pt-PT"/>
        </w:rPr>
        <w:t xml:space="preserve">Concluímos que a banda larga móvel e fixa não se substituem uma à outra e existem em mercados distintos e que os serviços </w:t>
      </w:r>
      <w:r w:rsidRPr="002870AE">
        <w:rPr>
          <w:rFonts w:ascii="Times New Roman" w:hAnsi="Times New Roman" w:cs="Times New Roman"/>
          <w:sz w:val="24"/>
          <w:szCs w:val="24"/>
          <w:lang w:val="pt-PT"/>
        </w:rPr>
        <w:t>para os segmentos residencial e de negócios pertencem ao mesmo mercado.</w:t>
      </w:r>
      <w:r w:rsidR="00156DA1" w:rsidRPr="002870AE">
        <w:rPr>
          <w:rFonts w:ascii="Times New Roman" w:eastAsia="MS Mincho" w:hAnsi="Times New Roman" w:cs="Times New Roman"/>
          <w:bCs/>
          <w:sz w:val="24"/>
          <w:szCs w:val="24"/>
          <w:lang w:val="pt-PT"/>
        </w:rPr>
        <w:t xml:space="preserve"> </w:t>
      </w:r>
      <w:r w:rsidR="00350F5F" w:rsidRPr="002870AE">
        <w:rPr>
          <w:rFonts w:ascii="Times New Roman" w:eastAsia="MS Mincho" w:hAnsi="Times New Roman" w:cs="Times New Roman"/>
          <w:bCs/>
          <w:sz w:val="24"/>
          <w:szCs w:val="24"/>
          <w:lang w:val="pt-PT"/>
        </w:rPr>
        <w:t xml:space="preserve">Portanto, concluímos que existe um mercado de </w:t>
      </w:r>
      <w:r w:rsidR="00156DA1" w:rsidRPr="002870AE">
        <w:rPr>
          <w:rFonts w:ascii="Times New Roman" w:eastAsia="MS Mincho" w:hAnsi="Times New Roman" w:cs="Times New Roman"/>
          <w:bCs/>
          <w:sz w:val="24"/>
          <w:szCs w:val="24"/>
          <w:lang w:val="pt-PT"/>
        </w:rPr>
        <w:t>retalho</w:t>
      </w:r>
      <w:r w:rsidR="00350F5F" w:rsidRPr="002870AE">
        <w:rPr>
          <w:rFonts w:ascii="Times New Roman" w:eastAsia="MS Mincho" w:hAnsi="Times New Roman" w:cs="Times New Roman"/>
          <w:bCs/>
          <w:sz w:val="24"/>
          <w:szCs w:val="24"/>
          <w:lang w:val="pt-PT"/>
        </w:rPr>
        <w:t xml:space="preserve"> nacional para acesso à Internet móvel </w:t>
      </w:r>
      <w:r w:rsidR="00156DA1" w:rsidRPr="002870AE">
        <w:rPr>
          <w:rFonts w:ascii="Times New Roman" w:eastAsia="MS Mincho" w:hAnsi="Times New Roman" w:cs="Times New Roman"/>
          <w:bCs/>
          <w:sz w:val="24"/>
          <w:szCs w:val="24"/>
          <w:lang w:val="pt-PT"/>
        </w:rPr>
        <w:t>na Guiné Bissau que abrange os segmentos residencial e empresarial.</w:t>
      </w:r>
    </w:p>
    <w:p w14:paraId="4B6FF358" w14:textId="5C5EF77B" w:rsidR="00391BC0" w:rsidRPr="002870AE" w:rsidRDefault="00391BC0" w:rsidP="002870AE">
      <w:pPr>
        <w:pStyle w:val="Ttulo2"/>
        <w:ind w:left="709" w:hanging="709"/>
        <w:jc w:val="both"/>
        <w:rPr>
          <w:rFonts w:ascii="Times New Roman" w:hAnsi="Times New Roman" w:cs="Times New Roman"/>
          <w:lang w:val="pt-PT"/>
        </w:rPr>
      </w:pPr>
      <w:bookmarkStart w:id="18" w:name="_Toc52034803"/>
      <w:r w:rsidRPr="002870AE">
        <w:rPr>
          <w:rFonts w:ascii="Times New Roman" w:hAnsi="Times New Roman" w:cs="Times New Roman"/>
          <w:lang w:val="pt-PT"/>
        </w:rPr>
        <w:t xml:space="preserve">Mercado 4 (Retalho): </w:t>
      </w:r>
      <w:r w:rsidR="00253E00" w:rsidRPr="002870AE">
        <w:rPr>
          <w:rFonts w:ascii="Times New Roman" w:hAnsi="Times New Roman" w:cs="Times New Roman"/>
          <w:lang w:val="pt-PT"/>
        </w:rPr>
        <w:t>Serviços de a</w:t>
      </w:r>
      <w:r w:rsidRPr="002870AE">
        <w:rPr>
          <w:rFonts w:ascii="Times New Roman" w:hAnsi="Times New Roman" w:cs="Times New Roman"/>
          <w:lang w:val="pt-PT"/>
        </w:rPr>
        <w:t>cesso à Internet a partir de uma localização fixa</w:t>
      </w:r>
      <w:bookmarkEnd w:id="18"/>
    </w:p>
    <w:p w14:paraId="0674F938" w14:textId="56CCFA3D" w:rsidR="00253E00" w:rsidRPr="002870AE" w:rsidRDefault="00253E00" w:rsidP="002870AE">
      <w:pPr>
        <w:pStyle w:val="Ttulo4"/>
        <w:numPr>
          <w:ilvl w:val="0"/>
          <w:numId w:val="0"/>
        </w:numPr>
        <w:spacing w:before="120" w:after="120" w:line="276"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74042101" w14:textId="77777777" w:rsidR="00265BB5" w:rsidRPr="002870AE" w:rsidRDefault="00265BB5" w:rsidP="002870AE">
      <w:pPr>
        <w:pStyle w:val="Textbody"/>
        <w:spacing w:before="120" w:line="276" w:lineRule="auto"/>
        <w:jc w:val="both"/>
        <w:rPr>
          <w:rFonts w:ascii="Times New Roman" w:eastAsia="Times New Roman" w:hAnsi="Times New Roman"/>
          <w:color w:val="000000"/>
          <w:spacing w:val="-3"/>
          <w:sz w:val="24"/>
          <w:lang w:val="pt-PT" w:eastAsia="pt-PT"/>
        </w:rPr>
      </w:pPr>
      <w:r w:rsidRPr="002870AE">
        <w:rPr>
          <w:rFonts w:ascii="Times New Roman" w:hAnsi="Times New Roman"/>
          <w:sz w:val="24"/>
          <w:lang w:val="pt-PT"/>
        </w:rPr>
        <w:t xml:space="preserve">No mercado da Guiné Bissau os operadores móveis oferecem ligações de internet fixa denominadas de banda larga ou de alto débito destinadas aos segmentos residencial e empresarial. O </w:t>
      </w:r>
      <w:r w:rsidRPr="002870AE">
        <w:rPr>
          <w:rFonts w:ascii="Times New Roman" w:hAnsi="Times New Roman"/>
          <w:color w:val="000000"/>
          <w:spacing w:val="-3"/>
          <w:sz w:val="24"/>
          <w:lang w:val="pt-PT"/>
        </w:rPr>
        <w:t xml:space="preserve">Orange Internet Casa é uma conexão internet fixa de alto débito, disponível graças à tecnologia </w:t>
      </w:r>
      <w:proofErr w:type="spellStart"/>
      <w:r w:rsidRPr="002870AE">
        <w:rPr>
          <w:rFonts w:ascii="Times New Roman" w:hAnsi="Times New Roman"/>
          <w:color w:val="000000"/>
          <w:spacing w:val="-3"/>
          <w:sz w:val="24"/>
          <w:lang w:val="pt-PT"/>
        </w:rPr>
        <w:t>Proxim</w:t>
      </w:r>
      <w:proofErr w:type="spellEnd"/>
      <w:r w:rsidRPr="002870AE">
        <w:rPr>
          <w:rFonts w:ascii="Times New Roman" w:hAnsi="Times New Roman"/>
          <w:color w:val="000000"/>
          <w:spacing w:val="-3"/>
          <w:sz w:val="24"/>
          <w:lang w:val="pt-PT"/>
        </w:rPr>
        <w:t xml:space="preserve"> e exclusivamente dirigida ao segmento residencial. Esta oferta oferece </w:t>
      </w:r>
      <w:r w:rsidRPr="002870AE">
        <w:rPr>
          <w:rFonts w:ascii="Times New Roman" w:eastAsia="Times New Roman" w:hAnsi="Times New Roman"/>
          <w:color w:val="000000"/>
          <w:spacing w:val="-3"/>
          <w:sz w:val="24"/>
          <w:lang w:val="pt-PT" w:eastAsia="pt-PT"/>
        </w:rPr>
        <w:t>conexão ilimitada e permanente à Internet Alto Débito 256 Kb/segundo. Para além da Oferta de 2 endereços de e-mail o cliente pode ainda aceder a suporte disponível 7dias/6</w:t>
      </w:r>
      <w:r w:rsidRPr="002870AE">
        <w:rPr>
          <w:rStyle w:val="Refdenotaderodap"/>
          <w:rFonts w:ascii="Times New Roman" w:eastAsia="Times New Roman" w:hAnsi="Times New Roman"/>
          <w:color w:val="000000"/>
          <w:spacing w:val="-3"/>
          <w:sz w:val="24"/>
          <w:lang w:val="pt-PT" w:eastAsia="pt-PT"/>
        </w:rPr>
        <w:footnoteReference w:id="13"/>
      </w:r>
      <w:r w:rsidRPr="002870AE">
        <w:rPr>
          <w:rFonts w:ascii="Times New Roman" w:eastAsia="Times New Roman" w:hAnsi="Times New Roman"/>
          <w:color w:val="000000"/>
          <w:spacing w:val="-3"/>
          <w:sz w:val="24"/>
          <w:lang w:val="pt-PT" w:eastAsia="pt-PT"/>
        </w:rPr>
        <w:t>. A tabela seguinte mostra os preços em vigor:</w:t>
      </w:r>
    </w:p>
    <w:p w14:paraId="3D6E1496" w14:textId="62DBDBE1" w:rsidR="00A910DB" w:rsidRPr="002870AE" w:rsidRDefault="00A910DB" w:rsidP="002870AE">
      <w:pPr>
        <w:pStyle w:val="Textbody"/>
        <w:spacing w:before="120" w:line="276" w:lineRule="auto"/>
        <w:jc w:val="both"/>
        <w:rPr>
          <w:rFonts w:ascii="Times New Roman" w:eastAsia="Times New Roman" w:hAnsi="Times New Roman"/>
          <w:color w:val="000000"/>
          <w:spacing w:val="-3"/>
          <w:sz w:val="24"/>
          <w:lang w:val="pt-PT" w:eastAsia="pt-PT"/>
        </w:rPr>
      </w:pPr>
      <w:r w:rsidRPr="002870AE">
        <w:rPr>
          <w:rFonts w:ascii="Times New Roman" w:hAnsi="Times New Roman"/>
          <w:noProof/>
          <w:sz w:val="24"/>
        </w:rPr>
        <w:lastRenderedPageBreak/>
        <w:drawing>
          <wp:inline distT="0" distB="0" distL="0" distR="0" wp14:anchorId="06B5468C" wp14:editId="27BEEECC">
            <wp:extent cx="2288540" cy="7429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8540" cy="742950"/>
                    </a:xfrm>
                    <a:prstGeom prst="rect">
                      <a:avLst/>
                    </a:prstGeom>
                    <a:noFill/>
                    <a:ln>
                      <a:noFill/>
                    </a:ln>
                  </pic:spPr>
                </pic:pic>
              </a:graphicData>
            </a:graphic>
          </wp:inline>
        </w:drawing>
      </w:r>
    </w:p>
    <w:p w14:paraId="1E83F21C" w14:textId="4CEAA4FD" w:rsidR="00265BB5" w:rsidRPr="002870AE" w:rsidRDefault="00265BB5" w:rsidP="002870AE">
      <w:pPr>
        <w:pStyle w:val="Textbody"/>
        <w:spacing w:before="120" w:line="276" w:lineRule="auto"/>
        <w:jc w:val="both"/>
        <w:rPr>
          <w:rFonts w:ascii="Times New Roman" w:hAnsi="Times New Roman"/>
          <w:color w:val="000000"/>
          <w:spacing w:val="-3"/>
          <w:sz w:val="24"/>
          <w:lang w:val="pt-PT"/>
        </w:rPr>
      </w:pPr>
      <w:r w:rsidRPr="002870AE">
        <w:rPr>
          <w:rFonts w:ascii="Times New Roman" w:eastAsia="Times New Roman" w:hAnsi="Times New Roman"/>
          <w:color w:val="000000"/>
          <w:spacing w:val="-3"/>
          <w:sz w:val="24"/>
          <w:lang w:val="pt-PT" w:eastAsia="pt-PT"/>
        </w:rPr>
        <w:t xml:space="preserve">Para o segmento das empresas (PME/PMI) a Orange oferece o denominado Pacote </w:t>
      </w:r>
      <w:proofErr w:type="spellStart"/>
      <w:r w:rsidRPr="002870AE">
        <w:rPr>
          <w:rFonts w:ascii="Times New Roman" w:eastAsia="Times New Roman" w:hAnsi="Times New Roman"/>
          <w:color w:val="000000"/>
          <w:spacing w:val="-3"/>
          <w:sz w:val="24"/>
          <w:lang w:val="pt-PT" w:eastAsia="pt-PT"/>
        </w:rPr>
        <w:t>Flybox</w:t>
      </w:r>
      <w:proofErr w:type="spellEnd"/>
      <w:r w:rsidRPr="002870AE">
        <w:rPr>
          <w:rFonts w:ascii="Times New Roman" w:eastAsia="Times New Roman" w:hAnsi="Times New Roman"/>
          <w:color w:val="000000"/>
          <w:spacing w:val="-3"/>
          <w:sz w:val="24"/>
          <w:lang w:val="pt-PT" w:eastAsia="pt-PT"/>
        </w:rPr>
        <w:t xml:space="preserve">, que, no entanto, pode também ser interessante para particulares ou profissionais liberais eventualmente com exigências diferentes do segmento residencial. O produto está condicionado à existência de cobertura 3G+ ou 4G Orange na zona. O serviço pode ser partilhado por 12 pessoas em simultâneo em </w:t>
      </w:r>
      <w:proofErr w:type="spellStart"/>
      <w:r w:rsidRPr="002870AE">
        <w:rPr>
          <w:rFonts w:ascii="Times New Roman" w:eastAsia="Times New Roman" w:hAnsi="Times New Roman"/>
          <w:i/>
          <w:iCs/>
          <w:color w:val="000000"/>
          <w:spacing w:val="-3"/>
          <w:sz w:val="24"/>
          <w:lang w:val="pt-PT" w:eastAsia="pt-PT"/>
        </w:rPr>
        <w:t>Wifi</w:t>
      </w:r>
      <w:proofErr w:type="spellEnd"/>
      <w:r w:rsidRPr="002870AE">
        <w:rPr>
          <w:rFonts w:ascii="Times New Roman" w:eastAsia="Times New Roman" w:hAnsi="Times New Roman"/>
          <w:color w:val="000000"/>
          <w:spacing w:val="-3"/>
          <w:sz w:val="24"/>
          <w:lang w:val="pt-PT" w:eastAsia="pt-PT"/>
        </w:rPr>
        <w:t xml:space="preserve"> com um alcance superior ao que seria de esperar com um Smartphone,</w:t>
      </w:r>
      <w:r w:rsidRPr="002870AE">
        <w:rPr>
          <w:rFonts w:ascii="Times New Roman" w:hAnsi="Times New Roman"/>
          <w:color w:val="000000"/>
          <w:spacing w:val="-3"/>
          <w:sz w:val="24"/>
          <w:lang w:val="pt-PT"/>
        </w:rPr>
        <w:t xml:space="preserve"> mais ou menos 20m sem antena suplementar. O pacote </w:t>
      </w:r>
      <w:proofErr w:type="spellStart"/>
      <w:r w:rsidRPr="002870AE">
        <w:rPr>
          <w:rFonts w:ascii="Times New Roman" w:hAnsi="Times New Roman"/>
          <w:color w:val="000000"/>
          <w:spacing w:val="-3"/>
          <w:sz w:val="24"/>
          <w:lang w:val="pt-PT"/>
        </w:rPr>
        <w:t>Flybox</w:t>
      </w:r>
      <w:proofErr w:type="spellEnd"/>
      <w:r w:rsidRPr="002870AE">
        <w:rPr>
          <w:rFonts w:ascii="Times New Roman" w:hAnsi="Times New Roman"/>
          <w:color w:val="000000"/>
          <w:spacing w:val="-3"/>
          <w:sz w:val="24"/>
          <w:lang w:val="pt-PT"/>
        </w:rPr>
        <w:t xml:space="preserve"> contém um router </w:t>
      </w:r>
      <w:proofErr w:type="spellStart"/>
      <w:r w:rsidRPr="002870AE">
        <w:rPr>
          <w:rFonts w:ascii="Times New Roman" w:hAnsi="Times New Roman"/>
          <w:i/>
          <w:iCs/>
          <w:color w:val="000000"/>
          <w:spacing w:val="-3"/>
          <w:sz w:val="24"/>
          <w:lang w:val="pt-PT"/>
        </w:rPr>
        <w:t>Wifi</w:t>
      </w:r>
      <w:proofErr w:type="spellEnd"/>
      <w:r w:rsidRPr="002870AE">
        <w:rPr>
          <w:rFonts w:ascii="Times New Roman" w:hAnsi="Times New Roman"/>
          <w:color w:val="000000"/>
          <w:spacing w:val="-3"/>
          <w:sz w:val="24"/>
          <w:lang w:val="pt-PT"/>
        </w:rPr>
        <w:t>, um cartão SIM Orange e um passe Internet de 10Go valido por 1 mês. De acordo com as condições oferecidas atualmente, este produto possui um valor elevado de taxa de instalação, que varia de acordo com a tecnologia disponível (3G ou 4G) e não é mencionado o seu custo mensal:</w:t>
      </w:r>
    </w:p>
    <w:p w14:paraId="46EBCC93" w14:textId="77777777" w:rsidR="00265BB5" w:rsidRPr="002870AE" w:rsidRDefault="00265BB5" w:rsidP="002870AE">
      <w:pPr>
        <w:pStyle w:val="Textbody"/>
        <w:numPr>
          <w:ilvl w:val="0"/>
          <w:numId w:val="16"/>
        </w:numPr>
        <w:spacing w:before="120" w:line="276" w:lineRule="auto"/>
        <w:ind w:left="0" w:firstLine="0"/>
        <w:jc w:val="both"/>
        <w:rPr>
          <w:rFonts w:ascii="Times New Roman" w:eastAsia="Times New Roman" w:hAnsi="Times New Roman"/>
          <w:color w:val="000000"/>
          <w:spacing w:val="-3"/>
          <w:sz w:val="24"/>
          <w:lang w:val="pt-PT" w:eastAsia="pt-PT"/>
        </w:rPr>
      </w:pPr>
      <w:r w:rsidRPr="002870AE">
        <w:rPr>
          <w:rFonts w:ascii="Times New Roman" w:eastAsia="Times New Roman" w:hAnsi="Times New Roman"/>
          <w:color w:val="000000"/>
          <w:spacing w:val="-3"/>
          <w:sz w:val="24"/>
          <w:lang w:val="pt-PT" w:eastAsia="pt-PT"/>
        </w:rPr>
        <w:t xml:space="preserve">Taxa de instalação </w:t>
      </w:r>
      <w:proofErr w:type="spellStart"/>
      <w:r w:rsidRPr="002870AE">
        <w:rPr>
          <w:rFonts w:ascii="Times New Roman" w:eastAsia="Times New Roman" w:hAnsi="Times New Roman"/>
          <w:color w:val="000000"/>
          <w:spacing w:val="-3"/>
          <w:sz w:val="24"/>
          <w:lang w:val="pt-PT" w:eastAsia="pt-PT"/>
        </w:rPr>
        <w:t>Flybox</w:t>
      </w:r>
      <w:proofErr w:type="spellEnd"/>
      <w:r w:rsidRPr="002870AE">
        <w:rPr>
          <w:rFonts w:ascii="Times New Roman" w:eastAsia="Times New Roman" w:hAnsi="Times New Roman"/>
          <w:color w:val="000000"/>
          <w:spacing w:val="-3"/>
          <w:sz w:val="24"/>
          <w:lang w:val="pt-PT" w:eastAsia="pt-PT"/>
        </w:rPr>
        <w:t xml:space="preserve"> 4G: 60 000 FCFA + oferta de 20Go de passe Internet</w:t>
      </w:r>
    </w:p>
    <w:p w14:paraId="5F140A47" w14:textId="77777777" w:rsidR="00265BB5" w:rsidRPr="002870AE" w:rsidRDefault="00265BB5" w:rsidP="002870AE">
      <w:pPr>
        <w:numPr>
          <w:ilvl w:val="0"/>
          <w:numId w:val="15"/>
        </w:numPr>
        <w:ind w:left="0" w:firstLine="0"/>
        <w:jc w:val="both"/>
        <w:rPr>
          <w:rFonts w:ascii="Times New Roman" w:eastAsia="Times New Roman" w:hAnsi="Times New Roman" w:cs="Times New Roman"/>
          <w:color w:val="000000"/>
          <w:spacing w:val="-3"/>
          <w:sz w:val="24"/>
          <w:szCs w:val="24"/>
          <w:lang w:val="pt-PT" w:eastAsia="pt-PT"/>
        </w:rPr>
      </w:pPr>
      <w:r w:rsidRPr="002870AE">
        <w:rPr>
          <w:rFonts w:ascii="Times New Roman" w:eastAsia="Times New Roman" w:hAnsi="Times New Roman" w:cs="Times New Roman"/>
          <w:color w:val="000000"/>
          <w:spacing w:val="-3"/>
          <w:sz w:val="24"/>
          <w:szCs w:val="24"/>
          <w:lang w:val="pt-PT" w:eastAsia="pt-PT"/>
        </w:rPr>
        <w:t xml:space="preserve">Taxa de instalação </w:t>
      </w:r>
      <w:proofErr w:type="spellStart"/>
      <w:r w:rsidRPr="002870AE">
        <w:rPr>
          <w:rFonts w:ascii="Times New Roman" w:eastAsia="Times New Roman" w:hAnsi="Times New Roman" w:cs="Times New Roman"/>
          <w:color w:val="000000"/>
          <w:spacing w:val="-3"/>
          <w:sz w:val="24"/>
          <w:szCs w:val="24"/>
          <w:lang w:val="pt-PT" w:eastAsia="pt-PT"/>
        </w:rPr>
        <w:t>Flybox</w:t>
      </w:r>
      <w:proofErr w:type="spellEnd"/>
      <w:r w:rsidRPr="002870AE">
        <w:rPr>
          <w:rFonts w:ascii="Times New Roman" w:eastAsia="Times New Roman" w:hAnsi="Times New Roman" w:cs="Times New Roman"/>
          <w:color w:val="000000"/>
          <w:spacing w:val="-3"/>
          <w:sz w:val="24"/>
          <w:szCs w:val="24"/>
          <w:lang w:val="pt-PT" w:eastAsia="pt-PT"/>
        </w:rPr>
        <w:t xml:space="preserve"> 3G: 50 000 FCFA + oferta de 10 </w:t>
      </w:r>
      <w:proofErr w:type="spellStart"/>
      <w:r w:rsidRPr="002870AE">
        <w:rPr>
          <w:rFonts w:ascii="Times New Roman" w:eastAsia="Times New Roman" w:hAnsi="Times New Roman" w:cs="Times New Roman"/>
          <w:color w:val="000000"/>
          <w:spacing w:val="-3"/>
          <w:sz w:val="24"/>
          <w:szCs w:val="24"/>
          <w:lang w:val="pt-PT" w:eastAsia="pt-PT"/>
        </w:rPr>
        <w:t>Go</w:t>
      </w:r>
      <w:proofErr w:type="spellEnd"/>
      <w:r w:rsidRPr="002870AE">
        <w:rPr>
          <w:rFonts w:ascii="Times New Roman" w:eastAsia="Times New Roman" w:hAnsi="Times New Roman" w:cs="Times New Roman"/>
          <w:color w:val="000000"/>
          <w:spacing w:val="-3"/>
          <w:sz w:val="24"/>
          <w:szCs w:val="24"/>
          <w:lang w:val="pt-PT" w:eastAsia="pt-PT"/>
        </w:rPr>
        <w:t xml:space="preserve"> de passe Internet</w:t>
      </w:r>
    </w:p>
    <w:p w14:paraId="6A263B66" w14:textId="399F3757" w:rsidR="00B53814" w:rsidRPr="002870AE" w:rsidRDefault="00B53814"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13A43344" w14:textId="77777777" w:rsidR="00265BB5" w:rsidRPr="002870AE" w:rsidRDefault="00265BB5" w:rsidP="002870AE">
      <w:pPr>
        <w:pStyle w:val="Textbody"/>
        <w:spacing w:line="276" w:lineRule="auto"/>
        <w:jc w:val="both"/>
        <w:rPr>
          <w:rFonts w:ascii="Times New Roman" w:hAnsi="Times New Roman"/>
          <w:sz w:val="24"/>
          <w:lang w:val="pt-PT"/>
        </w:rPr>
      </w:pPr>
      <w:r w:rsidRPr="002870AE">
        <w:rPr>
          <w:rFonts w:ascii="Times New Roman" w:hAnsi="Times New Roman"/>
          <w:sz w:val="24"/>
          <w:lang w:val="pt-PT"/>
        </w:rPr>
        <w:t>A principal questão para definir o mercado de acesso à Internet é se devem existir dois mercados, definidos em termos de acesso à internet a partir de um local fixo e acesso à internet a partir de um serviço móvel.</w:t>
      </w:r>
    </w:p>
    <w:p w14:paraId="2C1ADD3F" w14:textId="20C135C5" w:rsidR="001B4D97"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Conforme analisado anteriormente (Mercado 3 retalhista), o comportamento de uso da banda larga móvel difere significativamente daquele da banda larga fixa e sem fio fixa. Como também se pode observar as características das ofertas de acesso à internet fixas diferem substancialmente das ofertas móveis apresentando valores elevados de instalação e encargos mensais constantes e também bastante elevados. Assim não parece credível que um aumento de 5 a 10% do preço de oferta do acesso fixo por parte dum monopolista hipotético levasse à substituição por um acesso móvel. Do lado da procura ambos os operadores já oferecem estes serviços pelo que apenas faz sentido considerar se este aumento levaria a que novos operadores entrassem especificamente neste mercado para oferecer serviços de acesso à internet fixa. Esta possibilidade também se afigura pouco provável na medida em que este mercado é ainda de reduzida dimensão e por si só não teria provavelmente capacidade de viabilizar um operador que apenas oferecesse serviços neste segmento. A outra questão que se pode ainda analisar é em que medida existem mercados separados para o segmento residencial e empresarial. Atendendo às características das ofertas conhecidas não nos parece ser atualmente o caso na Guiné Bissau. Assim consideramos que o segmento residencial e empresarial, fazem parte do mesmo mercado.</w:t>
      </w:r>
    </w:p>
    <w:p w14:paraId="3B0ED6F2" w14:textId="2F387E9D" w:rsidR="005173F6" w:rsidRPr="002870AE" w:rsidRDefault="00B53814" w:rsidP="002870AE">
      <w:pPr>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
          <w:color w:val="002D62"/>
          <w:sz w:val="24"/>
          <w:szCs w:val="24"/>
          <w:lang w:val="pt-PT"/>
        </w:rPr>
        <w:t>Conclusão:</w:t>
      </w:r>
      <w:r w:rsidR="005173F6" w:rsidRPr="002870AE">
        <w:rPr>
          <w:rFonts w:ascii="Times New Roman" w:eastAsia="MS Mincho" w:hAnsi="Times New Roman" w:cs="Times New Roman"/>
          <w:b/>
          <w:color w:val="002D62"/>
          <w:sz w:val="24"/>
          <w:szCs w:val="24"/>
          <w:lang w:val="pt-PT"/>
        </w:rPr>
        <w:t xml:space="preserve"> </w:t>
      </w:r>
      <w:r w:rsidR="005173F6" w:rsidRPr="002870AE">
        <w:rPr>
          <w:rFonts w:ascii="Times New Roman" w:eastAsia="MS Mincho" w:hAnsi="Times New Roman" w:cs="Times New Roman"/>
          <w:bCs/>
          <w:sz w:val="24"/>
          <w:szCs w:val="24"/>
          <w:lang w:val="pt-PT"/>
        </w:rPr>
        <w:t>Conclui-se</w:t>
      </w:r>
      <w:r w:rsidR="00265BB5" w:rsidRPr="002870AE">
        <w:rPr>
          <w:rFonts w:ascii="Times New Roman" w:eastAsia="MS Mincho" w:hAnsi="Times New Roman" w:cs="Times New Roman"/>
          <w:bCs/>
          <w:sz w:val="24"/>
          <w:szCs w:val="24"/>
          <w:lang w:val="pt-PT"/>
        </w:rPr>
        <w:t>,</w:t>
      </w:r>
      <w:r w:rsidR="005173F6" w:rsidRPr="002870AE">
        <w:rPr>
          <w:rFonts w:ascii="Times New Roman" w:eastAsia="MS Mincho" w:hAnsi="Times New Roman" w:cs="Times New Roman"/>
          <w:bCs/>
          <w:sz w:val="24"/>
          <w:szCs w:val="24"/>
          <w:lang w:val="pt-PT"/>
        </w:rPr>
        <w:t xml:space="preserve"> portanto que existe um mercado de retalho nacional para acesso à internet fixa na Guiné Bissau que abrange os segmentos residencial e empresarial.</w:t>
      </w:r>
    </w:p>
    <w:p w14:paraId="20D76531" w14:textId="50897B96" w:rsidR="00391BC0" w:rsidRPr="002870AE" w:rsidRDefault="00391BC0" w:rsidP="002870AE">
      <w:pPr>
        <w:pStyle w:val="Ttulo2"/>
        <w:ind w:left="709" w:hanging="709"/>
        <w:jc w:val="both"/>
        <w:rPr>
          <w:rFonts w:ascii="Times New Roman" w:hAnsi="Times New Roman" w:cs="Times New Roman"/>
          <w:lang w:val="pt-PT"/>
        </w:rPr>
      </w:pPr>
      <w:bookmarkStart w:id="19" w:name="_Toc52034804"/>
      <w:r w:rsidRPr="002870AE">
        <w:rPr>
          <w:rFonts w:ascii="Times New Roman" w:hAnsi="Times New Roman" w:cs="Times New Roman"/>
          <w:lang w:val="pt-PT"/>
        </w:rPr>
        <w:t>Mercado 5 (Grossista): Serviços de terminação de voz em redes móveis</w:t>
      </w:r>
      <w:bookmarkEnd w:id="19"/>
    </w:p>
    <w:p w14:paraId="363604E8" w14:textId="35807BF6" w:rsidR="00253E00" w:rsidRPr="002870AE" w:rsidRDefault="00253E00" w:rsidP="002870AE">
      <w:pPr>
        <w:pStyle w:val="Ttulo4"/>
        <w:numPr>
          <w:ilvl w:val="0"/>
          <w:numId w:val="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2742B9D8"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Este mercado compreende a terminação de chamadas de voz de prestadores de serviços interconectados numa rede móvel. Cada rede móvel na Guiné Bissau, ou seja, atualmente as redes </w:t>
      </w:r>
      <w:r w:rsidRPr="002870AE">
        <w:rPr>
          <w:rFonts w:ascii="Times New Roman" w:hAnsi="Times New Roman"/>
          <w:sz w:val="24"/>
          <w:lang w:val="pt-PT"/>
        </w:rPr>
        <w:lastRenderedPageBreak/>
        <w:t>operadas pela Orange e pela MTN, é um mercado separado. Se um cliente que efetua uma chamada de voz deseja ligar para um cliente da outra rede, o único caminho possível é através da rede móvel à qual o cliente chamado está contratualmente ligado. Portanto, cada rede móvel deve ser considerada um mercado separado de terminação de chamadas de voz. O serviço grossista de terminação por voz é um serviço de trânsito que começa no ponto de interconexão e termina no cliente chamado. O caminho da chamada está totalmente na rede da operadora do cliente final e não há substituto do lado da procura ou da oferta em resposta a um SSNIP.</w:t>
      </w:r>
    </w:p>
    <w:p w14:paraId="455703B5" w14:textId="51B72C32" w:rsidR="00253E00" w:rsidRPr="002870AE" w:rsidRDefault="00B53814" w:rsidP="002870AE">
      <w:pPr>
        <w:jc w:val="both"/>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Conclusão:</w:t>
      </w:r>
      <w:r w:rsidR="00D81CE1" w:rsidRPr="002870AE">
        <w:rPr>
          <w:rFonts w:ascii="Times New Roman" w:eastAsia="MS Mincho" w:hAnsi="Times New Roman" w:cs="Times New Roman"/>
          <w:b/>
          <w:color w:val="002D62"/>
          <w:sz w:val="24"/>
          <w:szCs w:val="24"/>
          <w:lang w:val="pt-PT"/>
        </w:rPr>
        <w:t xml:space="preserve"> </w:t>
      </w:r>
      <w:r w:rsidR="00D81CE1" w:rsidRPr="002870AE">
        <w:rPr>
          <w:rFonts w:ascii="Times New Roman" w:hAnsi="Times New Roman" w:cs="Times New Roman"/>
          <w:sz w:val="24"/>
          <w:szCs w:val="24"/>
          <w:lang w:val="pt-PT"/>
        </w:rPr>
        <w:t>Para a terminação de chamadas de voz cada rede móvel constitui um mercado separado.</w:t>
      </w:r>
    </w:p>
    <w:p w14:paraId="0251C3B3" w14:textId="5166FD11" w:rsidR="00391BC0" w:rsidRPr="002870AE" w:rsidRDefault="00391BC0" w:rsidP="002870AE">
      <w:pPr>
        <w:pStyle w:val="Ttulo2"/>
        <w:ind w:left="709" w:hanging="709"/>
        <w:jc w:val="both"/>
        <w:rPr>
          <w:rFonts w:ascii="Times New Roman" w:hAnsi="Times New Roman" w:cs="Times New Roman"/>
          <w:lang w:val="pt-PT"/>
        </w:rPr>
      </w:pPr>
      <w:bookmarkStart w:id="20" w:name="_Toc52034805"/>
      <w:r w:rsidRPr="002870AE">
        <w:rPr>
          <w:rFonts w:ascii="Times New Roman" w:hAnsi="Times New Roman" w:cs="Times New Roman"/>
          <w:lang w:val="pt-PT"/>
        </w:rPr>
        <w:t>Mercado 6 (Grossista): Serviços de terminação de mensagens de texto em redes móveis</w:t>
      </w:r>
      <w:bookmarkEnd w:id="20"/>
    </w:p>
    <w:p w14:paraId="6CF96EEF" w14:textId="50E1867F" w:rsidR="00253E00" w:rsidRPr="002870AE" w:rsidRDefault="00253E00" w:rsidP="002870AE">
      <w:pPr>
        <w:pStyle w:val="Ttulo4"/>
        <w:numPr>
          <w:ilvl w:val="0"/>
          <w:numId w:val="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2B28ACBE"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Quando um utilizador final duma rede envia uma mensagem de texto para um utilizador final ligado a outra rede, o operador da rede que termina a mensagem de texto tem que fornecer um serviço de terminação ao operador da rede de origem da mensagem de forma a possibilitar a conectividade entre todos os potenciais utilizadores desse serviço. O operador de rede de origem pode cobrar ao utilizador final o custo do envio da mensagem de texto. O operador da rede onde a mensagem termina não cobrará ao cliente por receber a mensagem de texto, mas cobrará ao operador de rede de origem da mensagem de texto uma taxa de terminação.</w:t>
      </w:r>
    </w:p>
    <w:p w14:paraId="1CF19A74" w14:textId="124A481F" w:rsidR="006C15B9" w:rsidRPr="002870AE" w:rsidRDefault="00B53814"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1D707828"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 xml:space="preserve">Neste contexto o que está em causa é saber até que ponto existe alguma substituibilidade entre a terminação de serviços de mensagens de texto e a terminação de chamadas de voz. Para o efeito importa verificar se a procura retalhista de serviços de mensagens de texto, poderá de alguma forma influenciar a procura de terminação móvel de chamadas de voz ao ponto de um pequeno aumento de preços, na ordem dos 5% a 10% na terminação móvel de chamadas de voz, ser suficiente para que um número significativo de utilizadores substitua as chamadas de voz destinadas a outras redes pelo envio de mensagens. Como se constatou pela análise efetuada na secção 2.1, apesar de poder existir alguma substituibilidade das mensagens de texto, face às chamadas móveis de voz, particularmente em relação a comunicações que não exijam resposta imediata, os diferenciais de preços verificados entre os dois tipos de comunicação poderiam indiciar a existência de mercados distintos. </w:t>
      </w:r>
      <w:r w:rsidRPr="002870AE">
        <w:rPr>
          <w:rFonts w:ascii="Times New Roman" w:hAnsi="Times New Roman" w:cs="Times New Roman"/>
          <w:sz w:val="24"/>
          <w:szCs w:val="24"/>
          <w:lang w:val="pt-PT"/>
        </w:rPr>
        <w:t>No entanto, voz e mensagens de texto constituem ofertas agrupadas por ambas as operadoras móveis na Guiné Bissau. Por esta razão decidiu-se que serviços de voz e mensagens de texto no retalho móvel fazem parte do mesmo mercado.</w:t>
      </w:r>
    </w:p>
    <w:p w14:paraId="7EBE4C7A"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 xml:space="preserve">Do lado da procura, os utilizadores finais têm várias opções diferentes para enviar e receber mensagens de texto. Essas opções incluem muitos dos serviços OTT agora amplamente disponíveis, como por exemplo o WhatsApp. No entanto, para a terminação de mensagens de texto não há substitutos. Se um utilizador final envia uma mensagem de texto, existe apenas uma operadora que pode terminar essa mensagem de texto, ou seja, a operadora da rede de terminação. Por conseguinte, cada operador de rede detém o monopólio do fornecimento de serviços de terminação de mensagens de texto na sua rede. Verifica-se assim, o mesmo que no caso das chamadas de voz que terminam na sua rede. </w:t>
      </w:r>
    </w:p>
    <w:p w14:paraId="6588DC21" w14:textId="77777777" w:rsidR="00265BB5" w:rsidRPr="002870AE" w:rsidRDefault="00265BB5" w:rsidP="002870AE">
      <w:pPr>
        <w:keepNext/>
        <w:widowControl w:val="0"/>
        <w:suppressAutoHyphens/>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Atendendo a que todos os operadores móveis em atividade fornecem o serviço de terminação móvel de chamadas de voz e de mensagens de texto, a análise de substituibilidade do lado da oferta carece </w:t>
      </w:r>
      <w:r w:rsidRPr="002870AE">
        <w:rPr>
          <w:rFonts w:ascii="Times New Roman" w:hAnsi="Times New Roman" w:cs="Times New Roman"/>
          <w:sz w:val="24"/>
          <w:szCs w:val="24"/>
          <w:lang w:val="pt-PT"/>
        </w:rPr>
        <w:lastRenderedPageBreak/>
        <w:t xml:space="preserve">de relevância. A fixação dos preços de um tipo de terminação não é constrangida pela fixação dos preços de outro tipo de terminação quando efetuada pelo mesmo operador. Há, no entanto, a possibilidade de outras entidades poderem entrar em atividade como prestadores de serviços ou MVNO, fornecendo serviços de terminação de mensagens de texto ou outros serviços de dados. Neste âmbito importaria verificar se estes operadores poderiam vir a oferecer terminação de chamadas vocais na sequência de um pequeno aumento de preços da terminação nas redes móveis. </w:t>
      </w:r>
    </w:p>
    <w:p w14:paraId="77074545" w14:textId="79824598" w:rsidR="00253E00" w:rsidRPr="002870AE" w:rsidRDefault="00B53814" w:rsidP="002870AE">
      <w:pPr>
        <w:jc w:val="both"/>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Conclusão:</w:t>
      </w:r>
    </w:p>
    <w:p w14:paraId="15B4E037" w14:textId="7E258D62" w:rsidR="00B53814"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A análise permite concluir que os serviços de terminação de mensagens de texto devem ser incluídos no mesmo mercado relevante que os serviços grossistas de terminação de voz móvel. Isso é consistente com a definição proposta de serviços móveis de retalho (Mercado 1, em que os serviços retalhistas de acesso, voz e mensagens de texto fazem parte do mesmo mercado). Além disso, as condições competitivas descritas na análise sobre a terminação de chamada de voz móvel também se aplicam aos serviços de terminação de mensagens de texto. Isso significa que as possibilidades de substituição do lado da oferta e da procura são limitadas. Em particular, a substituição do lado da oferta é limitada porque o único operador que pode terminar uma mensagem de texto enviada a um determinado cliente é o operador ao qual o cliente está conectado. A substituição do lado da procura também é limitada pelo sistema de chamador-pagador (CPP</w:t>
      </w:r>
      <w:r w:rsidRPr="002870AE">
        <w:rPr>
          <w:rStyle w:val="Refdenotaderodap"/>
          <w:rFonts w:ascii="Times New Roman" w:eastAsia="MS Mincho" w:hAnsi="Times New Roman"/>
          <w:bCs/>
          <w:sz w:val="24"/>
          <w:szCs w:val="24"/>
          <w:lang w:val="pt-PT"/>
        </w:rPr>
        <w:footnoteReference w:id="14"/>
      </w:r>
      <w:r w:rsidRPr="002870AE">
        <w:rPr>
          <w:rFonts w:ascii="Times New Roman" w:eastAsia="MS Mincho" w:hAnsi="Times New Roman" w:cs="Times New Roman"/>
          <w:bCs/>
          <w:sz w:val="24"/>
          <w:szCs w:val="24"/>
          <w:lang w:val="pt-PT"/>
        </w:rPr>
        <w:t>) em vigor.</w:t>
      </w:r>
    </w:p>
    <w:p w14:paraId="15CD54AA" w14:textId="3821C53B" w:rsidR="00391BC0" w:rsidRPr="002870AE" w:rsidRDefault="00391BC0" w:rsidP="002870AE">
      <w:pPr>
        <w:pStyle w:val="Ttulo2"/>
        <w:ind w:left="709" w:hanging="709"/>
        <w:jc w:val="both"/>
        <w:rPr>
          <w:rFonts w:ascii="Times New Roman" w:hAnsi="Times New Roman" w:cs="Times New Roman"/>
          <w:lang w:val="pt-PT"/>
        </w:rPr>
      </w:pPr>
      <w:bookmarkStart w:id="21" w:name="_Toc52034806"/>
      <w:r w:rsidRPr="002870AE">
        <w:rPr>
          <w:rFonts w:ascii="Times New Roman" w:hAnsi="Times New Roman" w:cs="Times New Roman"/>
          <w:lang w:val="pt-PT"/>
        </w:rPr>
        <w:t>Mercado 7 (Grossista): Serviços de terminação de chamadas de voz internacionais</w:t>
      </w:r>
      <w:bookmarkEnd w:id="21"/>
    </w:p>
    <w:p w14:paraId="22EBEEDE" w14:textId="5014818B" w:rsidR="00253E00" w:rsidRPr="002870AE" w:rsidRDefault="00253E00" w:rsidP="002870AE">
      <w:pPr>
        <w:pStyle w:val="Ttulo4"/>
        <w:numPr>
          <w:ilvl w:val="0"/>
          <w:numId w:val="2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Definição de mercado</w:t>
      </w:r>
    </w:p>
    <w:p w14:paraId="5E9BC91C" w14:textId="77777777" w:rsidR="00265BB5" w:rsidRPr="002870AE" w:rsidRDefault="00265BB5" w:rsidP="002870AE">
      <w:pPr>
        <w:jc w:val="both"/>
        <w:rPr>
          <w:rFonts w:ascii="Times New Roman" w:eastAsia="Calibri" w:hAnsi="Times New Roman" w:cs="Times New Roman"/>
          <w:color w:val="000000"/>
          <w:sz w:val="24"/>
          <w:szCs w:val="24"/>
          <w:lang w:val="pt-PT"/>
        </w:rPr>
      </w:pPr>
      <w:r w:rsidRPr="002870AE">
        <w:rPr>
          <w:rFonts w:ascii="Times New Roman" w:eastAsia="Calibri" w:hAnsi="Times New Roman" w:cs="Times New Roman"/>
          <w:color w:val="000000"/>
          <w:sz w:val="24"/>
          <w:szCs w:val="24"/>
          <w:lang w:val="pt-PT"/>
        </w:rPr>
        <w:t xml:space="preserve">O serviço grossista de terminação de chamadas de voz internacionais é um serviço em tudo idêntico ao serviço de terminação de chamadas de voz nacionais, mas em que o tráfego internacional de entrada poderá ser entregue diretamente aos clientes do operador, ou em alternativa entregue a clientes de um outro operador nacional, mas passando primeiro pelo operador que recebe esse tráfego. No caso do tráfego internacional de entrada se destinar a um outro operador, o operador nacional que presta o serviço por assim dizer de transporte obtém receitas do operador estrangeiro, a terminação internacional e paga o valor da terminação nacional ao operador de destino. </w:t>
      </w:r>
    </w:p>
    <w:p w14:paraId="79B974EE" w14:textId="44A1470F" w:rsidR="00265BB5" w:rsidRPr="002870AE" w:rsidRDefault="00265BB5" w:rsidP="002870AE">
      <w:pPr>
        <w:jc w:val="both"/>
        <w:rPr>
          <w:rFonts w:ascii="Times New Roman" w:eastAsia="Calibri" w:hAnsi="Times New Roman" w:cs="Times New Roman"/>
          <w:color w:val="000000"/>
          <w:sz w:val="24"/>
          <w:szCs w:val="24"/>
          <w:lang w:val="pt-PT"/>
        </w:rPr>
      </w:pPr>
      <w:r w:rsidRPr="002870AE">
        <w:rPr>
          <w:rFonts w:ascii="Times New Roman" w:eastAsia="Calibri" w:hAnsi="Times New Roman" w:cs="Times New Roman"/>
          <w:color w:val="000000"/>
          <w:sz w:val="24"/>
          <w:szCs w:val="24"/>
          <w:lang w:val="pt-PT"/>
        </w:rPr>
        <w:t xml:space="preserve">As melhores práticas internacionais não têm considerado a origem do tráfego como um fator distintivo entre mercados. No entanto pratica-se uma distinção clara nos remédios a aplicar relativamente ao tráfego de terminação nacional e internacional. Enquanto que é prática comum estabelecer um preço máximo para o valor a cobrar pela terminação do tráfego nacional em redes móveis assiste-se a uma desregulamentação das tarifas de terminação móvel para chamadas oriundas de fora de um país ou de países não pertencentes a um bloco económico como é por exemplo o caso na UE. Esta diferenciação entre chamadas nacionais e internacionais é agora uma prática comum na maioria dos estados membros da UE, uma vez que a regulação das taxas de terminação de chamadas vocais em redes móveis estabelece valores de terminação extremamente baixos, enquanto as taxas cobradas pelas operadoras de rede fora da UE podem ser significativamente mais altas. Num contexto em que os operadores nacionais tenham que estabelecer relações comerciais com operadores que exerçam a sua atividade num enquadramento sujeito a outro tipo de abordagem regulatória envolvendo obrigações menos exigentes, podendo até os serviços de terminação disponibilizados por </w:t>
      </w:r>
      <w:r w:rsidRPr="002870AE">
        <w:rPr>
          <w:rFonts w:ascii="Times New Roman" w:eastAsia="Calibri" w:hAnsi="Times New Roman" w:cs="Times New Roman"/>
          <w:color w:val="000000"/>
          <w:sz w:val="24"/>
          <w:szCs w:val="24"/>
          <w:lang w:val="pt-PT"/>
        </w:rPr>
        <w:lastRenderedPageBreak/>
        <w:t xml:space="preserve">esses operadores não ser de todo regulados, se se obrigassem os operadores nacionais a estarem vinculados a praticar preços máximos de terminação do tráfego internacional orientados para os custos de um operador eficiente poderia reduzir a capacidade negocial que os prestadores nacionais tenham. De facto, os operadores nacionais poderiam ter que pagar a operadores estrangeiros preços de terminação significativamente mais elevados do que aqueles que vigoram na Guiné Bissau, agravado por eventuais assimetrias de tráfego internacional. </w:t>
      </w:r>
    </w:p>
    <w:p w14:paraId="02982C66" w14:textId="39B966A1" w:rsidR="00253E00" w:rsidRPr="002870AE" w:rsidRDefault="00B53814" w:rsidP="002870AE">
      <w:pPr>
        <w:jc w:val="both"/>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Conclusão:</w:t>
      </w:r>
      <w:r w:rsidR="002F7698" w:rsidRPr="002870AE">
        <w:rPr>
          <w:rFonts w:ascii="Times New Roman" w:eastAsia="MS Mincho" w:hAnsi="Times New Roman" w:cs="Times New Roman"/>
          <w:b/>
          <w:color w:val="002D62"/>
          <w:sz w:val="24"/>
          <w:szCs w:val="24"/>
          <w:lang w:val="pt-PT"/>
        </w:rPr>
        <w:t xml:space="preserve"> </w:t>
      </w:r>
      <w:r w:rsidR="002F7698" w:rsidRPr="002870AE">
        <w:rPr>
          <w:rFonts w:ascii="Times New Roman" w:eastAsia="MS Mincho" w:hAnsi="Times New Roman" w:cs="Times New Roman"/>
          <w:bCs/>
          <w:sz w:val="24"/>
          <w:szCs w:val="24"/>
          <w:lang w:val="pt-PT"/>
        </w:rPr>
        <w:t>A ARN considera que os serviços de terminação de chamadas de voz internacionais podem ser</w:t>
      </w:r>
      <w:r w:rsidR="00A9655A" w:rsidRPr="002870AE">
        <w:rPr>
          <w:rFonts w:ascii="Times New Roman" w:eastAsia="MS Mincho" w:hAnsi="Times New Roman" w:cs="Times New Roman"/>
          <w:bCs/>
          <w:sz w:val="24"/>
          <w:szCs w:val="24"/>
          <w:lang w:val="pt-PT"/>
        </w:rPr>
        <w:t xml:space="preserve"> </w:t>
      </w:r>
      <w:r w:rsidR="002F7698" w:rsidRPr="002870AE">
        <w:rPr>
          <w:rFonts w:ascii="Times New Roman" w:eastAsia="MS Mincho" w:hAnsi="Times New Roman" w:cs="Times New Roman"/>
          <w:bCs/>
          <w:sz w:val="24"/>
          <w:szCs w:val="24"/>
          <w:lang w:val="pt-PT"/>
        </w:rPr>
        <w:t xml:space="preserve">incluídos no mesmo mercado relevante que os serviços grossistas de terminação de voz </w:t>
      </w:r>
      <w:r w:rsidR="00C32669" w:rsidRPr="002870AE">
        <w:rPr>
          <w:rFonts w:ascii="Times New Roman" w:eastAsia="MS Mincho" w:hAnsi="Times New Roman" w:cs="Times New Roman"/>
          <w:bCs/>
          <w:sz w:val="24"/>
          <w:szCs w:val="24"/>
          <w:lang w:val="pt-PT"/>
        </w:rPr>
        <w:t>móvel,</w:t>
      </w:r>
      <w:r w:rsidR="00A9655A" w:rsidRPr="002870AE">
        <w:rPr>
          <w:rFonts w:ascii="Times New Roman" w:eastAsia="MS Mincho" w:hAnsi="Times New Roman" w:cs="Times New Roman"/>
          <w:bCs/>
          <w:sz w:val="24"/>
          <w:szCs w:val="24"/>
          <w:lang w:val="pt-PT"/>
        </w:rPr>
        <w:t xml:space="preserve"> mas também poderá constituir um mercado separado</w:t>
      </w:r>
      <w:r w:rsidR="00C3259F" w:rsidRPr="002870AE">
        <w:rPr>
          <w:rFonts w:ascii="Times New Roman" w:eastAsia="MS Mincho" w:hAnsi="Times New Roman" w:cs="Times New Roman"/>
          <w:bCs/>
          <w:sz w:val="24"/>
          <w:szCs w:val="24"/>
          <w:lang w:val="pt-PT"/>
        </w:rPr>
        <w:t xml:space="preserve"> (ver em particular a Questão 6).</w:t>
      </w:r>
    </w:p>
    <w:p w14:paraId="0135BECD" w14:textId="3627020A" w:rsidR="00391BC0" w:rsidRPr="002870AE" w:rsidRDefault="00391BC0" w:rsidP="002870AE">
      <w:pPr>
        <w:pStyle w:val="Ttulo2"/>
        <w:ind w:left="709" w:hanging="709"/>
        <w:jc w:val="both"/>
        <w:rPr>
          <w:rFonts w:ascii="Times New Roman" w:hAnsi="Times New Roman" w:cs="Times New Roman"/>
          <w:lang w:val="pt-PT"/>
        </w:rPr>
      </w:pPr>
      <w:bookmarkStart w:id="22" w:name="_Toc52034807"/>
      <w:r w:rsidRPr="002870AE">
        <w:rPr>
          <w:rFonts w:ascii="Times New Roman" w:hAnsi="Times New Roman" w:cs="Times New Roman"/>
          <w:lang w:val="pt-PT"/>
        </w:rPr>
        <w:t xml:space="preserve">Mercado 8 (Grossista): Serviços de acesso </w:t>
      </w:r>
      <w:r w:rsidR="00A43C85" w:rsidRPr="002870AE">
        <w:rPr>
          <w:rFonts w:ascii="Times New Roman" w:hAnsi="Times New Roman" w:cs="Times New Roman"/>
          <w:lang w:val="pt-PT"/>
        </w:rPr>
        <w:t xml:space="preserve">e </w:t>
      </w:r>
      <w:proofErr w:type="spellStart"/>
      <w:r w:rsidR="00A43C85" w:rsidRPr="002870AE">
        <w:rPr>
          <w:rFonts w:ascii="Times New Roman" w:hAnsi="Times New Roman" w:cs="Times New Roman"/>
          <w:lang w:val="pt-PT"/>
        </w:rPr>
        <w:t>originação</w:t>
      </w:r>
      <w:proofErr w:type="spellEnd"/>
      <w:r w:rsidR="00A43C85" w:rsidRPr="002870AE">
        <w:rPr>
          <w:rFonts w:ascii="Times New Roman" w:hAnsi="Times New Roman" w:cs="Times New Roman"/>
          <w:lang w:val="pt-PT"/>
        </w:rPr>
        <w:t xml:space="preserve"> </w:t>
      </w:r>
      <w:r w:rsidR="007771A2" w:rsidRPr="002870AE">
        <w:rPr>
          <w:rFonts w:ascii="Times New Roman" w:hAnsi="Times New Roman" w:cs="Times New Roman"/>
          <w:lang w:val="pt-PT"/>
        </w:rPr>
        <w:t>a</w:t>
      </w:r>
      <w:r w:rsidRPr="002870AE">
        <w:rPr>
          <w:rFonts w:ascii="Times New Roman" w:hAnsi="Times New Roman" w:cs="Times New Roman"/>
          <w:lang w:val="pt-PT"/>
        </w:rPr>
        <w:t xml:space="preserve"> redes móveis</w:t>
      </w:r>
      <w:bookmarkEnd w:id="22"/>
    </w:p>
    <w:p w14:paraId="71096465" w14:textId="283B343C" w:rsidR="00253E00" w:rsidRPr="002870AE" w:rsidRDefault="00253E00" w:rsidP="002870AE">
      <w:pPr>
        <w:pStyle w:val="Ttulo4"/>
        <w:numPr>
          <w:ilvl w:val="0"/>
          <w:numId w:val="1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Definição de mercado</w:t>
      </w:r>
    </w:p>
    <w:p w14:paraId="028AEE5C"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Tendo definido os mercados que envolvem a oferta e a procura por parte dos utilizadores finais no retalho de serviços móveis (Mercados 1 a 4 acima descritos), nesta fase do exercício de definição e análise de mercados, identificam-se os mercados correspondentes que incluem a procura e o fornecimento de serviços grossistas a terceiros que desejem fornecer serviços retalhistas a utilizadores finais. Essencialmente, se uma entidade terceira que não possua rede própria deseja começar a fornecer serviços móveis aos utilizadores finais, deve primeiro garantir a implementação das várias componentes da cadeia de valor, ou seja, o acesso a uma rede móvel específica, o serviço de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transmissão (incluindo roteamento e comutação) e terminação. Sem o fornecimento desses serviços de rede, nenhuma entidade terceira seria capaz de fornecer um serviço móvel aos seus clientes. Estas empresas são em geral designadas por operadores móveis virtuais</w:t>
      </w:r>
      <w:r w:rsidRPr="002870AE">
        <w:rPr>
          <w:rStyle w:val="Refdenotaderodap"/>
          <w:rFonts w:ascii="Times New Roman" w:hAnsi="Times New Roman"/>
          <w:sz w:val="24"/>
          <w:lang w:val="pt-PT"/>
        </w:rPr>
        <w:footnoteReference w:id="15"/>
      </w:r>
      <w:r w:rsidRPr="002870AE">
        <w:rPr>
          <w:rFonts w:ascii="Times New Roman" w:hAnsi="Times New Roman"/>
          <w:sz w:val="24"/>
          <w:lang w:val="pt-PT"/>
        </w:rPr>
        <w:t xml:space="preserve"> (</w:t>
      </w:r>
      <w:proofErr w:type="spellStart"/>
      <w:r w:rsidRPr="002870AE">
        <w:rPr>
          <w:rFonts w:ascii="Times New Roman" w:hAnsi="Times New Roman"/>
          <w:sz w:val="24"/>
          <w:lang w:val="pt-PT"/>
        </w:rPr>
        <w:t>MVNOs</w:t>
      </w:r>
      <w:proofErr w:type="spellEnd"/>
      <w:r w:rsidRPr="002870AE">
        <w:rPr>
          <w:rFonts w:ascii="Times New Roman" w:hAnsi="Times New Roman"/>
          <w:sz w:val="24"/>
          <w:lang w:val="pt-PT"/>
        </w:rPr>
        <w:t xml:space="preserve">), de prestadores de acesso indireto, ou meramente revendedores de serviços. Ao contrário do serviço de terminação de chamadas de voz móvel onde o cliente que recebe a chamada não controla nem paga pela chamada, no serviço de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se o cliente não quiser aceitar o preço que é cobrado pela chamada, poderá procurar transferir para outro operador, se existir um. Assim, a nível grossista, o prestador de serviços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não possui um monopólio como no caso da terminação de chamadas.</w:t>
      </w:r>
    </w:p>
    <w:p w14:paraId="26E6E809"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Um exemplo típico de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de chamadas seria por exemplo um cliente optar por ter chamadas internacionais efetuadas por um prestador de serviços que não aquele que fornece o serviço de acesso móvel - ou seja uma opção de escolha do operador antes de fazer a chamada internacional (pré-seleção do operador). Se nesse caso, o prestador do serviço de acesso móvel aumenta os custos de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de chamadas à operadora pré-selecionada, esse aumento provavelmente seria passado para o cliente. Portanto, o cliente seria afetado diretamente pelo aumento do preço grossista realizado pelo seu prestador do serviço de acesso e poderia ter a opção de mudar para outro prestador de acesso móvel.</w:t>
      </w:r>
    </w:p>
    <w:p w14:paraId="036065FC"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O mercado dos serviços móveis na Guiné Bissau está presentemente organizado segundo um modelo de integração vertical, uma vez que são as mesmas entidades - os dois operadores de rede - que atuam nos mercados grossista e retalhista. Noutros países podem encontrar-se modelos diferentes, sendo frequente observarem-se empresas que prestam serviços no retalho, adquirindo os serviços grossistas </w:t>
      </w:r>
      <w:r w:rsidRPr="002870AE">
        <w:rPr>
          <w:rFonts w:ascii="Times New Roman" w:hAnsi="Times New Roman"/>
          <w:sz w:val="24"/>
          <w:lang w:val="pt-PT"/>
        </w:rPr>
        <w:lastRenderedPageBreak/>
        <w:t>necessários aos operadores que possuem rede própria</w:t>
      </w:r>
      <w:r w:rsidRPr="002870AE">
        <w:rPr>
          <w:rStyle w:val="Refdenotaderodap"/>
          <w:rFonts w:ascii="Times New Roman" w:hAnsi="Times New Roman"/>
          <w:sz w:val="24"/>
          <w:lang w:val="pt-PT"/>
        </w:rPr>
        <w:footnoteReference w:id="16"/>
      </w:r>
      <w:r w:rsidRPr="002870AE">
        <w:rPr>
          <w:rFonts w:ascii="Times New Roman" w:hAnsi="Times New Roman"/>
          <w:sz w:val="24"/>
          <w:lang w:val="pt-PT"/>
        </w:rPr>
        <w:t>. Os serviços de acesso nesse contexto geralmente incluem:</w:t>
      </w:r>
    </w:p>
    <w:p w14:paraId="24352E52" w14:textId="77777777" w:rsidR="00265BB5" w:rsidRPr="002870AE" w:rsidRDefault="00265BB5" w:rsidP="002870AE">
      <w:pPr>
        <w:pStyle w:val="Textbody"/>
        <w:numPr>
          <w:ilvl w:val="0"/>
          <w:numId w:val="13"/>
        </w:numPr>
        <w:spacing w:before="120" w:line="276" w:lineRule="auto"/>
        <w:jc w:val="both"/>
        <w:rPr>
          <w:rFonts w:ascii="Times New Roman" w:hAnsi="Times New Roman"/>
          <w:sz w:val="24"/>
          <w:lang w:val="pt-PT"/>
        </w:rPr>
      </w:pPr>
      <w:r w:rsidRPr="002870AE">
        <w:rPr>
          <w:rFonts w:ascii="Times New Roman" w:hAnsi="Times New Roman"/>
          <w:sz w:val="24"/>
          <w:lang w:val="pt-PT"/>
        </w:rPr>
        <w:t xml:space="preserve">Serviços MVNO (onde os prestadores de serviços que requerem acesso são licenciados para serem </w:t>
      </w:r>
      <w:proofErr w:type="spellStart"/>
      <w:r w:rsidRPr="002870AE">
        <w:rPr>
          <w:rFonts w:ascii="Times New Roman" w:hAnsi="Times New Roman"/>
          <w:sz w:val="24"/>
          <w:lang w:val="pt-PT"/>
        </w:rPr>
        <w:t>MVNOs</w:t>
      </w:r>
      <w:proofErr w:type="spellEnd"/>
      <w:r w:rsidRPr="002870AE">
        <w:rPr>
          <w:rFonts w:ascii="Times New Roman" w:hAnsi="Times New Roman"/>
          <w:sz w:val="24"/>
          <w:lang w:val="pt-PT"/>
        </w:rPr>
        <w:t>);</w:t>
      </w:r>
    </w:p>
    <w:p w14:paraId="273EB4FD" w14:textId="77777777" w:rsidR="00265BB5" w:rsidRPr="002870AE" w:rsidRDefault="00265BB5" w:rsidP="002870AE">
      <w:pPr>
        <w:pStyle w:val="Textbody"/>
        <w:numPr>
          <w:ilvl w:val="0"/>
          <w:numId w:val="13"/>
        </w:numPr>
        <w:spacing w:before="120" w:line="276" w:lineRule="auto"/>
        <w:jc w:val="both"/>
        <w:rPr>
          <w:rFonts w:ascii="Times New Roman" w:hAnsi="Times New Roman"/>
          <w:sz w:val="24"/>
          <w:lang w:val="pt-PT"/>
        </w:rPr>
      </w:pPr>
      <w:r w:rsidRPr="002870AE">
        <w:rPr>
          <w:rFonts w:ascii="Times New Roman" w:hAnsi="Times New Roman"/>
          <w:sz w:val="24"/>
          <w:lang w:val="pt-PT"/>
        </w:rPr>
        <w:t>Serviços de seleção de chamada e pré-seleção de operadora de redes móveis;</w:t>
      </w:r>
    </w:p>
    <w:p w14:paraId="2BB22667" w14:textId="77777777" w:rsidR="00265BB5" w:rsidRPr="002870AE" w:rsidRDefault="00265BB5" w:rsidP="002870AE">
      <w:pPr>
        <w:pStyle w:val="Textbody"/>
        <w:numPr>
          <w:ilvl w:val="0"/>
          <w:numId w:val="13"/>
        </w:numPr>
        <w:spacing w:before="120" w:line="276" w:lineRule="auto"/>
        <w:jc w:val="both"/>
        <w:rPr>
          <w:rFonts w:ascii="Times New Roman" w:hAnsi="Times New Roman"/>
          <w:sz w:val="24"/>
          <w:lang w:val="pt-PT"/>
        </w:rPr>
      </w:pPr>
      <w:r w:rsidRPr="002870AE">
        <w:rPr>
          <w:rFonts w:ascii="Times New Roman" w:hAnsi="Times New Roman"/>
          <w:sz w:val="24"/>
          <w:lang w:val="pt-PT"/>
        </w:rPr>
        <w:t xml:space="preserve">Itinerância nacional, em que os serviços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são prestados numa área geográfica restrita; podem constituir um remédio temporário que permite a um operador recente no mercado obter uma maior cobertura do serviço enquanto não possui rede própria mais ampla;</w:t>
      </w:r>
    </w:p>
    <w:p w14:paraId="6C7804BF" w14:textId="77777777" w:rsidR="00265BB5" w:rsidRPr="002870AE" w:rsidRDefault="00265BB5" w:rsidP="002870AE">
      <w:pPr>
        <w:pStyle w:val="Textbody"/>
        <w:numPr>
          <w:ilvl w:val="0"/>
          <w:numId w:val="13"/>
        </w:numPr>
        <w:spacing w:before="120" w:line="276" w:lineRule="auto"/>
        <w:jc w:val="both"/>
        <w:rPr>
          <w:rFonts w:ascii="Times New Roman" w:hAnsi="Times New Roman"/>
          <w:sz w:val="24"/>
          <w:lang w:val="pt-PT"/>
        </w:rPr>
      </w:pPr>
      <w:r w:rsidRPr="002870AE">
        <w:rPr>
          <w:rFonts w:ascii="Times New Roman" w:hAnsi="Times New Roman"/>
          <w:sz w:val="24"/>
          <w:lang w:val="pt-PT"/>
        </w:rPr>
        <w:t>Acesso a infraestrutura passiva.</w:t>
      </w:r>
    </w:p>
    <w:p w14:paraId="535B1097" w14:textId="77777777" w:rsidR="00265BB5" w:rsidRPr="002870AE" w:rsidRDefault="00265BB5" w:rsidP="002870AE">
      <w:pPr>
        <w:pStyle w:val="Textbody"/>
        <w:jc w:val="both"/>
        <w:rPr>
          <w:rFonts w:ascii="Times New Roman" w:hAnsi="Times New Roman"/>
          <w:sz w:val="24"/>
          <w:lang w:val="pt-PT"/>
        </w:rPr>
      </w:pPr>
      <w:r w:rsidRPr="002870AE">
        <w:rPr>
          <w:rFonts w:ascii="Times New Roman" w:hAnsi="Times New Roman"/>
          <w:sz w:val="24"/>
          <w:lang w:val="pt-PT"/>
        </w:rPr>
        <w:t>Os serviços acima mencionados não se substituem uns aos outros, embora possam ser considerados como constituindo vários graus ou níveis de acesso.</w:t>
      </w:r>
    </w:p>
    <w:p w14:paraId="67985EC6"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A partilha de infraestrutura refere-se normalmente à possibilidade de utilização conjunta entre dois operadores de infraestrutura ativa e/ou passiva das suas redes. Permite, por exemplo, a um operador na sua entrada no mercado, abster-se de um investimento pouco eficiente face à infraestrutura já existente e permite ao operador já existente amortizar, de outra forma, o investimento já realizado. A </w:t>
      </w:r>
      <w:proofErr w:type="spellStart"/>
      <w:r w:rsidRPr="002870AE">
        <w:rPr>
          <w:rFonts w:ascii="Times New Roman" w:hAnsi="Times New Roman"/>
          <w:sz w:val="24"/>
          <w:lang w:val="pt-PT"/>
        </w:rPr>
        <w:t>co-localização</w:t>
      </w:r>
      <w:proofErr w:type="spellEnd"/>
      <w:r w:rsidRPr="002870AE">
        <w:rPr>
          <w:rFonts w:ascii="Times New Roman" w:hAnsi="Times New Roman"/>
          <w:sz w:val="24"/>
          <w:lang w:val="pt-PT"/>
        </w:rPr>
        <w:t xml:space="preserve"> diz antes respeito à partilha de espaços em locais utilizados para transmissão, sendo que os equipamentos de cada operador se encontram totalmente independentes e diferenciados uns dos outros. A partilha de infraestrutura apresenta um conjunto de vantagens:</w:t>
      </w:r>
    </w:p>
    <w:p w14:paraId="5B78BDAD" w14:textId="77777777" w:rsidR="00265BB5" w:rsidRPr="002870AE" w:rsidRDefault="00265BB5" w:rsidP="002870AE">
      <w:pPr>
        <w:pStyle w:val="Textbody"/>
        <w:numPr>
          <w:ilvl w:val="0"/>
          <w:numId w:val="17"/>
        </w:numPr>
        <w:spacing w:before="120" w:line="276" w:lineRule="auto"/>
        <w:jc w:val="both"/>
        <w:rPr>
          <w:rFonts w:ascii="Times New Roman" w:hAnsi="Times New Roman"/>
          <w:sz w:val="24"/>
          <w:lang w:val="pt-PT"/>
        </w:rPr>
      </w:pPr>
      <w:r w:rsidRPr="002870AE">
        <w:rPr>
          <w:rFonts w:ascii="Times New Roman" w:hAnsi="Times New Roman"/>
          <w:color w:val="000000"/>
          <w:sz w:val="24"/>
          <w:lang w:val="pt-PT"/>
        </w:rPr>
        <w:t>Redução dos custos de capital;</w:t>
      </w:r>
    </w:p>
    <w:p w14:paraId="42117754" w14:textId="77777777" w:rsidR="00265BB5" w:rsidRPr="002870AE" w:rsidRDefault="00265BB5" w:rsidP="002870AE">
      <w:pPr>
        <w:pStyle w:val="Textbody"/>
        <w:numPr>
          <w:ilvl w:val="0"/>
          <w:numId w:val="17"/>
        </w:numPr>
        <w:spacing w:before="120" w:line="276" w:lineRule="auto"/>
        <w:jc w:val="both"/>
        <w:rPr>
          <w:rFonts w:ascii="Times New Roman" w:hAnsi="Times New Roman"/>
          <w:sz w:val="24"/>
          <w:lang w:val="pt-PT"/>
        </w:rPr>
      </w:pPr>
      <w:r w:rsidRPr="002870AE">
        <w:rPr>
          <w:rFonts w:ascii="Times New Roman" w:hAnsi="Times New Roman"/>
          <w:color w:val="000000"/>
          <w:sz w:val="24"/>
          <w:lang w:val="pt-PT"/>
        </w:rPr>
        <w:t xml:space="preserve">Redução do </w:t>
      </w:r>
      <w:r w:rsidRPr="002870AE">
        <w:rPr>
          <w:rFonts w:ascii="Times New Roman" w:hAnsi="Times New Roman"/>
          <w:i/>
          <w:iCs/>
          <w:color w:val="000000"/>
          <w:sz w:val="24"/>
          <w:lang w:val="pt-PT"/>
        </w:rPr>
        <w:t xml:space="preserve">tempo de entrada no mercado e consequentemente corresponde </w:t>
      </w:r>
      <w:r w:rsidRPr="002870AE">
        <w:rPr>
          <w:rFonts w:ascii="Times New Roman" w:hAnsi="Times New Roman"/>
          <w:color w:val="000000"/>
          <w:sz w:val="24"/>
          <w:lang w:val="pt-PT"/>
        </w:rPr>
        <w:t>a uma diminuição de barreiras à entrada;</w:t>
      </w:r>
    </w:p>
    <w:p w14:paraId="331BB76B" w14:textId="77777777" w:rsidR="00265BB5" w:rsidRPr="002870AE" w:rsidRDefault="00265BB5" w:rsidP="002870AE">
      <w:pPr>
        <w:pStyle w:val="Textbody"/>
        <w:numPr>
          <w:ilvl w:val="0"/>
          <w:numId w:val="17"/>
        </w:numPr>
        <w:spacing w:before="120" w:line="276" w:lineRule="auto"/>
        <w:jc w:val="both"/>
        <w:rPr>
          <w:rFonts w:ascii="Times New Roman" w:hAnsi="Times New Roman"/>
          <w:sz w:val="24"/>
          <w:lang w:val="pt-PT"/>
        </w:rPr>
      </w:pPr>
      <w:r w:rsidRPr="002870AE">
        <w:rPr>
          <w:rFonts w:ascii="Times New Roman" w:hAnsi="Times New Roman"/>
          <w:color w:val="000000"/>
          <w:sz w:val="24"/>
          <w:lang w:val="pt-PT"/>
        </w:rPr>
        <w:t xml:space="preserve">Redução dos custos operacionais uma vez que se partilham custos de manutenção, segurança e energia, </w:t>
      </w:r>
    </w:p>
    <w:p w14:paraId="49585EE9" w14:textId="77777777" w:rsidR="00265BB5" w:rsidRPr="002870AE" w:rsidRDefault="00265BB5" w:rsidP="002870AE">
      <w:pPr>
        <w:pStyle w:val="Textbody"/>
        <w:numPr>
          <w:ilvl w:val="0"/>
          <w:numId w:val="17"/>
        </w:numPr>
        <w:spacing w:before="120" w:line="276" w:lineRule="auto"/>
        <w:jc w:val="both"/>
        <w:rPr>
          <w:rFonts w:ascii="Times New Roman" w:hAnsi="Times New Roman"/>
          <w:sz w:val="24"/>
          <w:lang w:val="pt-PT"/>
        </w:rPr>
      </w:pPr>
      <w:r w:rsidRPr="002870AE">
        <w:rPr>
          <w:rFonts w:ascii="Times New Roman" w:hAnsi="Times New Roman"/>
          <w:color w:val="000000"/>
          <w:sz w:val="24"/>
          <w:lang w:val="pt-PT"/>
        </w:rPr>
        <w:t>Menor duplicação de infraestruturas visíveis o que traz vantagens do ponto de vista ambiental</w:t>
      </w:r>
    </w:p>
    <w:p w14:paraId="5E3DDEB8" w14:textId="77777777" w:rsidR="00265BB5" w:rsidRPr="002870AE" w:rsidRDefault="00265BB5"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sz w:val="24"/>
          <w:szCs w:val="24"/>
          <w:lang w:val="pt-PT"/>
        </w:rPr>
        <w:t xml:space="preserve">Embora não exista uma definição exata, quando se descreve a </w:t>
      </w:r>
      <w:r w:rsidRPr="002870AE">
        <w:rPr>
          <w:rFonts w:ascii="Times New Roman" w:hAnsi="Times New Roman" w:cs="Times New Roman"/>
          <w:color w:val="000000"/>
          <w:sz w:val="24"/>
          <w:szCs w:val="24"/>
          <w:lang w:val="pt-PT"/>
        </w:rPr>
        <w:t>p</w:t>
      </w:r>
      <w:r w:rsidRPr="002870AE">
        <w:rPr>
          <w:rFonts w:ascii="Times New Roman" w:eastAsia="Calibri" w:hAnsi="Times New Roman" w:cs="Times New Roman"/>
          <w:color w:val="000000"/>
          <w:sz w:val="24"/>
          <w:szCs w:val="24"/>
          <w:lang w:val="pt-PT"/>
        </w:rPr>
        <w:t xml:space="preserve">artilha de </w:t>
      </w:r>
      <w:r w:rsidRPr="002870AE">
        <w:rPr>
          <w:rFonts w:ascii="Times New Roman" w:hAnsi="Times New Roman" w:cs="Times New Roman"/>
          <w:color w:val="000000"/>
          <w:sz w:val="24"/>
          <w:szCs w:val="24"/>
          <w:lang w:val="pt-PT"/>
        </w:rPr>
        <w:t xml:space="preserve">infraestrutura passiva de uma forma geral está-se a descrever as </w:t>
      </w:r>
      <w:r w:rsidRPr="002870AE">
        <w:rPr>
          <w:rFonts w:ascii="Times New Roman" w:eastAsia="Calibri" w:hAnsi="Times New Roman" w:cs="Times New Roman"/>
          <w:color w:val="000000"/>
          <w:sz w:val="24"/>
          <w:szCs w:val="24"/>
          <w:lang w:val="pt-PT"/>
        </w:rPr>
        <w:t xml:space="preserve">infraestruturas </w:t>
      </w:r>
      <w:r w:rsidRPr="002870AE">
        <w:rPr>
          <w:rFonts w:ascii="Times New Roman" w:hAnsi="Times New Roman" w:cs="Times New Roman"/>
          <w:color w:val="000000"/>
          <w:sz w:val="24"/>
          <w:szCs w:val="24"/>
          <w:lang w:val="pt-PT"/>
        </w:rPr>
        <w:t xml:space="preserve">ditas </w:t>
      </w:r>
      <w:r w:rsidRPr="002870AE">
        <w:rPr>
          <w:rFonts w:ascii="Times New Roman" w:eastAsia="Calibri" w:hAnsi="Times New Roman" w:cs="Times New Roman"/>
          <w:color w:val="000000"/>
          <w:sz w:val="24"/>
          <w:szCs w:val="24"/>
          <w:lang w:val="pt-PT"/>
        </w:rPr>
        <w:t>de suporte</w:t>
      </w:r>
      <w:r w:rsidRPr="002870AE">
        <w:rPr>
          <w:rFonts w:ascii="Times New Roman" w:hAnsi="Times New Roman" w:cs="Times New Roman"/>
          <w:color w:val="000000"/>
          <w:sz w:val="24"/>
          <w:szCs w:val="24"/>
          <w:lang w:val="pt-PT"/>
        </w:rPr>
        <w:t xml:space="preserve"> às redes de telecomunicações tais como os elementos de construção civil e não eletrónicos de uma rede de telecomunicações, incluindo torres, sites, postes, condutas, </w:t>
      </w:r>
      <w:proofErr w:type="spellStart"/>
      <w:r w:rsidRPr="002870AE">
        <w:rPr>
          <w:rFonts w:ascii="Times New Roman" w:hAnsi="Times New Roman" w:cs="Times New Roman"/>
          <w:color w:val="000000"/>
          <w:sz w:val="24"/>
          <w:szCs w:val="24"/>
          <w:lang w:val="pt-PT"/>
        </w:rPr>
        <w:t>co-localização</w:t>
      </w:r>
      <w:proofErr w:type="spellEnd"/>
      <w:r w:rsidRPr="002870AE">
        <w:rPr>
          <w:rFonts w:ascii="Times New Roman" w:hAnsi="Times New Roman" w:cs="Times New Roman"/>
          <w:color w:val="000000"/>
          <w:sz w:val="24"/>
          <w:szCs w:val="24"/>
          <w:lang w:val="pt-PT"/>
        </w:rPr>
        <w:t xml:space="preserve"> em telhados, estruturas de apoio, abrigos, fontes de fornecimento de energia, alarmes, ar condicionado. No caso dos operadores móveis a partilha de infraestrutura passiva refere-se sobretudo à p</w:t>
      </w:r>
      <w:r w:rsidRPr="002870AE">
        <w:rPr>
          <w:rFonts w:ascii="Times New Roman" w:eastAsia="Calibri" w:hAnsi="Times New Roman" w:cs="Times New Roman"/>
          <w:color w:val="000000"/>
          <w:sz w:val="24"/>
          <w:szCs w:val="24"/>
          <w:lang w:val="pt-PT"/>
        </w:rPr>
        <w:t xml:space="preserve">artilha de sites e </w:t>
      </w:r>
      <w:r w:rsidRPr="002870AE">
        <w:rPr>
          <w:rFonts w:ascii="Times New Roman" w:hAnsi="Times New Roman" w:cs="Times New Roman"/>
          <w:color w:val="000000"/>
          <w:sz w:val="24"/>
          <w:szCs w:val="24"/>
          <w:lang w:val="pt-PT"/>
        </w:rPr>
        <w:t>p</w:t>
      </w:r>
      <w:r w:rsidRPr="002870AE">
        <w:rPr>
          <w:rFonts w:ascii="Times New Roman" w:eastAsia="Calibri" w:hAnsi="Times New Roman" w:cs="Times New Roman"/>
          <w:color w:val="000000"/>
          <w:sz w:val="24"/>
          <w:szCs w:val="24"/>
          <w:lang w:val="pt-PT"/>
        </w:rPr>
        <w:t>artilha de torres</w:t>
      </w:r>
      <w:r w:rsidRPr="002870AE">
        <w:rPr>
          <w:rFonts w:ascii="Times New Roman" w:hAnsi="Times New Roman" w:cs="Times New Roman"/>
          <w:color w:val="000000"/>
          <w:sz w:val="24"/>
          <w:szCs w:val="24"/>
          <w:lang w:val="pt-PT"/>
        </w:rPr>
        <w:t xml:space="preserve">. Por </w:t>
      </w:r>
      <w:r w:rsidRPr="002870AE">
        <w:rPr>
          <w:rFonts w:ascii="Times New Roman" w:hAnsi="Times New Roman" w:cs="Times New Roman"/>
          <w:color w:val="000000"/>
          <w:sz w:val="24"/>
          <w:szCs w:val="24"/>
          <w:lang w:val="pt-PT"/>
        </w:rPr>
        <w:lastRenderedPageBreak/>
        <w:t>exemplo a Autoridade da Concorrência</w:t>
      </w:r>
      <w:r w:rsidRPr="002870AE">
        <w:rPr>
          <w:rStyle w:val="Refdenotaderodap"/>
          <w:rFonts w:ascii="Times New Roman" w:hAnsi="Times New Roman"/>
          <w:color w:val="000000"/>
          <w:sz w:val="24"/>
          <w:szCs w:val="24"/>
          <w:lang w:val="pt-PT"/>
        </w:rPr>
        <w:footnoteReference w:id="17"/>
      </w:r>
      <w:r w:rsidRPr="002870AE">
        <w:rPr>
          <w:rFonts w:ascii="Times New Roman" w:hAnsi="Times New Roman" w:cs="Times New Roman"/>
          <w:color w:val="000000"/>
          <w:sz w:val="24"/>
          <w:szCs w:val="24"/>
          <w:lang w:val="pt-PT"/>
        </w:rPr>
        <w:t xml:space="preserve"> portuguesa define partilha de infraestrutura passiva da seguinte forma:</w:t>
      </w:r>
    </w:p>
    <w:p w14:paraId="06961D07" w14:textId="77777777" w:rsidR="00265BB5" w:rsidRPr="002870AE" w:rsidRDefault="00265BB5" w:rsidP="002870AE">
      <w:pPr>
        <w:autoSpaceDE w:val="0"/>
        <w:autoSpaceDN w:val="0"/>
        <w:adjustRightInd w:val="0"/>
        <w:spacing w:before="0" w:after="0" w:line="240" w:lineRule="auto"/>
        <w:jc w:val="both"/>
        <w:rPr>
          <w:rFonts w:ascii="Times New Roman" w:hAnsi="Times New Roman" w:cs="Times New Roman"/>
          <w:color w:val="000000"/>
          <w:sz w:val="24"/>
          <w:szCs w:val="24"/>
          <w:lang w:val="pt-PT"/>
        </w:rPr>
      </w:pPr>
    </w:p>
    <w:p w14:paraId="47E44366" w14:textId="77777777" w:rsidR="00265BB5" w:rsidRPr="002870AE" w:rsidRDefault="00265BB5" w:rsidP="002870AE">
      <w:pPr>
        <w:autoSpaceDE w:val="0"/>
        <w:autoSpaceDN w:val="0"/>
        <w:adjustRightInd w:val="0"/>
        <w:jc w:val="both"/>
        <w:rPr>
          <w:rFonts w:ascii="Times New Roman" w:eastAsia="Calibri" w:hAnsi="Times New Roman" w:cs="Times New Roman"/>
          <w:sz w:val="24"/>
          <w:szCs w:val="24"/>
          <w:lang w:val="pt-PT"/>
        </w:rPr>
      </w:pPr>
      <w:r w:rsidRPr="002870AE">
        <w:rPr>
          <w:rFonts w:ascii="Times New Roman" w:hAnsi="Times New Roman" w:cs="Times New Roman"/>
          <w:color w:val="000000"/>
          <w:sz w:val="24"/>
          <w:szCs w:val="24"/>
          <w:lang w:val="pt-PT"/>
        </w:rPr>
        <w:t>“</w:t>
      </w:r>
      <w:r w:rsidRPr="002870AE">
        <w:rPr>
          <w:rFonts w:ascii="Times New Roman" w:eastAsia="Calibri" w:hAnsi="Times New Roman" w:cs="Times New Roman"/>
          <w:sz w:val="24"/>
          <w:szCs w:val="24"/>
          <w:lang w:val="pt-PT"/>
        </w:rPr>
        <w:t xml:space="preserve">Esta modalidade de partilha é a mais incentivada do ponto de vista regulatório, sendo utilizada em praticamente todos os Estados Membros da União Europeia e assumindo mesmo um carácter obrigatório em alguns destes…Na partilha de </w:t>
      </w:r>
      <w:r w:rsidRPr="002870AE">
        <w:rPr>
          <w:rFonts w:ascii="Times New Roman" w:eastAsia="Calibri" w:hAnsi="Times New Roman" w:cs="Times New Roman"/>
          <w:i/>
          <w:iCs/>
          <w:sz w:val="24"/>
          <w:szCs w:val="24"/>
          <w:lang w:val="pt-PT"/>
        </w:rPr>
        <w:t>sites</w:t>
      </w:r>
      <w:r w:rsidRPr="002870AE">
        <w:rPr>
          <w:rFonts w:ascii="Times New Roman" w:eastAsia="Calibri" w:hAnsi="Times New Roman" w:cs="Times New Roman"/>
          <w:sz w:val="24"/>
          <w:szCs w:val="24"/>
          <w:lang w:val="pt-PT"/>
        </w:rPr>
        <w:t>, os operadores apenas partilham o espaço físico, optando por instalar os seus próprios elementos de rede sejam eles passivos ou ativos (e.g. mastros, antenas e estações base). Já a partilha de mastros traduz uma cooperação superior, podendo também envolver a partilha de terraços e/ou telhados. As empresas podem, adicionalmente, decidir partilhar equipamento de suporte, tal como armários ou edifícios, assim como o fornecimento de energia elétrica e o ar condicionado.”</w:t>
      </w:r>
    </w:p>
    <w:p w14:paraId="1AFA8031"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Verifica-se, no entanto, que na estrutura de mercado atualmente existente na Guiné Bissau, não é possível encontrar um mercado grossista com transações efetivas dos serviços enumerados. É, contudo, possível, construir um mercado hipotético com base na noção de fornecimento interno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de serviços móveis. Na realidade, pode considerar-se que cada operador fornece a si próprio os recursos necessários para a prestação dos serviços retalhistas. </w:t>
      </w:r>
    </w:p>
    <w:p w14:paraId="17148D01" w14:textId="77777777" w:rsidR="00265BB5" w:rsidRPr="002870AE" w:rsidRDefault="00265BB5"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0A72117E"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 xml:space="preserve">Como afirmado anteriormente, atualmente não há prestadores de serviços que compram serviços móveis por grosso na Guiné Bissau. A prestação de serviços móveis grossistas por parte das operadoras móveis existentes serve exclusivamente para o seu próprio negócio de retalho e, portanto, é um reflexo do mercado retalhista. No entanto, a ARN considera que a prestação de serviços de acesso e </w:t>
      </w:r>
      <w:proofErr w:type="spellStart"/>
      <w:r w:rsidRPr="002870AE">
        <w:rPr>
          <w:rFonts w:ascii="Times New Roman" w:eastAsia="MS Mincho" w:hAnsi="Times New Roman" w:cs="Times New Roman"/>
          <w:bCs/>
          <w:sz w:val="24"/>
          <w:szCs w:val="24"/>
          <w:lang w:val="pt-PT"/>
        </w:rPr>
        <w:t>originação</w:t>
      </w:r>
      <w:proofErr w:type="spellEnd"/>
      <w:r w:rsidRPr="002870AE">
        <w:rPr>
          <w:rFonts w:ascii="Times New Roman" w:eastAsia="MS Mincho" w:hAnsi="Times New Roman" w:cs="Times New Roman"/>
          <w:bCs/>
          <w:sz w:val="24"/>
          <w:szCs w:val="24"/>
          <w:lang w:val="pt-PT"/>
        </w:rPr>
        <w:t xml:space="preserve"> grossistas ao próprio negócio de retalho deve ser incluída neste mercado, uma vez que não deve existir distinção entre os serviços prestados internamente ou a terceiros. Além disso, se um operador detentor de rede aumentar o preço de seus serviços de acesso e </w:t>
      </w:r>
      <w:proofErr w:type="spellStart"/>
      <w:r w:rsidRPr="002870AE">
        <w:rPr>
          <w:rFonts w:ascii="Times New Roman" w:eastAsia="MS Mincho" w:hAnsi="Times New Roman" w:cs="Times New Roman"/>
          <w:bCs/>
          <w:sz w:val="24"/>
          <w:szCs w:val="24"/>
          <w:lang w:val="pt-PT"/>
        </w:rPr>
        <w:t>originação</w:t>
      </w:r>
      <w:proofErr w:type="spellEnd"/>
      <w:r w:rsidRPr="002870AE">
        <w:rPr>
          <w:rFonts w:ascii="Times New Roman" w:eastAsia="MS Mincho" w:hAnsi="Times New Roman" w:cs="Times New Roman"/>
          <w:bCs/>
          <w:sz w:val="24"/>
          <w:szCs w:val="24"/>
          <w:lang w:val="pt-PT"/>
        </w:rPr>
        <w:t xml:space="preserve"> grossistas, aumentará o custo de acesso para o prestador de serviços terceiro, mas também para o seu próprio negócio de retalho a jusante. Portanto, ambos os serviços grossistas enfrentam a mesma restrição de preço. </w:t>
      </w:r>
    </w:p>
    <w:p w14:paraId="5515D61B"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Se um monopolista hipotético que oferecesse acesso grossista e serviços de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de chamadas a operadores de acesso indireto ou </w:t>
      </w:r>
      <w:proofErr w:type="spellStart"/>
      <w:r w:rsidRPr="002870AE">
        <w:rPr>
          <w:rFonts w:ascii="Times New Roman" w:hAnsi="Times New Roman"/>
          <w:sz w:val="24"/>
          <w:lang w:val="pt-PT"/>
        </w:rPr>
        <w:t>MVNOs</w:t>
      </w:r>
      <w:proofErr w:type="spellEnd"/>
      <w:r w:rsidRPr="002870AE">
        <w:rPr>
          <w:rFonts w:ascii="Times New Roman" w:hAnsi="Times New Roman"/>
          <w:sz w:val="24"/>
          <w:lang w:val="pt-PT"/>
        </w:rPr>
        <w:t>, enfrentaria uma restrição competitiva por parte dos operadores de rede integrados</w:t>
      </w:r>
      <w:r w:rsidRPr="002870AE">
        <w:rPr>
          <w:rStyle w:val="Refdenotaderodap"/>
          <w:rFonts w:ascii="Times New Roman" w:hAnsi="Times New Roman"/>
          <w:sz w:val="24"/>
          <w:lang w:val="pt-PT"/>
        </w:rPr>
        <w:footnoteReference w:id="18"/>
      </w:r>
      <w:r w:rsidRPr="002870AE">
        <w:rPr>
          <w:rFonts w:ascii="Times New Roman" w:hAnsi="Times New Roman"/>
          <w:sz w:val="24"/>
          <w:lang w:val="pt-PT"/>
        </w:rPr>
        <w:t xml:space="preserve"> que seguem o modelo existente na Guiné Bissau. Um aumento no preço do acesso grossista e da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seria transformado num aumento do preço dos serviços móveis de retalho. Como resultado, os operadores de acesso indireto ou </w:t>
      </w:r>
      <w:proofErr w:type="spellStart"/>
      <w:r w:rsidRPr="002870AE">
        <w:rPr>
          <w:rFonts w:ascii="Times New Roman" w:hAnsi="Times New Roman"/>
          <w:sz w:val="24"/>
          <w:lang w:val="pt-PT"/>
        </w:rPr>
        <w:t>MVNOs</w:t>
      </w:r>
      <w:proofErr w:type="spellEnd"/>
      <w:r w:rsidRPr="002870AE">
        <w:rPr>
          <w:rFonts w:ascii="Times New Roman" w:hAnsi="Times New Roman"/>
          <w:sz w:val="24"/>
          <w:lang w:val="pt-PT"/>
        </w:rPr>
        <w:t xml:space="preserve"> poderiam perder clientes para os operadores de rede integrados. Assim, o monopolista hipotético dos serviços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grossistas perderia receitas enquanto que a divisão interna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grossista do operador integrado iria aumentar as suas receitas. A restrição competitiva ao monopolista hipotético viria assim da substituição da procura ao nível do retalho. Como a substituibilidade do lado da procura tende a ser forte, o fornecimento interno de serviços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grossistas devem ser incluídos no mercado grossista relevante.</w:t>
      </w:r>
    </w:p>
    <w:p w14:paraId="41C3A0A7" w14:textId="77777777" w:rsidR="00265BB5" w:rsidRPr="002870AE" w:rsidRDefault="00265BB5"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lastRenderedPageBreak/>
        <w:t xml:space="preserve">Do lado da oferta a ARN considera muito difícil a operadoras alternativas começar a fornecer serviços de acesso grossista e </w:t>
      </w:r>
      <w:proofErr w:type="spellStart"/>
      <w:r w:rsidRPr="002870AE">
        <w:rPr>
          <w:rFonts w:ascii="Times New Roman" w:eastAsia="MS Mincho" w:hAnsi="Times New Roman" w:cs="Times New Roman"/>
          <w:bCs/>
          <w:sz w:val="24"/>
          <w:szCs w:val="24"/>
          <w:lang w:val="pt-PT"/>
        </w:rPr>
        <w:t>originação</w:t>
      </w:r>
      <w:proofErr w:type="spellEnd"/>
      <w:r w:rsidRPr="002870AE">
        <w:rPr>
          <w:rFonts w:ascii="Times New Roman" w:eastAsia="MS Mincho" w:hAnsi="Times New Roman" w:cs="Times New Roman"/>
          <w:bCs/>
          <w:sz w:val="24"/>
          <w:szCs w:val="24"/>
          <w:lang w:val="pt-PT"/>
        </w:rPr>
        <w:t xml:space="preserve"> após um aumento hipotético de preço na prestação desses serviços por grosso. A entrada potencial no mercado é dificultada devido a vários fatores, como o custo significativo na aquisição do espectro e a sua disponibilidade, ou as economias de escala, que fornecem barreiras significativas à entrada no mercado móvel. Diante do exposto, considera-se que a prestação de serviços móveis grossistas por parte das operadoras móveis existentes para o seu próprio negócio de retalho e a potenciais entidades terceiras fazem parte do mesmo mercado.</w:t>
      </w:r>
    </w:p>
    <w:p w14:paraId="08F6EE27" w14:textId="77777777" w:rsidR="00265BB5" w:rsidRPr="002870AE" w:rsidRDefault="00265BB5"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Assim, no caso da Guiné Bissau, em que não existem atualmente relações grossistas fora do fornecimento interno de cada operador, a estrutura deste mercado grossista hipotético é semelhante à estrutura do mercado retalhista. Neste contexto, analisar-se-á o grau de concorrência do mercado retalhista como uma aproximação ao grau de concorrência no mercado grossista.</w:t>
      </w:r>
    </w:p>
    <w:p w14:paraId="1D9F3A7F" w14:textId="1E435209" w:rsidR="00B53814" w:rsidRPr="002870AE" w:rsidRDefault="00B53814" w:rsidP="002870AE">
      <w:pPr>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
          <w:color w:val="002D62"/>
          <w:sz w:val="24"/>
          <w:szCs w:val="24"/>
          <w:lang w:val="pt-PT"/>
        </w:rPr>
        <w:t>Conclusão:</w:t>
      </w:r>
      <w:r w:rsidR="005B6D35" w:rsidRPr="002870AE">
        <w:rPr>
          <w:rFonts w:ascii="Times New Roman" w:eastAsia="MS Mincho" w:hAnsi="Times New Roman" w:cs="Times New Roman"/>
          <w:b/>
          <w:color w:val="002D62"/>
          <w:sz w:val="24"/>
          <w:szCs w:val="24"/>
          <w:lang w:val="pt-PT"/>
        </w:rPr>
        <w:t xml:space="preserve"> </w:t>
      </w:r>
      <w:r w:rsidR="00876E70" w:rsidRPr="002870AE">
        <w:rPr>
          <w:rFonts w:ascii="Times New Roman" w:eastAsia="MS Mincho" w:hAnsi="Times New Roman" w:cs="Times New Roman"/>
          <w:bCs/>
          <w:sz w:val="24"/>
          <w:szCs w:val="24"/>
          <w:lang w:val="pt-PT"/>
        </w:rPr>
        <w:t xml:space="preserve">Serviços de acesso e </w:t>
      </w:r>
      <w:proofErr w:type="spellStart"/>
      <w:r w:rsidR="00876E70" w:rsidRPr="002870AE">
        <w:rPr>
          <w:rFonts w:ascii="Times New Roman" w:eastAsia="MS Mincho" w:hAnsi="Times New Roman" w:cs="Times New Roman"/>
          <w:bCs/>
          <w:sz w:val="24"/>
          <w:szCs w:val="24"/>
          <w:lang w:val="pt-PT"/>
        </w:rPr>
        <w:t>originação</w:t>
      </w:r>
      <w:proofErr w:type="spellEnd"/>
      <w:r w:rsidR="00876E70" w:rsidRPr="002870AE">
        <w:rPr>
          <w:rFonts w:ascii="Times New Roman" w:eastAsia="MS Mincho" w:hAnsi="Times New Roman" w:cs="Times New Roman"/>
          <w:bCs/>
          <w:sz w:val="24"/>
          <w:szCs w:val="24"/>
          <w:lang w:val="pt-PT"/>
        </w:rPr>
        <w:t xml:space="preserve"> a redes móveis compreende todos os serviços grossistas de acesso e </w:t>
      </w:r>
      <w:proofErr w:type="spellStart"/>
      <w:r w:rsidR="00876E70" w:rsidRPr="002870AE">
        <w:rPr>
          <w:rFonts w:ascii="Times New Roman" w:eastAsia="MS Mincho" w:hAnsi="Times New Roman" w:cs="Times New Roman"/>
          <w:bCs/>
          <w:sz w:val="24"/>
          <w:szCs w:val="24"/>
          <w:lang w:val="pt-PT"/>
        </w:rPr>
        <w:t>originação</w:t>
      </w:r>
      <w:proofErr w:type="spellEnd"/>
      <w:r w:rsidR="00876E70" w:rsidRPr="002870AE">
        <w:rPr>
          <w:rFonts w:ascii="Times New Roman" w:eastAsia="MS Mincho" w:hAnsi="Times New Roman" w:cs="Times New Roman"/>
          <w:bCs/>
          <w:sz w:val="24"/>
          <w:szCs w:val="24"/>
          <w:lang w:val="pt-PT"/>
        </w:rPr>
        <w:t xml:space="preserve"> de chamadas fornecidos por uma rede móvel e inclui no mesmo mercado o auto fornecimento no caso dos operadores móveis verticalmente integrados.</w:t>
      </w:r>
    </w:p>
    <w:p w14:paraId="756BC3D0" w14:textId="29B703EE" w:rsidR="00391BC0" w:rsidRPr="002870AE" w:rsidRDefault="00391BC0" w:rsidP="002870AE">
      <w:pPr>
        <w:pStyle w:val="Ttulo2"/>
        <w:ind w:left="709" w:hanging="709"/>
        <w:jc w:val="both"/>
        <w:rPr>
          <w:rFonts w:ascii="Times New Roman" w:hAnsi="Times New Roman" w:cs="Times New Roman"/>
          <w:lang w:val="pt-PT"/>
        </w:rPr>
      </w:pPr>
      <w:bookmarkStart w:id="23" w:name="_Toc52034808"/>
      <w:r w:rsidRPr="002870AE">
        <w:rPr>
          <w:rFonts w:ascii="Times New Roman" w:hAnsi="Times New Roman" w:cs="Times New Roman"/>
          <w:lang w:val="pt-PT"/>
        </w:rPr>
        <w:t xml:space="preserve">Mercado </w:t>
      </w:r>
      <w:r w:rsidR="004C4D90" w:rsidRPr="002870AE">
        <w:rPr>
          <w:rFonts w:ascii="Times New Roman" w:hAnsi="Times New Roman" w:cs="Times New Roman"/>
          <w:lang w:val="pt-PT"/>
        </w:rPr>
        <w:t>9</w:t>
      </w:r>
      <w:r w:rsidRPr="002870AE">
        <w:rPr>
          <w:rFonts w:ascii="Times New Roman" w:hAnsi="Times New Roman" w:cs="Times New Roman"/>
          <w:lang w:val="pt-PT"/>
        </w:rPr>
        <w:t xml:space="preserve"> (Grossista): Serviços de aluguer de capacidade internacional</w:t>
      </w:r>
      <w:bookmarkEnd w:id="23"/>
    </w:p>
    <w:p w14:paraId="2B80C696" w14:textId="671805C6" w:rsidR="00253E00" w:rsidRPr="002870AE" w:rsidRDefault="00253E00" w:rsidP="002870AE">
      <w:pPr>
        <w:pStyle w:val="Ttulo4"/>
        <w:numPr>
          <w:ilvl w:val="0"/>
          <w:numId w:val="0"/>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Definição de mercado</w:t>
      </w:r>
    </w:p>
    <w:p w14:paraId="4BEA4AB5" w14:textId="77777777" w:rsidR="00273C81" w:rsidRPr="002870AE" w:rsidRDefault="00273C81"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Atualmente, na Guiné Bissau cada um dos operadores móveis recorre à sua própria infraestrutura e a capacidade alugada fora do território da Guiné Bissau para aceder a ligações internacionais e desta forma poder oferecer serviços de acesso á Internet, chamadas de voz e serviços de mensagens de texto para além de itinerância internacional aos seus clientes de retalho. Assim nenhum serviço grossista de capacidade de banda larga é oferecido na Guiné Bissau exceto os que os operadores móveis oferecem, por assim dizer, aos respetivos negócios de retalho. A conectividade e a infraestrutura atuais na Guiné Bissau, que permitem conexões fora do país para clientes da MTN e Orange, são provisionadas através de rotas alternativas, utilizando tecnologias de fibra e feixes hertzianos. Quer a Orange quer a MTN possuem rotas alternativas para os países adjacentes, nomeadamente Senegal e Guiné Conacri e alugam capacidade a operadores nestes países para o trânsito do seu próprio tráfego internacional através de troços de fibra ou feixes hertzianos até as estações de aterragem e respetivos cabos submarinos localizados em pontos específicos do território desses países.</w:t>
      </w:r>
    </w:p>
    <w:p w14:paraId="38B13755" w14:textId="2449E335" w:rsidR="00B53814" w:rsidRPr="002870AE" w:rsidRDefault="00B53814" w:rsidP="002870AE">
      <w:pPr>
        <w:keepNext/>
        <w:widowControl w:val="0"/>
        <w:suppressAutoHyphens/>
        <w:spacing w:before="300" w:after="140" w:line="240" w:lineRule="auto"/>
        <w:jc w:val="both"/>
        <w:outlineLvl w:val="3"/>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 xml:space="preserve">a) Substituição do lado da oferta e da procura: </w:t>
      </w:r>
    </w:p>
    <w:p w14:paraId="531ECF63" w14:textId="77777777" w:rsidR="00273C81" w:rsidRPr="002870AE" w:rsidRDefault="00273C81"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 xml:space="preserve">Em resposta a um aumento de 5 a 10% do preço por um hipotético monopolista, os clientes que procurassem acesso á capacidade internacional procurariam, na medida do possível, refletir o aumento nos seus próprios clientes de retalho. A única outra solução, dado o hipotético monopólio, seria aceitar eles mesmos o impacto do aumento. Em ambos os casos, eles estariam tornando o aumento lucrativo para o monopolista. Não há outro serviço que os clientes possam usar. Do lado da oferta um aumento de 5 a 10% no preço provavelmente seria insuficiente para atrair outros fornecedores de mercados, dado o investimento substancial necessário para estar neste mercado e os prazos envolvidos na criação e implementação de acordos comerciais para a criação de nova capacidade no cabo submarino. Adicionalmente os volumes atuais de procura de tráfego internacional não possuem ainda uma dimensão apreciável que permita viabilizar um maior número de concorrentes no mercado. O projeto existente de construção de uma estação de aterragem no território da Guiné Bissau e ligação ao consórcio ACE vai permitir um caminho alternativo para a entrada e </w:t>
      </w:r>
      <w:r w:rsidRPr="002870AE">
        <w:rPr>
          <w:rFonts w:ascii="Times New Roman" w:eastAsia="MS Mincho" w:hAnsi="Times New Roman" w:cs="Times New Roman"/>
          <w:bCs/>
          <w:sz w:val="24"/>
          <w:szCs w:val="24"/>
          <w:lang w:val="pt-PT"/>
        </w:rPr>
        <w:lastRenderedPageBreak/>
        <w:t>saída do tráfego internacional. Contudo considerando que os dois operadores móveis MTN e Orange são também acionistas da empresa que detém a operação do acesso ao cabo e adicionalmente uma quota de capacidade no cabo submarino para além do troço de fibra na parte seca que liga os pontos de interconexão dos operadores à estação de aterragem, a estrutura de mercado não se altera. Aquilo que é expectável prever-se é que os operadores móveis canalizem o tráfego através da estação de aterragem no território da Guiné Bissau e passem a utilizar as ligações atuais de fibra por via terrestre como um elemento que providencie redundância (se por exemplo os cabos forem cortados ou o cabo submarino ficar operacional).</w:t>
      </w:r>
    </w:p>
    <w:p w14:paraId="6006E221" w14:textId="77777777" w:rsidR="00273C81" w:rsidRPr="002870AE" w:rsidRDefault="00273C81"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Uma questão adicional para este mercado é se a capacidade via satélite constitui um substituto e como tal também devia ser incluída neste mercado. Antes da existência de cabos submarinos, os serviços internacionais em muitos países nomeadamente os isolados no meio de oceanos eram fornecidos por satélite. Entende-se que provavelmente alguns dos contratos de satélite permanecem em vigor e que a capacidade do satélite é usada como backup e para fins específicos de conectividade de dados. Com base nesta constatação, pode-se concluir que os serviços de satélite fazem parte deste mercado.</w:t>
      </w:r>
    </w:p>
    <w:p w14:paraId="031DEBAD" w14:textId="77777777" w:rsidR="00273C81" w:rsidRPr="002870AE" w:rsidRDefault="00273C81"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É claro que os clientes grossistas em face de um aumento poderiam substituir a conectividade internacional por serviços baseados em satélite, e não por um cabo submarino. No entanto, isso é praticável apenas para aplicativos e produtos que possuem requisitos de capacidade (internacional) relativamente baixos. A experiência internacional deixa muito claro que essa substituibilidade é limitada e que aplicativos e produtos de alta velocidade e alta capacidade requerem tecnologias de cabo. A mesma conclusão foi alcançada pelas autoridades reguladoras nacionais em muitos outros países em contextos semelhantes. Qualquer substituição a favor de serviços baseados em satélite não seria, portanto, uma restrição material ao hipotético fornecedor monopolista de capacidade de cabos submarinos caso este realizasse um aumento do preço. Assim, considera-se que o uso como backup de emergência e para outras aplicações não significa que o satélite seja uma alternativa suficientemente capaz para ser incluída no mesmo mercado que a capacidade internacional fornecida por cabo submarino.</w:t>
      </w:r>
    </w:p>
    <w:p w14:paraId="0490280E" w14:textId="77777777" w:rsidR="00273C81" w:rsidRPr="002870AE" w:rsidRDefault="00273C81"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Cs/>
          <w:sz w:val="24"/>
          <w:szCs w:val="24"/>
          <w:lang w:val="pt-PT"/>
        </w:rPr>
        <w:t>Adicionalmente também importa referir que quando a estação de aterragem entrar em funcionamento esta poderia oferecer um serviço que permitisse a que as operadoras licenciadas, clientes grossistas, viessem a aceder a capacidade do cabo submarino contratado. Seria, no entanto, sensato, que este potencial serviço que ainda não se materializou, fizesse parte do mercado a que aqui convencionamos chamar acesso à capacidade internacional, porque estes serviços geralmente são contratados juntos. Portanto, na prática, em futuras análises de mercado, haveria um mercado grossista único para o aluguer de capacidade de banda larga internacional, compreendendo um serviço de capacidade cujo acesso se realiza por meio de um serviço de estação de aterragem para ligação ao cabo submarino. Esta é a abordagem normalmente adotada noutras jurisdições. Muitas das vezes, foram identificados dois serviços separados, mas na prática são serviços que estão dentro do mesmo mercado para fins de análise de mercado e concorrência. Adicionalmente podem incluir o troço de ligação em fibra ou não</w:t>
      </w:r>
      <w:r w:rsidRPr="002870AE">
        <w:rPr>
          <w:rStyle w:val="Refdenotaderodap"/>
          <w:rFonts w:ascii="Times New Roman" w:eastAsia="MS Mincho" w:hAnsi="Times New Roman"/>
          <w:bCs/>
          <w:sz w:val="24"/>
          <w:szCs w:val="24"/>
          <w:lang w:val="pt-PT"/>
        </w:rPr>
        <w:footnoteReference w:id="19"/>
      </w:r>
      <w:r w:rsidRPr="002870AE">
        <w:rPr>
          <w:rFonts w:ascii="Times New Roman" w:eastAsia="MS Mincho" w:hAnsi="Times New Roman" w:cs="Times New Roman"/>
          <w:bCs/>
          <w:sz w:val="24"/>
          <w:szCs w:val="24"/>
          <w:lang w:val="pt-PT"/>
        </w:rPr>
        <w:t>.</w:t>
      </w:r>
    </w:p>
    <w:p w14:paraId="50A2177C" w14:textId="18A2F1DA" w:rsidR="00391BC0" w:rsidRDefault="00B53814" w:rsidP="002870AE">
      <w:pPr>
        <w:keepNext/>
        <w:widowControl w:val="0"/>
        <w:suppressAutoHyphens/>
        <w:jc w:val="both"/>
        <w:rPr>
          <w:rFonts w:ascii="Times New Roman" w:eastAsia="MS Mincho" w:hAnsi="Times New Roman" w:cs="Times New Roman"/>
          <w:bCs/>
          <w:sz w:val="24"/>
          <w:szCs w:val="24"/>
          <w:lang w:val="pt-PT"/>
        </w:rPr>
      </w:pPr>
      <w:r w:rsidRPr="002870AE">
        <w:rPr>
          <w:rFonts w:ascii="Times New Roman" w:eastAsia="MS Mincho" w:hAnsi="Times New Roman" w:cs="Times New Roman"/>
          <w:b/>
          <w:color w:val="002D62"/>
          <w:sz w:val="24"/>
          <w:szCs w:val="24"/>
          <w:lang w:val="pt-PT"/>
        </w:rPr>
        <w:t>Conclusão:</w:t>
      </w:r>
      <w:r w:rsidR="00876E70" w:rsidRPr="002870AE">
        <w:rPr>
          <w:rFonts w:ascii="Times New Roman" w:eastAsia="MS Mincho" w:hAnsi="Times New Roman" w:cs="Times New Roman"/>
          <w:b/>
          <w:color w:val="002D62"/>
          <w:sz w:val="24"/>
          <w:szCs w:val="24"/>
          <w:lang w:val="pt-PT"/>
        </w:rPr>
        <w:t xml:space="preserve"> </w:t>
      </w:r>
      <w:r w:rsidR="00876E70" w:rsidRPr="002870AE">
        <w:rPr>
          <w:rFonts w:ascii="Times New Roman" w:eastAsia="MS Mincho" w:hAnsi="Times New Roman" w:cs="Times New Roman"/>
          <w:bCs/>
          <w:sz w:val="24"/>
          <w:szCs w:val="24"/>
          <w:lang w:val="pt-PT"/>
        </w:rPr>
        <w:t xml:space="preserve">Serviços de aluguer de capacidade internacional é um mercado grossista que inclui o aluguer de capacidade internacional e que pode incluir troços de ligação e acesso a uma estação de </w:t>
      </w:r>
      <w:r w:rsidR="00876E70" w:rsidRPr="002870AE">
        <w:rPr>
          <w:rFonts w:ascii="Times New Roman" w:eastAsia="MS Mincho" w:hAnsi="Times New Roman" w:cs="Times New Roman"/>
          <w:bCs/>
          <w:sz w:val="24"/>
          <w:szCs w:val="24"/>
          <w:lang w:val="pt-PT"/>
        </w:rPr>
        <w:lastRenderedPageBreak/>
        <w:t>aterragem.</w:t>
      </w:r>
    </w:p>
    <w:p w14:paraId="3E24F6FC" w14:textId="77777777" w:rsidR="00C32669" w:rsidRPr="002870AE" w:rsidRDefault="00C32669" w:rsidP="002870AE">
      <w:pPr>
        <w:keepNext/>
        <w:widowControl w:val="0"/>
        <w:suppressAutoHyphens/>
        <w:jc w:val="both"/>
        <w:rPr>
          <w:rFonts w:ascii="Times New Roman" w:eastAsia="MS Mincho" w:hAnsi="Times New Roman" w:cs="Times New Roman"/>
          <w:bCs/>
          <w:sz w:val="24"/>
          <w:szCs w:val="24"/>
          <w:lang w:val="pt-PT"/>
        </w:rPr>
      </w:pPr>
    </w:p>
    <w:p w14:paraId="49AC3573" w14:textId="1F846C65" w:rsidR="007700CE" w:rsidRPr="002870AE" w:rsidRDefault="007700CE" w:rsidP="002870AE">
      <w:pPr>
        <w:pStyle w:val="Ttulo1"/>
        <w:jc w:val="both"/>
        <w:rPr>
          <w:rFonts w:ascii="Times New Roman" w:hAnsi="Times New Roman" w:cs="Times New Roman"/>
          <w:sz w:val="24"/>
          <w:szCs w:val="24"/>
          <w:lang w:val="pt-PT"/>
        </w:rPr>
      </w:pPr>
      <w:bookmarkStart w:id="24" w:name="_Toc52034809"/>
      <w:r w:rsidRPr="002870AE">
        <w:rPr>
          <w:rFonts w:ascii="Times New Roman" w:hAnsi="Times New Roman" w:cs="Times New Roman"/>
          <w:sz w:val="24"/>
          <w:szCs w:val="24"/>
          <w:lang w:val="pt-PT"/>
        </w:rPr>
        <w:lastRenderedPageBreak/>
        <w:t>Susceptibilidade do mercado a regulação ex ante: Aplicação de critérios</w:t>
      </w:r>
      <w:bookmarkEnd w:id="24"/>
      <w:r w:rsidRPr="002870AE">
        <w:rPr>
          <w:rFonts w:ascii="Times New Roman" w:hAnsi="Times New Roman" w:cs="Times New Roman"/>
          <w:sz w:val="24"/>
          <w:szCs w:val="24"/>
          <w:lang w:val="pt-PT"/>
        </w:rPr>
        <w:t xml:space="preserve"> </w:t>
      </w:r>
    </w:p>
    <w:p w14:paraId="05D08A4A" w14:textId="28AC9ED1" w:rsidR="001A606D" w:rsidRPr="002870AE" w:rsidRDefault="000D713E"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Nesta secção é analisado se os mercados acima definidos cumprem o teste aos dois critérios</w:t>
      </w:r>
      <w:r w:rsidRPr="002870AE">
        <w:rPr>
          <w:rStyle w:val="Refdenotaderodap"/>
          <w:rFonts w:ascii="Times New Roman" w:hAnsi="Times New Roman"/>
          <w:sz w:val="24"/>
          <w:szCs w:val="24"/>
          <w:lang w:val="pt-PT"/>
        </w:rPr>
        <w:footnoteReference w:id="20"/>
      </w:r>
      <w:r w:rsidRPr="002870AE">
        <w:rPr>
          <w:rFonts w:ascii="Times New Roman" w:hAnsi="Times New Roman" w:cs="Times New Roman"/>
          <w:sz w:val="24"/>
          <w:szCs w:val="24"/>
          <w:lang w:val="pt-PT"/>
        </w:rPr>
        <w:t xml:space="preserve"> e, nessa condição, são considerados como mercados relevantes para efeitos de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w:t>
      </w:r>
      <w:r w:rsidR="001A606D" w:rsidRPr="002870AE">
        <w:rPr>
          <w:rFonts w:ascii="Times New Roman" w:hAnsi="Times New Roman" w:cs="Times New Roman"/>
          <w:sz w:val="24"/>
          <w:szCs w:val="24"/>
          <w:lang w:val="pt-PT"/>
        </w:rPr>
        <w:t xml:space="preserve">Cada um dos mercados identificados será potencialmente sujeito a regulamentação </w:t>
      </w:r>
      <w:proofErr w:type="spellStart"/>
      <w:r w:rsidR="001A606D" w:rsidRPr="002870AE">
        <w:rPr>
          <w:rFonts w:ascii="Times New Roman" w:hAnsi="Times New Roman" w:cs="Times New Roman"/>
          <w:i/>
          <w:iCs/>
          <w:sz w:val="24"/>
          <w:szCs w:val="24"/>
          <w:lang w:val="pt-PT"/>
        </w:rPr>
        <w:t>ex</w:t>
      </w:r>
      <w:proofErr w:type="spellEnd"/>
      <w:r w:rsidR="001A606D" w:rsidRPr="002870AE">
        <w:rPr>
          <w:rFonts w:ascii="Times New Roman" w:hAnsi="Times New Roman" w:cs="Times New Roman"/>
          <w:i/>
          <w:iCs/>
          <w:sz w:val="24"/>
          <w:szCs w:val="24"/>
          <w:lang w:val="pt-PT"/>
        </w:rPr>
        <w:t xml:space="preserve"> ante</w:t>
      </w:r>
      <w:r w:rsidR="001A606D" w:rsidRPr="002870AE">
        <w:rPr>
          <w:rFonts w:ascii="Times New Roman" w:hAnsi="Times New Roman" w:cs="Times New Roman"/>
          <w:sz w:val="24"/>
          <w:szCs w:val="24"/>
          <w:lang w:val="pt-PT"/>
        </w:rPr>
        <w:t xml:space="preserve"> apenas se os dois critérios, </w:t>
      </w:r>
      <w:bookmarkStart w:id="25" w:name="_Hlk51344201"/>
      <w:r w:rsidR="001A606D" w:rsidRPr="002870AE">
        <w:rPr>
          <w:rFonts w:ascii="Times New Roman" w:hAnsi="Times New Roman" w:cs="Times New Roman"/>
          <w:sz w:val="24"/>
          <w:szCs w:val="24"/>
          <w:lang w:val="pt-PT"/>
        </w:rPr>
        <w:t>barreiras elevadas e não transitórias á entrada no mercado e nenhuma tendência à concorrência por trás dessas barreiras</w:t>
      </w:r>
      <w:bookmarkEnd w:id="25"/>
      <w:r w:rsidR="001A606D" w:rsidRPr="002870AE">
        <w:rPr>
          <w:rFonts w:ascii="Times New Roman" w:hAnsi="Times New Roman" w:cs="Times New Roman"/>
          <w:sz w:val="24"/>
          <w:szCs w:val="24"/>
          <w:lang w:val="pt-PT"/>
        </w:rPr>
        <w:t xml:space="preserve">, forem cumpridos cumulativamente. Se, por outro lado, a avaliação do mercado falhar em qualquer um dos critérios, nenhuma regulamentação </w:t>
      </w:r>
      <w:proofErr w:type="spellStart"/>
      <w:r w:rsidR="001A606D" w:rsidRPr="002870AE">
        <w:rPr>
          <w:rFonts w:ascii="Times New Roman" w:hAnsi="Times New Roman" w:cs="Times New Roman"/>
          <w:i/>
          <w:iCs/>
          <w:sz w:val="24"/>
          <w:szCs w:val="24"/>
          <w:lang w:val="pt-PT"/>
        </w:rPr>
        <w:t>ex</w:t>
      </w:r>
      <w:proofErr w:type="spellEnd"/>
      <w:r w:rsidR="001A606D" w:rsidRPr="002870AE">
        <w:rPr>
          <w:rFonts w:ascii="Times New Roman" w:hAnsi="Times New Roman" w:cs="Times New Roman"/>
          <w:i/>
          <w:iCs/>
          <w:sz w:val="24"/>
          <w:szCs w:val="24"/>
          <w:lang w:val="pt-PT"/>
        </w:rPr>
        <w:t xml:space="preserve"> ante</w:t>
      </w:r>
      <w:r w:rsidR="001A606D" w:rsidRPr="002870AE">
        <w:rPr>
          <w:rFonts w:ascii="Times New Roman" w:hAnsi="Times New Roman" w:cs="Times New Roman"/>
          <w:sz w:val="24"/>
          <w:szCs w:val="24"/>
          <w:lang w:val="pt-PT"/>
        </w:rPr>
        <w:t xml:space="preserve"> poderia ser justificada. Se o referido mercado já estiver sujeito a regulação </w:t>
      </w:r>
      <w:proofErr w:type="spellStart"/>
      <w:r w:rsidR="001A606D" w:rsidRPr="002870AE">
        <w:rPr>
          <w:rFonts w:ascii="Times New Roman" w:hAnsi="Times New Roman" w:cs="Times New Roman"/>
          <w:i/>
          <w:iCs/>
          <w:sz w:val="24"/>
          <w:szCs w:val="24"/>
          <w:lang w:val="pt-PT"/>
        </w:rPr>
        <w:t>ex</w:t>
      </w:r>
      <w:proofErr w:type="spellEnd"/>
      <w:r w:rsidR="001A606D" w:rsidRPr="002870AE">
        <w:rPr>
          <w:rFonts w:ascii="Times New Roman" w:hAnsi="Times New Roman" w:cs="Times New Roman"/>
          <w:i/>
          <w:iCs/>
          <w:sz w:val="24"/>
          <w:szCs w:val="24"/>
          <w:lang w:val="pt-PT"/>
        </w:rPr>
        <w:t xml:space="preserve"> </w:t>
      </w:r>
      <w:proofErr w:type="gramStart"/>
      <w:r w:rsidR="001A606D" w:rsidRPr="002870AE">
        <w:rPr>
          <w:rFonts w:ascii="Times New Roman" w:hAnsi="Times New Roman" w:cs="Times New Roman"/>
          <w:i/>
          <w:iCs/>
          <w:sz w:val="24"/>
          <w:szCs w:val="24"/>
          <w:lang w:val="pt-PT"/>
        </w:rPr>
        <w:t>ante</w:t>
      </w:r>
      <w:r w:rsidR="001A606D" w:rsidRPr="002870AE">
        <w:rPr>
          <w:rFonts w:ascii="Times New Roman" w:hAnsi="Times New Roman" w:cs="Times New Roman"/>
          <w:sz w:val="24"/>
          <w:szCs w:val="24"/>
          <w:lang w:val="pt-PT"/>
        </w:rPr>
        <w:t>, a</w:t>
      </w:r>
      <w:proofErr w:type="gramEnd"/>
      <w:r w:rsidR="001A606D" w:rsidRPr="002870AE">
        <w:rPr>
          <w:rFonts w:ascii="Times New Roman" w:hAnsi="Times New Roman" w:cs="Times New Roman"/>
          <w:sz w:val="24"/>
          <w:szCs w:val="24"/>
          <w:lang w:val="pt-PT"/>
        </w:rPr>
        <w:t xml:space="preserve"> regulação existente deveria ser retirada. Como também anteriormente referido</w:t>
      </w:r>
      <w:r w:rsidR="001A606D" w:rsidRPr="002870AE">
        <w:rPr>
          <w:rFonts w:ascii="Times New Roman" w:hAnsi="Times New Roman" w:cs="Times New Roman"/>
          <w:iCs/>
          <w:sz w:val="24"/>
          <w:szCs w:val="24"/>
          <w:lang w:val="pt-PT"/>
        </w:rPr>
        <w:t xml:space="preserve">, não existe necessidade de fazer uma avaliação para cada mercado individual na Guiné Bissau relativamente à capacidade de intervenção </w:t>
      </w:r>
      <w:proofErr w:type="spellStart"/>
      <w:r w:rsidR="001A606D" w:rsidRPr="002870AE">
        <w:rPr>
          <w:rFonts w:ascii="Times New Roman" w:hAnsi="Times New Roman" w:cs="Times New Roman"/>
          <w:i/>
          <w:sz w:val="24"/>
          <w:szCs w:val="24"/>
          <w:lang w:val="pt-PT"/>
        </w:rPr>
        <w:t>ex</w:t>
      </w:r>
      <w:proofErr w:type="spellEnd"/>
      <w:r w:rsidR="001A606D" w:rsidRPr="002870AE">
        <w:rPr>
          <w:rFonts w:ascii="Times New Roman" w:hAnsi="Times New Roman" w:cs="Times New Roman"/>
          <w:i/>
          <w:sz w:val="24"/>
          <w:szCs w:val="24"/>
          <w:lang w:val="pt-PT"/>
        </w:rPr>
        <w:t xml:space="preserve"> </w:t>
      </w:r>
      <w:proofErr w:type="spellStart"/>
      <w:r w:rsidR="001A606D" w:rsidRPr="002870AE">
        <w:rPr>
          <w:rFonts w:ascii="Times New Roman" w:hAnsi="Times New Roman" w:cs="Times New Roman"/>
          <w:i/>
          <w:sz w:val="24"/>
          <w:szCs w:val="24"/>
          <w:lang w:val="pt-PT"/>
        </w:rPr>
        <w:t>post</w:t>
      </w:r>
      <w:proofErr w:type="spellEnd"/>
      <w:r w:rsidR="001A606D" w:rsidRPr="002870AE">
        <w:rPr>
          <w:rFonts w:ascii="Times New Roman" w:hAnsi="Times New Roman" w:cs="Times New Roman"/>
          <w:iCs/>
          <w:sz w:val="24"/>
          <w:szCs w:val="24"/>
          <w:lang w:val="pt-PT"/>
        </w:rPr>
        <w:t xml:space="preserve">. É improvável que as intervenções </w:t>
      </w:r>
      <w:proofErr w:type="spellStart"/>
      <w:r w:rsidR="001A606D" w:rsidRPr="002870AE">
        <w:rPr>
          <w:rFonts w:ascii="Times New Roman" w:hAnsi="Times New Roman" w:cs="Times New Roman"/>
          <w:i/>
          <w:sz w:val="24"/>
          <w:szCs w:val="24"/>
          <w:lang w:val="pt-PT"/>
        </w:rPr>
        <w:t>ex</w:t>
      </w:r>
      <w:proofErr w:type="spellEnd"/>
      <w:r w:rsidR="001A606D" w:rsidRPr="002870AE">
        <w:rPr>
          <w:rFonts w:ascii="Times New Roman" w:hAnsi="Times New Roman" w:cs="Times New Roman"/>
          <w:i/>
          <w:sz w:val="24"/>
          <w:szCs w:val="24"/>
          <w:lang w:val="pt-PT"/>
        </w:rPr>
        <w:t xml:space="preserve"> </w:t>
      </w:r>
      <w:proofErr w:type="spellStart"/>
      <w:r w:rsidR="001A606D" w:rsidRPr="002870AE">
        <w:rPr>
          <w:rFonts w:ascii="Times New Roman" w:hAnsi="Times New Roman" w:cs="Times New Roman"/>
          <w:i/>
          <w:sz w:val="24"/>
          <w:szCs w:val="24"/>
          <w:lang w:val="pt-PT"/>
        </w:rPr>
        <w:t>post</w:t>
      </w:r>
      <w:proofErr w:type="spellEnd"/>
      <w:r w:rsidR="001A606D" w:rsidRPr="002870AE">
        <w:rPr>
          <w:rFonts w:ascii="Times New Roman" w:hAnsi="Times New Roman" w:cs="Times New Roman"/>
          <w:iCs/>
          <w:sz w:val="24"/>
          <w:szCs w:val="24"/>
          <w:lang w:val="pt-PT"/>
        </w:rPr>
        <w:t xml:space="preserve"> da concorrência pudessem resolver adequadamente as falhas de mercado identificadas porque a Guiné Bissau não possui uma lei da concorrência, portanto a ARN seria totalmente dependente das disposições da Lei que exigem investigação intensiva e levaria muito tempo para tratar de forma eficaz os problemas ditos de concorrência. Danos consideráveis aos interesses do consumidor podem ocorrer nesse período. Portanto, é importante que qualquer exercício de poder de mercado significativo seja impedido na fonte e não resolvido após o evento. Portanto, a ARN avalia cada mercado apenas com base nos dois primeiros critérios conforme descrito nas secções a seguir.</w:t>
      </w:r>
    </w:p>
    <w:p w14:paraId="3EAEA226" w14:textId="1109988D" w:rsidR="007700CE" w:rsidRPr="002870AE" w:rsidRDefault="007700CE" w:rsidP="002870AE">
      <w:pPr>
        <w:pStyle w:val="Ttulo2"/>
        <w:jc w:val="both"/>
        <w:rPr>
          <w:rFonts w:ascii="Times New Roman" w:hAnsi="Times New Roman" w:cs="Times New Roman"/>
          <w:lang w:val="pt-PT"/>
        </w:rPr>
      </w:pPr>
      <w:bookmarkStart w:id="26" w:name="_Toc52034810"/>
      <w:r w:rsidRPr="002870AE">
        <w:rPr>
          <w:rFonts w:ascii="Times New Roman" w:hAnsi="Times New Roman" w:cs="Times New Roman"/>
          <w:lang w:val="pt-PT"/>
        </w:rPr>
        <w:t>Critério (a): Barreiras elevadas e não transitórias à entrada no mercado</w:t>
      </w:r>
      <w:bookmarkEnd w:id="26"/>
      <w:r w:rsidRPr="002870AE">
        <w:rPr>
          <w:rFonts w:ascii="Times New Roman" w:hAnsi="Times New Roman" w:cs="Times New Roman"/>
          <w:lang w:val="pt-PT"/>
        </w:rPr>
        <w:t xml:space="preserve"> </w:t>
      </w:r>
    </w:p>
    <w:p w14:paraId="5A3FBC39" w14:textId="77777777" w:rsidR="001A606D" w:rsidRPr="002870AE" w:rsidRDefault="001A606D"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relação ao primeiro critério, barreiras elevadas e não transitórias à entrada no mercado, existem vários tipos diferentes de possíveis barreiras que podem dissuadir ou impedir a entrada no mercado, e incluem:</w:t>
      </w:r>
    </w:p>
    <w:p w14:paraId="5A24B5B7" w14:textId="77777777" w:rsidR="001A606D" w:rsidRPr="002870AE" w:rsidRDefault="001A606D" w:rsidP="002870AE">
      <w:pPr>
        <w:pStyle w:val="PargrafodaLista"/>
        <w:numPr>
          <w:ilvl w:val="0"/>
          <w:numId w:val="2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Barreiras absolutas existem onde certas empresas possuem, têm acesso ou têm acesso privilegiado a ativos ou recursos importantes que não são igualmente acessíveis a possíveis participantes. Por exemplo, se direitos de passagem importantes foram concedidos a uma operadora fixa ou recursos preferenciais de espectro foram concedidos a uma operadora móvel, e os recursos disponíveis para potenciais participantes são inferiores em ambos os casos, foram criadas barreiras absolutas à entrada. Essas barreiras podem ser desmontadas com dificuldade, mas, até então, são eficazes para tornar extremamente difícil a entrada posterior no mercado.</w:t>
      </w:r>
    </w:p>
    <w:p w14:paraId="4D5C139B" w14:textId="77777777" w:rsidR="001A606D" w:rsidRPr="002870AE" w:rsidRDefault="001A606D" w:rsidP="002870AE">
      <w:pPr>
        <w:pStyle w:val="PargrafodaLista"/>
        <w:numPr>
          <w:ilvl w:val="0"/>
          <w:numId w:val="2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As barreiras estruturais à entrada resultam de condições originais de custo ou procura que criam condições assimétricas entre os participantes existentes e os novos entrantes e, assim, impedem ou impedem a entrada destes. Por exemplo, podem ser encontradas altas barreiras estruturais quando o mercado é caracterizado por vantagens absolutas de custo, economias substanciais de escala e / ou economias de âmbito, restrições de capacidade e custos afundados elevados.</w:t>
      </w:r>
    </w:p>
    <w:p w14:paraId="60691140" w14:textId="77777777" w:rsidR="001A606D" w:rsidRPr="002870AE" w:rsidRDefault="001A606D" w:rsidP="002870AE">
      <w:pPr>
        <w:pStyle w:val="PargrafodaLista"/>
        <w:numPr>
          <w:ilvl w:val="0"/>
          <w:numId w:val="2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Barreiras legais ou regulamentares são aquelas que resultam de medidas legislativas, administrativas ou outras do governo que afetam diretamente as condições de entrada e / ou o posicionamento dos operadores no mercado.</w:t>
      </w:r>
    </w:p>
    <w:p w14:paraId="39C7AC53" w14:textId="77777777" w:rsidR="001A606D" w:rsidRPr="002870AE" w:rsidRDefault="001A606D" w:rsidP="002870AE">
      <w:pPr>
        <w:pStyle w:val="PargrafodaLista"/>
        <w:numPr>
          <w:ilvl w:val="0"/>
          <w:numId w:val="2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Barreiras estratégicas surgem devido ao comportamento estratégico dos agentes de mercado existentes, por exemplo, através do comportamento de definição de preços ou comportamentos não relacionados com preço (como aumento do investimento, promoção e distribuição). Por exemplo, se em antecipação a uma nova entrada potencial, um operador histórico reduz os preços em geral ou incentiva os clientes maiores a estabelecer contratos de serviços de longo prazo, isso é considerado um comportamento estratégico, porque altera os termos da concorrência e dificulta o potencial entrante vir a ganhar uma parte substancial do mercado.</w:t>
      </w:r>
    </w:p>
    <w:p w14:paraId="3C2AD175" w14:textId="15956B78" w:rsidR="001A606D" w:rsidRPr="002870AE" w:rsidRDefault="001A606D"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análise regulatória tende a focar-se em indicadores de barreiras à entrada na ausência de regulação, como a extensão de quaisquer custos irrecuperáveis, a estrutura do mercado, o desempenho do mercado e a dinâmica do mercado. Isso envolverá a análise de indicadores como quotas de mercado, preços e tendências de mercado e a extensão e cobertura de redes ou infraestrutura concorrentes.</w:t>
      </w:r>
    </w:p>
    <w:p w14:paraId="3F5A3271" w14:textId="4996ED49" w:rsidR="007700CE" w:rsidRPr="002870AE" w:rsidRDefault="007700CE" w:rsidP="002870AE">
      <w:pPr>
        <w:pStyle w:val="Ttulo2"/>
        <w:jc w:val="both"/>
        <w:rPr>
          <w:rFonts w:ascii="Times New Roman" w:hAnsi="Times New Roman" w:cs="Times New Roman"/>
          <w:lang w:val="pt-PT"/>
        </w:rPr>
      </w:pPr>
      <w:bookmarkStart w:id="27" w:name="_Toc52034811"/>
      <w:r w:rsidRPr="002870AE">
        <w:rPr>
          <w:rFonts w:ascii="Times New Roman" w:hAnsi="Times New Roman" w:cs="Times New Roman"/>
          <w:lang w:val="pt-PT"/>
        </w:rPr>
        <w:t>Critério (b): Nenhuma tendência à concorrência por trás dessas barreiras</w:t>
      </w:r>
      <w:bookmarkEnd w:id="27"/>
    </w:p>
    <w:p w14:paraId="2C8DE7EC" w14:textId="77777777" w:rsidR="001A606D" w:rsidRPr="002870AE" w:rsidRDefault="001A606D"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Somente se um regulador considerar que um mercado cumpre o primeiro critério, acima, será necessário avaliar o mercado em relação ao segundo critério. Essa análise deve examinar as características estruturais do mercado e considerar se essas características provavelmente permitirão ao mercado tornar-se ou permanecer efetivamente competitivo por um período prospetivo de 2 a 3 anos. O período de 2 a 3 anos é considerado geralmente adequado, dada a natureza de rápida mudança do setor das comunicações eletrónicas.</w:t>
      </w:r>
    </w:p>
    <w:p w14:paraId="2156D297" w14:textId="644AC0AA" w:rsidR="00074CC3" w:rsidRPr="002870AE" w:rsidRDefault="00074CC3" w:rsidP="002870AE">
      <w:pPr>
        <w:pStyle w:val="Ttulo2"/>
        <w:jc w:val="both"/>
        <w:rPr>
          <w:rFonts w:ascii="Times New Roman" w:hAnsi="Times New Roman" w:cs="Times New Roman"/>
          <w:lang w:val="pt-PT"/>
        </w:rPr>
      </w:pPr>
      <w:bookmarkStart w:id="28" w:name="_Toc52034812"/>
      <w:r w:rsidRPr="002870AE">
        <w:rPr>
          <w:rFonts w:ascii="Times New Roman" w:hAnsi="Times New Roman" w:cs="Times New Roman"/>
          <w:lang w:val="pt-PT"/>
        </w:rPr>
        <w:t xml:space="preserve">Aplicação </w:t>
      </w:r>
      <w:r w:rsidR="002016B3" w:rsidRPr="002870AE">
        <w:rPr>
          <w:rFonts w:ascii="Times New Roman" w:hAnsi="Times New Roman" w:cs="Times New Roman"/>
          <w:lang w:val="pt-PT"/>
        </w:rPr>
        <w:t xml:space="preserve">dos critérios </w:t>
      </w:r>
      <w:r w:rsidRPr="002870AE">
        <w:rPr>
          <w:rFonts w:ascii="Times New Roman" w:hAnsi="Times New Roman" w:cs="Times New Roman"/>
          <w:lang w:val="pt-PT"/>
        </w:rPr>
        <w:t>aos mercados de retalho</w:t>
      </w:r>
      <w:r w:rsidR="000942BB" w:rsidRPr="002870AE">
        <w:rPr>
          <w:rFonts w:ascii="Times New Roman" w:hAnsi="Times New Roman" w:cs="Times New Roman"/>
          <w:lang w:val="pt-PT"/>
        </w:rPr>
        <w:t xml:space="preserve"> identificados</w:t>
      </w:r>
      <w:bookmarkEnd w:id="28"/>
    </w:p>
    <w:p w14:paraId="1FFF1BE8" w14:textId="7199B764" w:rsidR="003F280F" w:rsidRPr="002870AE" w:rsidRDefault="001A606D"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Todos os quatro mercados retalhistas identificados nesta análise possuem barreiras económicas elevadas e não transitórias. As barreiras económicas assumem a forma de requisitos substanciais de capital para estabelecer uma rede móvel nacional e sistemas de suporte adequados e desenvolver operações comerciais de distribuição apropriadas. As redes móveis têm economias de escala que cobrem já a maior parte da procura existente. Atualmente, existem duas operadoras de rede móvel e embora um terceiro participante seja potencialmente possível, o nível de penetração atual de serviço fornece uma barreira adicional a essa entrada. Além disso, existem custos afundados substanciais, mas não intransponíveis, associados às redes móveis existentes que, na falta de regulação, aumentariam a barreira que um novo participante teria que superar.</w:t>
      </w:r>
    </w:p>
    <w:p w14:paraId="5B67B2FE" w14:textId="77777777" w:rsidR="001A606D" w:rsidRPr="002870AE" w:rsidRDefault="001A606D"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Por outro lado, a análise aos diferentes mercados não permite observar uma tendência à concorrência por trás das barreiras existentes. Existem dois prestadores de serviços nestes mercados, MTN e Orange. É provável que a estrutura do mercado permaneça duopolista no prazo de 2 a 3 anos. O mercado de serviços móveis na Guiné Bissau apresenta sinais de estagnação, com níveis de crescimento médio em termos de assinantes de cerca de 4% ao ano. A cobertura dos dois operadores é semelhante, embora a rede de banda larga móvel da Orange pareça ter um alcance maior. É improvável que uma estrutura de mercado duopolista forneça resultados proporcionais aos de um mercado competitivo em termos de níveis de preços, disponibilidade de serviços e inovação. Em conclusão, não parece existir tendência para a concorrência por trás dos obstáculos elevados e não transitórios à entrada nestes mercados.</w:t>
      </w:r>
    </w:p>
    <w:p w14:paraId="7A5790F9" w14:textId="77777777" w:rsidR="00321560" w:rsidRPr="002870AE" w:rsidRDefault="00321560" w:rsidP="002870AE">
      <w:pPr>
        <w:jc w:val="both"/>
        <w:rPr>
          <w:rFonts w:ascii="Times New Roman" w:eastAsia="MS Mincho" w:hAnsi="Times New Roman" w:cs="Times New Roman"/>
          <w:b/>
          <w:color w:val="002D62"/>
          <w:sz w:val="24"/>
          <w:szCs w:val="24"/>
          <w:lang w:val="pt-PT"/>
        </w:rPr>
      </w:pPr>
      <w:r w:rsidRPr="002870AE">
        <w:rPr>
          <w:rFonts w:ascii="Times New Roman" w:eastAsia="MS Mincho" w:hAnsi="Times New Roman" w:cs="Times New Roman"/>
          <w:b/>
          <w:color w:val="002D62"/>
          <w:sz w:val="24"/>
          <w:szCs w:val="24"/>
          <w:lang w:val="pt-PT"/>
        </w:rPr>
        <w:t>Conclusão:</w:t>
      </w:r>
    </w:p>
    <w:p w14:paraId="0C618756" w14:textId="1520A07D" w:rsidR="00321560" w:rsidRPr="002870AE" w:rsidRDefault="003F280F"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Os mercados retalhistas na Guiné Bissau cumprem cumulativamente os critérios utilizados e</w:t>
      </w:r>
      <w:r w:rsidR="00FA5575" w:rsidRPr="002870AE">
        <w:rPr>
          <w:rFonts w:ascii="Times New Roman" w:hAnsi="Times New Roman" w:cs="Times New Roman"/>
          <w:sz w:val="24"/>
          <w:szCs w:val="24"/>
          <w:lang w:val="pt-PT"/>
        </w:rPr>
        <w:t xml:space="preserve">, </w:t>
      </w:r>
      <w:r w:rsidRPr="002870AE">
        <w:rPr>
          <w:rFonts w:ascii="Times New Roman" w:hAnsi="Times New Roman" w:cs="Times New Roman"/>
          <w:sz w:val="24"/>
          <w:szCs w:val="24"/>
          <w:lang w:val="pt-PT"/>
        </w:rPr>
        <w:t>portanto</w:t>
      </w:r>
      <w:r w:rsidR="00FA5575" w:rsidRPr="002870AE">
        <w:rPr>
          <w:rFonts w:ascii="Times New Roman" w:hAnsi="Times New Roman" w:cs="Times New Roman"/>
          <w:sz w:val="24"/>
          <w:szCs w:val="24"/>
          <w:lang w:val="pt-PT"/>
        </w:rPr>
        <w:t>,</w:t>
      </w:r>
      <w:r w:rsidRPr="002870AE">
        <w:rPr>
          <w:rFonts w:ascii="Times New Roman" w:hAnsi="Times New Roman" w:cs="Times New Roman"/>
          <w:sz w:val="24"/>
          <w:szCs w:val="24"/>
          <w:lang w:val="pt-PT"/>
        </w:rPr>
        <w:t xml:space="preserve"> </w:t>
      </w:r>
      <w:r w:rsidR="00321560" w:rsidRPr="002870AE">
        <w:rPr>
          <w:rFonts w:ascii="Times New Roman" w:hAnsi="Times New Roman" w:cs="Times New Roman"/>
          <w:sz w:val="24"/>
          <w:szCs w:val="24"/>
          <w:lang w:val="pt-PT"/>
        </w:rPr>
        <w:t xml:space="preserve">são suscetíveis de regulação </w:t>
      </w:r>
      <w:proofErr w:type="spellStart"/>
      <w:r w:rsidR="00321560" w:rsidRPr="002870AE">
        <w:rPr>
          <w:rFonts w:ascii="Times New Roman" w:hAnsi="Times New Roman" w:cs="Times New Roman"/>
          <w:i/>
          <w:iCs/>
          <w:sz w:val="24"/>
          <w:szCs w:val="24"/>
          <w:lang w:val="pt-PT"/>
        </w:rPr>
        <w:t>ex</w:t>
      </w:r>
      <w:proofErr w:type="spellEnd"/>
      <w:r w:rsidR="00321560" w:rsidRPr="002870AE">
        <w:rPr>
          <w:rFonts w:ascii="Times New Roman" w:hAnsi="Times New Roman" w:cs="Times New Roman"/>
          <w:i/>
          <w:iCs/>
          <w:sz w:val="24"/>
          <w:szCs w:val="24"/>
          <w:lang w:val="pt-PT"/>
        </w:rPr>
        <w:t xml:space="preserve"> ante</w:t>
      </w:r>
      <w:r w:rsidR="00321560" w:rsidRPr="002870AE">
        <w:rPr>
          <w:rFonts w:ascii="Times New Roman" w:hAnsi="Times New Roman" w:cs="Times New Roman"/>
          <w:sz w:val="24"/>
          <w:szCs w:val="24"/>
          <w:lang w:val="pt-P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gridCol w:w="4410"/>
      </w:tblGrid>
      <w:tr w:rsidR="00D30A8C" w:rsidRPr="000A51F8" w14:paraId="0634A082" w14:textId="77777777" w:rsidTr="00C32669">
        <w:tc>
          <w:tcPr>
            <w:tcW w:w="4975" w:type="dxa"/>
            <w:vAlign w:val="center"/>
          </w:tcPr>
          <w:p w14:paraId="2E941627" w14:textId="77777777" w:rsidR="00D30A8C" w:rsidRPr="002870AE" w:rsidRDefault="00D30A8C" w:rsidP="00C32669">
            <w:pPr>
              <w:jc w:val="center"/>
              <w:rPr>
                <w:rFonts w:ascii="Times New Roman" w:hAnsi="Times New Roman" w:cs="Times New Roman"/>
                <w:b/>
                <w:sz w:val="24"/>
                <w:szCs w:val="24"/>
                <w:lang w:val="en-AU"/>
              </w:rPr>
            </w:pPr>
            <w:r w:rsidRPr="002870AE">
              <w:rPr>
                <w:rFonts w:ascii="Times New Roman" w:hAnsi="Times New Roman" w:cs="Times New Roman"/>
                <w:b/>
                <w:sz w:val="24"/>
                <w:szCs w:val="24"/>
                <w:lang w:val="en-AU"/>
              </w:rPr>
              <w:t xml:space="preserve">Mercados </w:t>
            </w:r>
            <w:proofErr w:type="spellStart"/>
            <w:r w:rsidRPr="002870AE">
              <w:rPr>
                <w:rFonts w:ascii="Times New Roman" w:hAnsi="Times New Roman" w:cs="Times New Roman"/>
                <w:b/>
                <w:sz w:val="24"/>
                <w:szCs w:val="24"/>
                <w:lang w:val="en-AU"/>
              </w:rPr>
              <w:t>retalhistas</w:t>
            </w:r>
            <w:proofErr w:type="spellEnd"/>
          </w:p>
        </w:tc>
        <w:tc>
          <w:tcPr>
            <w:tcW w:w="4410" w:type="dxa"/>
            <w:vAlign w:val="center"/>
          </w:tcPr>
          <w:p w14:paraId="0222A585" w14:textId="77777777" w:rsidR="00D30A8C" w:rsidRPr="002870AE" w:rsidRDefault="00D30A8C" w:rsidP="00C32669">
            <w:pPr>
              <w:jc w:val="center"/>
              <w:rPr>
                <w:rFonts w:ascii="Times New Roman" w:hAnsi="Times New Roman" w:cs="Times New Roman"/>
                <w:b/>
                <w:sz w:val="24"/>
                <w:szCs w:val="24"/>
                <w:lang w:val="pt-PT"/>
              </w:rPr>
            </w:pPr>
            <w:r w:rsidRPr="002870AE">
              <w:rPr>
                <w:rFonts w:ascii="Times New Roman" w:hAnsi="Times New Roman" w:cs="Times New Roman"/>
                <w:b/>
                <w:sz w:val="24"/>
                <w:szCs w:val="24"/>
                <w:lang w:val="pt-PT"/>
              </w:rPr>
              <w:t>Barreiras elevadas e nenhuma tendência à concorrência</w:t>
            </w:r>
          </w:p>
        </w:tc>
      </w:tr>
      <w:tr w:rsidR="00D30A8C" w:rsidRPr="000A51F8" w14:paraId="683322FE" w14:textId="77777777" w:rsidTr="00C32669">
        <w:tc>
          <w:tcPr>
            <w:tcW w:w="4975" w:type="dxa"/>
            <w:vAlign w:val="center"/>
          </w:tcPr>
          <w:p w14:paraId="2BFE4FC1"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1. Acesso e serviços móveis de voz e mensagens de texto nacional</w:t>
            </w:r>
          </w:p>
        </w:tc>
        <w:tc>
          <w:tcPr>
            <w:tcW w:w="4410" w:type="dxa"/>
            <w:vAlign w:val="center"/>
          </w:tcPr>
          <w:p w14:paraId="5646763F"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Sim. Portanto é considerado um mercado relevante.</w:t>
            </w:r>
          </w:p>
        </w:tc>
      </w:tr>
      <w:tr w:rsidR="00D30A8C" w:rsidRPr="000A51F8" w14:paraId="1B2194AB" w14:textId="77777777" w:rsidTr="00C32669">
        <w:tc>
          <w:tcPr>
            <w:tcW w:w="4975" w:type="dxa"/>
            <w:vAlign w:val="center"/>
          </w:tcPr>
          <w:p w14:paraId="0CD2532D"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2. Serviços móveis de voz e mensagens de texto internacional </w:t>
            </w:r>
          </w:p>
        </w:tc>
        <w:tc>
          <w:tcPr>
            <w:tcW w:w="4410" w:type="dxa"/>
            <w:vAlign w:val="center"/>
          </w:tcPr>
          <w:p w14:paraId="7BCDA436"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Sim. Portanto é considerado um mercado relevante.</w:t>
            </w:r>
          </w:p>
        </w:tc>
      </w:tr>
      <w:tr w:rsidR="00D30A8C" w:rsidRPr="000A51F8" w14:paraId="0397ABFB" w14:textId="77777777" w:rsidTr="00C32669">
        <w:tc>
          <w:tcPr>
            <w:tcW w:w="4975" w:type="dxa"/>
            <w:vAlign w:val="center"/>
          </w:tcPr>
          <w:p w14:paraId="72513112"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3. Serviços móveis de acesso à internet</w:t>
            </w:r>
          </w:p>
        </w:tc>
        <w:tc>
          <w:tcPr>
            <w:tcW w:w="4410" w:type="dxa"/>
            <w:vAlign w:val="center"/>
          </w:tcPr>
          <w:p w14:paraId="2FD46E49" w14:textId="7777777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Sim. Portanto é considerado um mercado relevante.</w:t>
            </w:r>
          </w:p>
        </w:tc>
      </w:tr>
      <w:tr w:rsidR="00D30A8C" w:rsidRPr="000A51F8" w14:paraId="512AA652" w14:textId="77777777" w:rsidTr="00C32669">
        <w:tc>
          <w:tcPr>
            <w:tcW w:w="4975" w:type="dxa"/>
            <w:vAlign w:val="center"/>
          </w:tcPr>
          <w:p w14:paraId="6CAD7E45" w14:textId="26BF1D97" w:rsidR="00D30A8C"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4. Serviços de acesso à internet num local fixo</w:t>
            </w:r>
          </w:p>
        </w:tc>
        <w:tc>
          <w:tcPr>
            <w:tcW w:w="4410" w:type="dxa"/>
            <w:vAlign w:val="center"/>
          </w:tcPr>
          <w:p w14:paraId="56D1FED9" w14:textId="77777777" w:rsidR="00D30A8C" w:rsidRPr="002870AE" w:rsidDel="0043412C"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Sim. Portanto é considerado um mercado relevante.</w:t>
            </w:r>
          </w:p>
        </w:tc>
      </w:tr>
    </w:tbl>
    <w:p w14:paraId="1FB99BA0" w14:textId="77777777" w:rsidR="00D30A8C" w:rsidRPr="002870AE" w:rsidRDefault="00D30A8C" w:rsidP="002870AE">
      <w:pPr>
        <w:jc w:val="both"/>
        <w:rPr>
          <w:rFonts w:ascii="Times New Roman" w:hAnsi="Times New Roman" w:cs="Times New Roman"/>
          <w:sz w:val="24"/>
          <w:szCs w:val="24"/>
          <w:lang w:val="pt-PT"/>
        </w:rPr>
      </w:pPr>
    </w:p>
    <w:p w14:paraId="4BFF1F41" w14:textId="36CF1FC1" w:rsidR="003F280F" w:rsidRPr="002870AE" w:rsidRDefault="003F280F" w:rsidP="002870AE">
      <w:pPr>
        <w:pStyle w:val="Ttulo2"/>
        <w:jc w:val="both"/>
        <w:rPr>
          <w:rFonts w:ascii="Times New Roman" w:hAnsi="Times New Roman" w:cs="Times New Roman"/>
          <w:lang w:val="pt-PT"/>
        </w:rPr>
      </w:pPr>
      <w:bookmarkStart w:id="29" w:name="_Toc52034813"/>
      <w:r w:rsidRPr="002870AE">
        <w:rPr>
          <w:rFonts w:ascii="Times New Roman" w:hAnsi="Times New Roman" w:cs="Times New Roman"/>
          <w:lang w:val="pt-PT"/>
        </w:rPr>
        <w:t>Aplicação dos critérios aos mercados grossistas</w:t>
      </w:r>
      <w:bookmarkEnd w:id="29"/>
    </w:p>
    <w:p w14:paraId="4887232F" w14:textId="77777777" w:rsidR="001A606D" w:rsidRPr="002870AE" w:rsidRDefault="001A606D"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Nos mercados grossistas de terminação de tráfego em redes nacionais por definição não é possível a entrada nesses mercados (cada rede móvel constitui um mercado separado). Por definição, o operador de rede, cuja rede define cada mercado separado, possui uma quota de mercado de 100%. Não pode haver entrada competitiva. Por definição não poderá existir concorrência nestes mercados.</w:t>
      </w:r>
    </w:p>
    <w:p w14:paraId="035D9C5E" w14:textId="77777777" w:rsidR="001A606D" w:rsidRPr="002870AE" w:rsidRDefault="001A606D" w:rsidP="002870AE">
      <w:pPr>
        <w:pStyle w:val="Textbody"/>
        <w:spacing w:before="120" w:line="276" w:lineRule="auto"/>
        <w:jc w:val="both"/>
        <w:rPr>
          <w:rFonts w:ascii="Times New Roman" w:hAnsi="Times New Roman"/>
          <w:sz w:val="24"/>
          <w:lang w:val="pt-PT"/>
        </w:rPr>
      </w:pPr>
      <w:r w:rsidRPr="002870AE">
        <w:rPr>
          <w:rFonts w:ascii="Times New Roman" w:hAnsi="Times New Roman"/>
          <w:sz w:val="24"/>
          <w:lang w:val="pt-PT"/>
        </w:rPr>
        <w:t xml:space="preserve">Nos mercados grossistas de acesso e </w:t>
      </w:r>
      <w:proofErr w:type="spellStart"/>
      <w:r w:rsidRPr="002870AE">
        <w:rPr>
          <w:rFonts w:ascii="Times New Roman" w:hAnsi="Times New Roman"/>
          <w:sz w:val="24"/>
          <w:lang w:val="pt-PT"/>
        </w:rPr>
        <w:t>originação</w:t>
      </w:r>
      <w:proofErr w:type="spellEnd"/>
      <w:r w:rsidRPr="002870AE">
        <w:rPr>
          <w:rFonts w:ascii="Times New Roman" w:hAnsi="Times New Roman"/>
          <w:sz w:val="24"/>
          <w:lang w:val="pt-PT"/>
        </w:rPr>
        <w:t xml:space="preserve"> em redes móveis e acesso a capacidade internacional existem barreiras económicas elevadas e não transitórias à entrada nestes mercados. Implementar redes móveis com cobertura nacional requer investimentos elevados. Existem dois operadores atualmente e as economias de escala das suas redes já se estendem a grande parte da procura do mercado. Um terceiro participante é possível, mas a penetração atual e fraco crescimento do mercado fornece uma barreira adicional a essa entrada. No mercado de acesso a capacidade internacional o investimento de capital necessário para desenvolver a infraestrutura para fornecer esses serviços (por exemplo, redes de fibra para pontos de interconexão em países vizinhos, acesso à capacidade em cabos submarinos e estações terrestres é significativo e constitui uma elevada barreira à entrada. Também não se prevê que a entrada em operação da estação de aterragem altere a atual estrutura de mercado considerando a composição acionista do seu operador.</w:t>
      </w:r>
    </w:p>
    <w:p w14:paraId="73A196F9" w14:textId="77777777" w:rsidR="00D30A8C" w:rsidRPr="002870AE" w:rsidRDefault="003F280F" w:rsidP="002870AE">
      <w:pPr>
        <w:jc w:val="both"/>
        <w:rPr>
          <w:rFonts w:ascii="Times New Roman" w:eastAsia="MS Mincho" w:hAnsi="Times New Roman" w:cs="Times New Roman"/>
          <w:b/>
          <w:color w:val="002D62"/>
          <w:sz w:val="24"/>
          <w:szCs w:val="24"/>
          <w:lang w:val="pt-PT"/>
        </w:rPr>
      </w:pPr>
      <w:r w:rsidRPr="002870AE">
        <w:rPr>
          <w:rFonts w:ascii="Times New Roman" w:hAnsi="Times New Roman" w:cs="Times New Roman"/>
          <w:sz w:val="24"/>
          <w:szCs w:val="24"/>
          <w:lang w:val="pt-PT"/>
        </w:rPr>
        <w:t xml:space="preserve"> </w:t>
      </w:r>
      <w:r w:rsidR="00D30A8C" w:rsidRPr="002870AE">
        <w:rPr>
          <w:rFonts w:ascii="Times New Roman" w:eastAsia="MS Mincho" w:hAnsi="Times New Roman" w:cs="Times New Roman"/>
          <w:b/>
          <w:color w:val="002D62"/>
          <w:sz w:val="24"/>
          <w:szCs w:val="24"/>
          <w:lang w:val="pt-PT"/>
        </w:rPr>
        <w:t>Conclusão:</w:t>
      </w:r>
    </w:p>
    <w:p w14:paraId="431C9938" w14:textId="623EB99A" w:rsidR="00321560" w:rsidRDefault="00D30A8C"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Os dois mercados grossistas de terminação, cada uma das redes móveis de cada operador, na Guiné Bissau, cumprem cumulativamente os critérios utilizados e, portanto, são suscetíveis de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w:t>
      </w:r>
      <w:r w:rsidR="00C32669">
        <w:rPr>
          <w:rFonts w:ascii="Times New Roman" w:hAnsi="Times New Roman" w:cs="Times New Roman"/>
          <w:sz w:val="24"/>
          <w:szCs w:val="24"/>
          <w:lang w:val="pt-PT"/>
        </w:rPr>
        <w:t xml:space="preserve"> </w:t>
      </w:r>
    </w:p>
    <w:p w14:paraId="1B63373E" w14:textId="484B0763" w:rsidR="00C32669" w:rsidRDefault="00C32669" w:rsidP="002870AE">
      <w:pPr>
        <w:jc w:val="both"/>
        <w:rPr>
          <w:rFonts w:ascii="Times New Roman" w:hAnsi="Times New Roman" w:cs="Times New Roman"/>
          <w:sz w:val="24"/>
          <w:szCs w:val="24"/>
          <w:lang w:val="pt-PT"/>
        </w:rPr>
      </w:pPr>
    </w:p>
    <w:p w14:paraId="01672DD8" w14:textId="77777777" w:rsidR="00C32669" w:rsidRPr="002870AE" w:rsidRDefault="00C32669" w:rsidP="002870AE">
      <w:pPr>
        <w:jc w:val="both"/>
        <w:rPr>
          <w:rFonts w:ascii="Times New Roman" w:hAnsi="Times New Roman" w:cs="Times New Roman"/>
          <w:sz w:val="24"/>
          <w:szCs w:val="24"/>
          <w:lang w:val="pt-P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678"/>
      </w:tblGrid>
      <w:tr w:rsidR="00A81CAB" w:rsidRPr="000A51F8" w14:paraId="26EAA8FD" w14:textId="77777777" w:rsidTr="00C32669">
        <w:tc>
          <w:tcPr>
            <w:tcW w:w="4707" w:type="dxa"/>
            <w:vAlign w:val="center"/>
          </w:tcPr>
          <w:p w14:paraId="73F051AD" w14:textId="56D24204" w:rsidR="00A81CAB" w:rsidRPr="002870AE" w:rsidRDefault="00FC05E6" w:rsidP="00C32669">
            <w:pPr>
              <w:rPr>
                <w:rFonts w:ascii="Times New Roman" w:hAnsi="Times New Roman" w:cs="Times New Roman"/>
                <w:b/>
                <w:bCs/>
                <w:sz w:val="24"/>
                <w:szCs w:val="24"/>
                <w:lang w:val="en-AU"/>
              </w:rPr>
            </w:pPr>
            <w:bookmarkStart w:id="30" w:name="_Hlk34119082"/>
            <w:proofErr w:type="spellStart"/>
            <w:r w:rsidRPr="002870AE">
              <w:rPr>
                <w:rFonts w:ascii="Times New Roman" w:hAnsi="Times New Roman" w:cs="Times New Roman"/>
                <w:b/>
                <w:bCs/>
                <w:sz w:val="24"/>
                <w:szCs w:val="24"/>
                <w:lang w:val="en-AU"/>
              </w:rPr>
              <w:lastRenderedPageBreak/>
              <w:t>Definição</w:t>
            </w:r>
            <w:proofErr w:type="spellEnd"/>
            <w:r w:rsidRPr="002870AE">
              <w:rPr>
                <w:rFonts w:ascii="Times New Roman" w:hAnsi="Times New Roman" w:cs="Times New Roman"/>
                <w:b/>
                <w:bCs/>
                <w:sz w:val="24"/>
                <w:szCs w:val="24"/>
                <w:lang w:val="en-AU"/>
              </w:rPr>
              <w:t xml:space="preserve"> de mercados </w:t>
            </w:r>
            <w:proofErr w:type="spellStart"/>
            <w:r w:rsidRPr="002870AE">
              <w:rPr>
                <w:rFonts w:ascii="Times New Roman" w:hAnsi="Times New Roman" w:cs="Times New Roman"/>
                <w:b/>
                <w:bCs/>
                <w:sz w:val="24"/>
                <w:szCs w:val="24"/>
                <w:lang w:val="en-AU"/>
              </w:rPr>
              <w:t>grossistas</w:t>
            </w:r>
            <w:proofErr w:type="spellEnd"/>
          </w:p>
        </w:tc>
        <w:tc>
          <w:tcPr>
            <w:tcW w:w="4678" w:type="dxa"/>
            <w:vAlign w:val="center"/>
          </w:tcPr>
          <w:p w14:paraId="201A2ADA" w14:textId="55EEBDDA" w:rsidR="00A81CAB" w:rsidRPr="002870AE" w:rsidRDefault="007771A2" w:rsidP="00C32669">
            <w:pPr>
              <w:rPr>
                <w:rFonts w:ascii="Times New Roman" w:hAnsi="Times New Roman" w:cs="Times New Roman"/>
                <w:sz w:val="24"/>
                <w:szCs w:val="24"/>
                <w:lang w:val="pt-PT"/>
              </w:rPr>
            </w:pPr>
            <w:r w:rsidRPr="002870AE">
              <w:rPr>
                <w:rFonts w:ascii="Times New Roman" w:hAnsi="Times New Roman" w:cs="Times New Roman"/>
                <w:b/>
                <w:sz w:val="24"/>
                <w:szCs w:val="24"/>
                <w:lang w:val="pt-PT"/>
              </w:rPr>
              <w:t>Barreiras elevadas e nenhuma tendência à concorrência</w:t>
            </w:r>
          </w:p>
        </w:tc>
      </w:tr>
      <w:tr w:rsidR="00A81CAB" w:rsidRPr="002870AE" w14:paraId="37C41114" w14:textId="77777777" w:rsidTr="00C32669">
        <w:tc>
          <w:tcPr>
            <w:tcW w:w="4707" w:type="dxa"/>
            <w:vAlign w:val="center"/>
          </w:tcPr>
          <w:p w14:paraId="1361C9CE" w14:textId="6EBB765F" w:rsidR="00A81CAB" w:rsidRPr="002870AE" w:rsidRDefault="007771A2"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5</w:t>
            </w:r>
            <w:r w:rsidR="00A81CAB" w:rsidRPr="002870AE">
              <w:rPr>
                <w:rFonts w:ascii="Times New Roman" w:hAnsi="Times New Roman" w:cs="Times New Roman"/>
                <w:sz w:val="24"/>
                <w:szCs w:val="24"/>
                <w:lang w:val="pt-PT"/>
              </w:rPr>
              <w:t xml:space="preserve">. </w:t>
            </w:r>
            <w:r w:rsidR="002016B3" w:rsidRPr="002870AE">
              <w:rPr>
                <w:rFonts w:ascii="Times New Roman" w:hAnsi="Times New Roman" w:cs="Times New Roman"/>
                <w:sz w:val="24"/>
                <w:szCs w:val="24"/>
                <w:lang w:val="pt-PT"/>
              </w:rPr>
              <w:t>Serviços de terminação em redes móveis</w:t>
            </w:r>
            <w:r w:rsidR="00C05612" w:rsidRPr="002870AE">
              <w:rPr>
                <w:rStyle w:val="Refdenotaderodap"/>
                <w:rFonts w:ascii="Times New Roman" w:hAnsi="Times New Roman"/>
                <w:sz w:val="24"/>
                <w:szCs w:val="24"/>
                <w:lang w:val="pt-PT"/>
              </w:rPr>
              <w:footnoteReference w:id="21"/>
            </w:r>
            <w:r w:rsidR="00371ECB" w:rsidRPr="002870AE">
              <w:rPr>
                <w:rFonts w:ascii="Times New Roman" w:hAnsi="Times New Roman" w:cs="Times New Roman"/>
                <w:sz w:val="24"/>
                <w:szCs w:val="24"/>
                <w:lang w:val="pt-PT"/>
              </w:rPr>
              <w:t xml:space="preserve"> </w:t>
            </w:r>
          </w:p>
        </w:tc>
        <w:tc>
          <w:tcPr>
            <w:tcW w:w="4678" w:type="dxa"/>
            <w:vAlign w:val="center"/>
          </w:tcPr>
          <w:p w14:paraId="52238577" w14:textId="311D7E6D" w:rsidR="00A81CAB" w:rsidRPr="002870AE" w:rsidRDefault="003B4DBE" w:rsidP="00C32669">
            <w:pPr>
              <w:pStyle w:val="Textbody"/>
              <w:spacing w:before="120" w:line="276" w:lineRule="auto"/>
              <w:rPr>
                <w:rFonts w:ascii="Times New Roman" w:hAnsi="Times New Roman"/>
                <w:sz w:val="24"/>
                <w:lang w:val="pt-PT"/>
              </w:rPr>
            </w:pPr>
            <w:r w:rsidRPr="002870AE">
              <w:rPr>
                <w:rFonts w:ascii="Times New Roman" w:hAnsi="Times New Roman"/>
                <w:sz w:val="24"/>
                <w:lang w:val="pt-PT"/>
              </w:rPr>
              <w:t xml:space="preserve">Sim: Por definição, o operador de rede, cuja rede </w:t>
            </w:r>
            <w:r w:rsidR="00EB6E08" w:rsidRPr="002870AE">
              <w:rPr>
                <w:rFonts w:ascii="Times New Roman" w:hAnsi="Times New Roman"/>
                <w:sz w:val="24"/>
                <w:lang w:val="pt-PT"/>
              </w:rPr>
              <w:t>é um</w:t>
            </w:r>
            <w:r w:rsidRPr="002870AE">
              <w:rPr>
                <w:rFonts w:ascii="Times New Roman" w:hAnsi="Times New Roman"/>
                <w:sz w:val="24"/>
                <w:lang w:val="pt-PT"/>
              </w:rPr>
              <w:t xml:space="preserve"> mercado separado, possui uma quota de mercado de 100%. Não pode haver entrada competitiva. </w:t>
            </w:r>
          </w:p>
        </w:tc>
      </w:tr>
      <w:tr w:rsidR="00A81CAB" w:rsidRPr="000A51F8" w14:paraId="05AD5665" w14:textId="77777777" w:rsidTr="00C32669">
        <w:tc>
          <w:tcPr>
            <w:tcW w:w="4707" w:type="dxa"/>
            <w:vAlign w:val="center"/>
          </w:tcPr>
          <w:p w14:paraId="17EBA3AB" w14:textId="35C688B1" w:rsidR="00A81CAB" w:rsidRPr="002870AE" w:rsidRDefault="00F57326"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6</w:t>
            </w:r>
            <w:r w:rsidR="00A81CAB" w:rsidRPr="002870AE">
              <w:rPr>
                <w:rFonts w:ascii="Times New Roman" w:hAnsi="Times New Roman" w:cs="Times New Roman"/>
                <w:sz w:val="24"/>
                <w:szCs w:val="24"/>
                <w:lang w:val="pt-PT"/>
              </w:rPr>
              <w:t xml:space="preserve">. </w:t>
            </w:r>
            <w:r w:rsidR="007771A2" w:rsidRPr="002870AE">
              <w:rPr>
                <w:rFonts w:ascii="Times New Roman" w:hAnsi="Times New Roman" w:cs="Times New Roman"/>
                <w:sz w:val="24"/>
                <w:szCs w:val="24"/>
                <w:lang w:val="pt-PT"/>
              </w:rPr>
              <w:t xml:space="preserve">Serviços de acesso e </w:t>
            </w:r>
            <w:proofErr w:type="spellStart"/>
            <w:r w:rsidR="007771A2" w:rsidRPr="002870AE">
              <w:rPr>
                <w:rFonts w:ascii="Times New Roman" w:hAnsi="Times New Roman" w:cs="Times New Roman"/>
                <w:sz w:val="24"/>
                <w:szCs w:val="24"/>
                <w:lang w:val="pt-PT"/>
              </w:rPr>
              <w:t>originação</w:t>
            </w:r>
            <w:proofErr w:type="spellEnd"/>
            <w:r w:rsidR="007771A2" w:rsidRPr="002870AE">
              <w:rPr>
                <w:rFonts w:ascii="Times New Roman" w:hAnsi="Times New Roman" w:cs="Times New Roman"/>
                <w:sz w:val="24"/>
                <w:szCs w:val="24"/>
                <w:lang w:val="pt-PT"/>
              </w:rPr>
              <w:t xml:space="preserve"> a redes móveis</w:t>
            </w:r>
          </w:p>
        </w:tc>
        <w:tc>
          <w:tcPr>
            <w:tcW w:w="4678" w:type="dxa"/>
            <w:vAlign w:val="center"/>
          </w:tcPr>
          <w:p w14:paraId="45F290E4" w14:textId="67BC5F70" w:rsidR="00A81CAB" w:rsidRPr="002870AE" w:rsidRDefault="00D30A8C"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Não</w:t>
            </w:r>
            <w:r w:rsidR="00984C4F" w:rsidRPr="002870AE">
              <w:rPr>
                <w:rFonts w:ascii="Times New Roman" w:hAnsi="Times New Roman" w:cs="Times New Roman"/>
                <w:sz w:val="24"/>
                <w:szCs w:val="24"/>
                <w:lang w:val="pt-PT"/>
              </w:rPr>
              <w:t xml:space="preserve">: </w:t>
            </w:r>
            <w:r w:rsidR="00654C8C" w:rsidRPr="002870AE">
              <w:rPr>
                <w:rFonts w:ascii="Times New Roman" w:hAnsi="Times New Roman" w:cs="Times New Roman"/>
                <w:sz w:val="24"/>
                <w:szCs w:val="24"/>
                <w:lang w:val="pt-PT"/>
              </w:rPr>
              <w:t>Este mercado atualmente é apenas hipotético. Se existir interesse no acesso os operadores devem procurar negociar as condições comerciais de boa fé. Apenas caso não cheguem a um acordo deve a ARN intervir.</w:t>
            </w:r>
          </w:p>
        </w:tc>
      </w:tr>
      <w:tr w:rsidR="007771A2" w:rsidRPr="000A51F8" w14:paraId="015281E1" w14:textId="77777777" w:rsidTr="00C32669">
        <w:tc>
          <w:tcPr>
            <w:tcW w:w="4707" w:type="dxa"/>
            <w:vAlign w:val="center"/>
          </w:tcPr>
          <w:p w14:paraId="2C56C70E" w14:textId="136A6471" w:rsidR="007771A2" w:rsidRPr="002870AE" w:rsidRDefault="00F57326" w:rsidP="00C32669">
            <w:pPr>
              <w:rPr>
                <w:rFonts w:ascii="Times New Roman" w:hAnsi="Times New Roman" w:cs="Times New Roman"/>
                <w:sz w:val="24"/>
                <w:szCs w:val="24"/>
                <w:lang w:val="pt-PT"/>
              </w:rPr>
            </w:pPr>
            <w:r w:rsidRPr="002870AE">
              <w:rPr>
                <w:rFonts w:ascii="Times New Roman" w:hAnsi="Times New Roman" w:cs="Times New Roman"/>
                <w:sz w:val="24"/>
                <w:szCs w:val="24"/>
                <w:lang w:val="pt-PT"/>
              </w:rPr>
              <w:t>7</w:t>
            </w:r>
            <w:r w:rsidR="007771A2" w:rsidRPr="002870AE">
              <w:rPr>
                <w:rFonts w:ascii="Times New Roman" w:hAnsi="Times New Roman" w:cs="Times New Roman"/>
                <w:sz w:val="24"/>
                <w:szCs w:val="24"/>
                <w:lang w:val="pt-PT"/>
              </w:rPr>
              <w:t>. Serviços de aluguer de capacidade internacional</w:t>
            </w:r>
          </w:p>
        </w:tc>
        <w:tc>
          <w:tcPr>
            <w:tcW w:w="4678" w:type="dxa"/>
            <w:vAlign w:val="center"/>
          </w:tcPr>
          <w:p w14:paraId="181F3C21" w14:textId="76B2BDAD" w:rsidR="007771A2" w:rsidRPr="002870AE" w:rsidRDefault="00D30A8C" w:rsidP="00C32669">
            <w:pPr>
              <w:pStyle w:val="Textbody"/>
              <w:spacing w:before="120" w:line="276" w:lineRule="auto"/>
              <w:rPr>
                <w:rFonts w:ascii="Times New Roman" w:hAnsi="Times New Roman"/>
                <w:sz w:val="24"/>
                <w:lang w:val="pt-PT"/>
              </w:rPr>
            </w:pPr>
            <w:r w:rsidRPr="002870AE">
              <w:rPr>
                <w:rFonts w:ascii="Times New Roman" w:hAnsi="Times New Roman"/>
                <w:sz w:val="24"/>
                <w:lang w:val="pt-PT"/>
              </w:rPr>
              <w:t>Não</w:t>
            </w:r>
            <w:r w:rsidR="00F94A72" w:rsidRPr="002870AE">
              <w:rPr>
                <w:rFonts w:ascii="Times New Roman" w:hAnsi="Times New Roman"/>
                <w:sz w:val="24"/>
                <w:lang w:val="pt-PT"/>
              </w:rPr>
              <w:t xml:space="preserve">: </w:t>
            </w:r>
            <w:r w:rsidR="00654C8C" w:rsidRPr="002870AE">
              <w:rPr>
                <w:rFonts w:ascii="Times New Roman" w:hAnsi="Times New Roman"/>
                <w:sz w:val="24"/>
                <w:lang w:val="pt-PT"/>
              </w:rPr>
              <w:t>Este mercado atualmente é apenas hipotético. Se existir interesse no acesso a capacidade internacional os operadores devem procurar negociar as condições comerciais de boa fé. Apenas caso os operadores não cheguem a um acordo deve a ARN intervir.</w:t>
            </w:r>
          </w:p>
        </w:tc>
      </w:tr>
    </w:tbl>
    <w:p w14:paraId="1769B96F" w14:textId="36D29554" w:rsidR="000B705B" w:rsidRPr="002870AE" w:rsidRDefault="000B705B" w:rsidP="002870AE">
      <w:pPr>
        <w:pStyle w:val="Ttulo1"/>
        <w:jc w:val="both"/>
        <w:rPr>
          <w:rFonts w:ascii="Times New Roman" w:hAnsi="Times New Roman" w:cs="Times New Roman"/>
          <w:sz w:val="24"/>
          <w:szCs w:val="24"/>
          <w:lang w:val="pt-PT"/>
        </w:rPr>
      </w:pPr>
      <w:bookmarkStart w:id="31" w:name="_Toc52034814"/>
      <w:bookmarkEnd w:id="30"/>
      <w:r w:rsidRPr="002870AE">
        <w:rPr>
          <w:rFonts w:ascii="Times New Roman" w:hAnsi="Times New Roman" w:cs="Times New Roman"/>
          <w:sz w:val="24"/>
          <w:szCs w:val="24"/>
          <w:lang w:val="pt-PT"/>
        </w:rPr>
        <w:lastRenderedPageBreak/>
        <w:t>Avaliação do poder de mercado significativo em cada um dos mercados</w:t>
      </w:r>
      <w:bookmarkEnd w:id="31"/>
    </w:p>
    <w:p w14:paraId="3CEAA677" w14:textId="47DD7F39" w:rsidR="000B705B" w:rsidRPr="002870AE" w:rsidRDefault="000B705B" w:rsidP="002870AE">
      <w:pPr>
        <w:spacing w:line="288" w:lineRule="auto"/>
        <w:ind w:left="432"/>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 xml:space="preserve">A abordagem adotada para determinar a posição dominante em cada um dos mercados definidos na parte 2 </w:t>
      </w:r>
      <w:r w:rsidR="00F97654" w:rsidRPr="002870AE">
        <w:rPr>
          <w:rFonts w:ascii="Times New Roman" w:hAnsi="Times New Roman" w:cs="Times New Roman"/>
          <w:kern w:val="32"/>
          <w:sz w:val="24"/>
          <w:szCs w:val="24"/>
          <w:lang w:val="pt-PT"/>
        </w:rPr>
        <w:t xml:space="preserve">desta </w:t>
      </w:r>
      <w:r w:rsidR="00EB6E08" w:rsidRPr="002870AE">
        <w:rPr>
          <w:rFonts w:ascii="Times New Roman" w:hAnsi="Times New Roman" w:cs="Times New Roman"/>
          <w:kern w:val="32"/>
          <w:sz w:val="24"/>
          <w:szCs w:val="24"/>
          <w:lang w:val="pt-PT"/>
        </w:rPr>
        <w:t>Análise de Mercado,</w:t>
      </w:r>
      <w:r w:rsidR="00F97654" w:rsidRPr="002870AE">
        <w:rPr>
          <w:rFonts w:ascii="Times New Roman" w:hAnsi="Times New Roman" w:cs="Times New Roman"/>
          <w:kern w:val="32"/>
          <w:sz w:val="24"/>
          <w:szCs w:val="24"/>
          <w:lang w:val="pt-PT"/>
        </w:rPr>
        <w:t xml:space="preserve"> </w:t>
      </w:r>
      <w:r w:rsidRPr="002870AE">
        <w:rPr>
          <w:rFonts w:ascii="Times New Roman" w:hAnsi="Times New Roman" w:cs="Times New Roman"/>
          <w:kern w:val="32"/>
          <w:sz w:val="24"/>
          <w:szCs w:val="24"/>
          <w:lang w:val="pt-PT"/>
        </w:rPr>
        <w:t>é aplicar cada um dos critérios estabelecidos na Lei em vigor na Guiné Bissau nomeadamente o Artigo 73º da Lei Base e também o Decreto n.º 13/2010, no seu Artigo 18º que definem o que se entende por posição significativa no mercado, sinónimo de posição dominante:</w:t>
      </w:r>
    </w:p>
    <w:p w14:paraId="1A905778" w14:textId="77777777" w:rsidR="000B705B" w:rsidRPr="002870AE" w:rsidRDefault="000B705B" w:rsidP="002870AE">
      <w:pPr>
        <w:pStyle w:val="PargrafodaLista"/>
        <w:numPr>
          <w:ilvl w:val="0"/>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Quota de mercado: “presume-se que dispõem de uma posição significativa no mercado as empresas que detenham uma quota superior a 25% de um mercado de telecomunicações da área geográfica em que estão habilitadas a operar.”</w:t>
      </w:r>
    </w:p>
    <w:p w14:paraId="67CA6C02" w14:textId="77777777" w:rsidR="00AE0414" w:rsidRPr="002870AE" w:rsidRDefault="000B705B" w:rsidP="002870AE">
      <w:pPr>
        <w:pStyle w:val="PargrafodaLista"/>
        <w:numPr>
          <w:ilvl w:val="0"/>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bCs/>
          <w:kern w:val="32"/>
          <w:sz w:val="24"/>
          <w:szCs w:val="24"/>
          <w:lang w:val="pt-PT"/>
        </w:rPr>
        <w:t>Outros fatores relevantes que têm potencial para criar poder de mercado:</w:t>
      </w:r>
      <w:r w:rsidRPr="002870AE">
        <w:rPr>
          <w:rFonts w:ascii="Times New Roman" w:hAnsi="Times New Roman" w:cs="Times New Roman"/>
          <w:kern w:val="32"/>
          <w:sz w:val="24"/>
          <w:szCs w:val="24"/>
          <w:lang w:val="pt-PT"/>
        </w:rPr>
        <w:t xml:space="preserve"> Para avaliar o poder de mercado de determinada empresa, o número 3 do Artigo 18º, para além da quota de mercado, estabelece os seguintes critérios:</w:t>
      </w:r>
    </w:p>
    <w:p w14:paraId="21EDD174" w14:textId="77777777" w:rsidR="00AE0414" w:rsidRPr="002870AE" w:rsidRDefault="000B705B" w:rsidP="002870AE">
      <w:pPr>
        <w:pStyle w:val="PargrafodaLista"/>
        <w:numPr>
          <w:ilvl w:val="1"/>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Capacidade de influenciar as condições do mercado;</w:t>
      </w:r>
    </w:p>
    <w:p w14:paraId="30C0825F" w14:textId="77777777" w:rsidR="00AE0414" w:rsidRPr="002870AE" w:rsidRDefault="000B705B" w:rsidP="002870AE">
      <w:pPr>
        <w:pStyle w:val="PargrafodaLista"/>
        <w:numPr>
          <w:ilvl w:val="1"/>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Relação de grandeza entre o volume de vendas e a dimensão do mercado;</w:t>
      </w:r>
    </w:p>
    <w:p w14:paraId="4B72CCB5" w14:textId="77777777" w:rsidR="00AE0414" w:rsidRPr="002870AE" w:rsidRDefault="000B705B" w:rsidP="002870AE">
      <w:pPr>
        <w:pStyle w:val="PargrafodaLista"/>
        <w:numPr>
          <w:ilvl w:val="1"/>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Controlo dos meios de acesso aos utilizadores finais;</w:t>
      </w:r>
    </w:p>
    <w:p w14:paraId="4457861A" w14:textId="77777777" w:rsidR="00AE0414" w:rsidRPr="002870AE" w:rsidRDefault="000B705B" w:rsidP="002870AE">
      <w:pPr>
        <w:pStyle w:val="PargrafodaLista"/>
        <w:numPr>
          <w:ilvl w:val="1"/>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Capacidade de acesso a recursos financeiros;</w:t>
      </w:r>
    </w:p>
    <w:p w14:paraId="6FD0A0CA" w14:textId="05D12A7C" w:rsidR="000B705B" w:rsidRPr="002870AE" w:rsidRDefault="000B705B" w:rsidP="002870AE">
      <w:pPr>
        <w:pStyle w:val="PargrafodaLista"/>
        <w:numPr>
          <w:ilvl w:val="1"/>
          <w:numId w:val="24"/>
        </w:numPr>
        <w:spacing w:line="288" w:lineRule="auto"/>
        <w:jc w:val="both"/>
        <w:rPr>
          <w:rFonts w:ascii="Times New Roman" w:hAnsi="Times New Roman" w:cs="Times New Roman"/>
          <w:kern w:val="32"/>
          <w:sz w:val="24"/>
          <w:szCs w:val="24"/>
          <w:lang w:val="pt-PT"/>
        </w:rPr>
      </w:pPr>
      <w:r w:rsidRPr="002870AE">
        <w:rPr>
          <w:rFonts w:ascii="Times New Roman" w:hAnsi="Times New Roman" w:cs="Times New Roman"/>
          <w:kern w:val="32"/>
          <w:sz w:val="24"/>
          <w:szCs w:val="24"/>
          <w:lang w:val="pt-PT"/>
        </w:rPr>
        <w:t>Experiência em matéria de oferta de produtos e serviços no mercado.</w:t>
      </w:r>
    </w:p>
    <w:p w14:paraId="798BBB0B" w14:textId="77777777" w:rsidR="006C7F1E" w:rsidRPr="002870AE" w:rsidRDefault="00DE592A"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w:t>
      </w:r>
      <w:r w:rsidR="006C7F1E" w:rsidRPr="002870AE">
        <w:rPr>
          <w:rFonts w:ascii="Times New Roman" w:hAnsi="Times New Roman" w:cs="Times New Roman"/>
          <w:sz w:val="24"/>
          <w:szCs w:val="24"/>
          <w:lang w:val="pt-PT"/>
        </w:rPr>
        <w:t>número 2 do mesmo Artigo considera a possibilidade de dominância conjunta para além de situações de dominância individual:</w:t>
      </w:r>
    </w:p>
    <w:p w14:paraId="38F7B1AF" w14:textId="77777777" w:rsidR="00E87E80" w:rsidRPr="002870AE" w:rsidRDefault="006C7F1E"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 </w:t>
      </w:r>
      <w:r w:rsidR="00E87E80" w:rsidRPr="002870AE">
        <w:rPr>
          <w:rFonts w:ascii="Times New Roman" w:hAnsi="Times New Roman" w:cs="Times New Roman"/>
          <w:sz w:val="24"/>
          <w:szCs w:val="24"/>
          <w:lang w:val="pt-PT"/>
        </w:rPr>
        <w:t xml:space="preserve"> “Sem prejuízo do disposto no número anterior, considera-se que uma entidade individualmente considerada ou em conjunto com outras, goza de uma posição equivalente a uma posição dominante, quando esta lhe permita agir, em larga medida, independentemente dos concorrentes, dos clientes e dos utilizadores finais”. </w:t>
      </w:r>
    </w:p>
    <w:p w14:paraId="11685FF8" w14:textId="77777777" w:rsidR="00E87E80" w:rsidRPr="002870AE" w:rsidRDefault="00E87E80"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Quer isto dizer que não estando cumpridas as condições para a determinação de dominância individual há que considerar e analisar se existe num determinado mercado uma situação de uma posição dominante conjunta por parte de duas ou mais empresas.</w:t>
      </w:r>
    </w:p>
    <w:p w14:paraId="6C3654F4" w14:textId="77777777" w:rsidR="00E87E80" w:rsidRPr="002870AE" w:rsidRDefault="00E87E80"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Todavia o </w:t>
      </w:r>
      <w:r w:rsidRPr="002870AE">
        <w:rPr>
          <w:rFonts w:ascii="Times New Roman" w:hAnsi="Times New Roman" w:cs="Times New Roman"/>
          <w:kern w:val="32"/>
          <w:sz w:val="24"/>
          <w:szCs w:val="24"/>
          <w:lang w:val="pt-PT"/>
        </w:rPr>
        <w:t xml:space="preserve">Decreto n.º 13/2010 </w:t>
      </w:r>
      <w:r w:rsidRPr="002870AE">
        <w:rPr>
          <w:rFonts w:ascii="Times New Roman" w:hAnsi="Times New Roman" w:cs="Times New Roman"/>
          <w:sz w:val="24"/>
          <w:szCs w:val="24"/>
          <w:lang w:val="pt-PT"/>
        </w:rPr>
        <w:t xml:space="preserve">não estabelece quais os critérios a ter em conta numa análise sobre dominância conjunta. </w:t>
      </w:r>
    </w:p>
    <w:p w14:paraId="4B82CBC3" w14:textId="77777777" w:rsidR="00E87E80" w:rsidRPr="002870AE" w:rsidRDefault="00E87E80"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Uma posição dominante conjunta ocorre quando duas ou mais firmas têm uma posição coletiva de força num mercado, de forma que possam seguir uma política comum sem considerar particularmente as respostas de outras empresas ou de clientes e consumidores. Se a busca de uma política comum no mercado for o resultado de um acordo ou entendimento, isso é um comportamento colusivo ilegal e pode sofrer sanções regulatórias. Se a busca de uma política comum é o resultado de um comportamento paralelo consciente, sem um acordo explícito entre as partes, pode ser considerado um caso de dominância conjunta. São, portanto, situações distintas.</w:t>
      </w:r>
    </w:p>
    <w:p w14:paraId="26E79561" w14:textId="5FFDF2C9" w:rsidR="00E87E80" w:rsidRPr="002870AE" w:rsidRDefault="00E87E80"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Caso as circunstâncias originem uma estrutura de mercado com um alto risco de dominância conjunta (por exemplo apenas dois ou três intervenientes com elevadas quotas de mercado, como é o caso na Guiné Bissau) e não existindo concorrência efetiva, mas também não seja evidente a dominância individual, a dominância conjunta deve ser também considerada e analisada para intervenção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ou não, do regulador</w:t>
      </w:r>
      <w:r w:rsidR="00294C3E" w:rsidRPr="002870AE">
        <w:rPr>
          <w:rFonts w:ascii="Times New Roman" w:hAnsi="Times New Roman" w:cs="Times New Roman"/>
          <w:sz w:val="24"/>
          <w:szCs w:val="24"/>
          <w:lang w:val="pt-PT"/>
        </w:rPr>
        <w:t>.</w:t>
      </w:r>
    </w:p>
    <w:p w14:paraId="42A123DA" w14:textId="6176517D" w:rsidR="00294C3E" w:rsidRPr="002870AE" w:rsidRDefault="00200BF1" w:rsidP="002870AE">
      <w:pPr>
        <w:pStyle w:val="Ttulo2"/>
        <w:ind w:left="709" w:hanging="709"/>
        <w:jc w:val="both"/>
        <w:rPr>
          <w:rFonts w:ascii="Times New Roman" w:hAnsi="Times New Roman" w:cs="Times New Roman"/>
          <w:lang w:val="pt-PT"/>
        </w:rPr>
      </w:pPr>
      <w:bookmarkStart w:id="32" w:name="_Toc52034815"/>
      <w:r w:rsidRPr="002870AE">
        <w:rPr>
          <w:rFonts w:ascii="Times New Roman" w:hAnsi="Times New Roman" w:cs="Times New Roman"/>
          <w:lang w:val="pt-PT"/>
        </w:rPr>
        <w:lastRenderedPageBreak/>
        <w:t>Mercados retalhistas</w:t>
      </w:r>
      <w:bookmarkEnd w:id="32"/>
    </w:p>
    <w:p w14:paraId="40DCB531" w14:textId="77777777" w:rsidR="00200BF1" w:rsidRPr="002870AE" w:rsidRDefault="00200BF1" w:rsidP="00C32669">
      <w:pPr>
        <w:spacing w:after="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Atualmente, na Guiné Bissau, existem dois operadores em atividade baseados em infraestrutura própria e não existem revendedores móveis operacionais. Um dos operadores móveis históricos suspendeu a sua atividade no mercado. Com apenas dois operadores, o mercado possui uma elevada concentração. Em dezembro de 2019 as quotas de mercado dos operadores, com base no total de proveitos ou no número total de assinantes, eram da mesma ordem de grandeza. Os dados sugerem, portanto, que, globalmente, a Orange e MTN são aproximadas em termos da sua importância na Guiné Bissau:</w:t>
      </w:r>
    </w:p>
    <w:p w14:paraId="5D165372" w14:textId="132117FB" w:rsidR="00200BF1" w:rsidRPr="002870AE" w:rsidRDefault="00200BF1" w:rsidP="00C32669">
      <w:pPr>
        <w:spacing w:after="0"/>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4BB44A29" wp14:editId="5E8DE321">
            <wp:extent cx="4942800" cy="5940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2800" cy="594000"/>
                    </a:xfrm>
                    <a:prstGeom prst="rect">
                      <a:avLst/>
                    </a:prstGeom>
                    <a:noFill/>
                    <a:ln>
                      <a:noFill/>
                    </a:ln>
                  </pic:spPr>
                </pic:pic>
              </a:graphicData>
            </a:graphic>
          </wp:inline>
        </w:drawing>
      </w:r>
    </w:p>
    <w:p w14:paraId="77A1BD6A" w14:textId="4F23A02E" w:rsidR="00200BF1" w:rsidRPr="002870AE" w:rsidRDefault="00200BF1" w:rsidP="00C32669">
      <w:pPr>
        <w:spacing w:after="0"/>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Fonte: ARN</w:t>
      </w:r>
    </w:p>
    <w:p w14:paraId="64A35444"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Contudo, em termos de proveitos existe uma tendência para o crescimento da quota de mercado da Orange que se tornou líder em 2013 e após um período de relativa estabilidade se acentuou a partir de 2018. Em termos de assinantes as quotas de mercado dos dois operadores têm-se mantido estáveis nos últimos 6 anos e sem grandes flutuações. </w:t>
      </w:r>
    </w:p>
    <w:p w14:paraId="27C687EC" w14:textId="7731F85A"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termos de assinantes a MTN é líder de mercado, mantendo uma quota de mercado que oscila entre 53 e 55%. De qualquer forma são valores da mesma ordem de grandeza. A tabela seguinte mostra a evolução das quotas de mercado por número de assinantes a partir de 2014:</w:t>
      </w:r>
    </w:p>
    <w:p w14:paraId="27002E3C" w14:textId="53117AE6"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044F59D6" wp14:editId="733608FB">
            <wp:extent cx="3560400" cy="676800"/>
            <wp:effectExtent l="0" t="0" r="254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0400" cy="676800"/>
                    </a:xfrm>
                    <a:prstGeom prst="rect">
                      <a:avLst/>
                    </a:prstGeom>
                    <a:noFill/>
                    <a:ln>
                      <a:noFill/>
                    </a:ln>
                  </pic:spPr>
                </pic:pic>
              </a:graphicData>
            </a:graphic>
          </wp:inline>
        </w:drawing>
      </w:r>
    </w:p>
    <w:p w14:paraId="60A49A1A" w14:textId="160E0C7D"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Fonte: ARN</w:t>
      </w:r>
    </w:p>
    <w:p w14:paraId="407D95E4"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As quotas de mercado dos operadores em cada um dos mercados, se excetuarmos o mercado 2, são significativamente superiores a 25% e, portanto, a presunção de PSM pode aplicar-se a cada um dos operadores e não apenas a cada um deles individualmente.</w:t>
      </w:r>
    </w:p>
    <w:p w14:paraId="2CEC2239" w14:textId="0BF4BCB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elevado nível de concentração em cada um dos mercados retalhistas, cada um com apenas dois operadores, levanta sem dúvida questões de poder significativo de mercado. Como resultado da análise podem existir apenas três resultados possíveis para cada mercado:</w:t>
      </w:r>
    </w:p>
    <w:p w14:paraId="79E9A8BD" w14:textId="77777777" w:rsidR="00200BF1" w:rsidRPr="002870AE" w:rsidRDefault="00200BF1" w:rsidP="002870AE">
      <w:pPr>
        <w:pStyle w:val="PargrafodaLista"/>
        <w:numPr>
          <w:ilvl w:val="0"/>
          <w:numId w:val="2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 operador é individualmente dominante</w:t>
      </w:r>
    </w:p>
    <w:p w14:paraId="13FB582B" w14:textId="77777777" w:rsidR="00200BF1" w:rsidRPr="002870AE" w:rsidRDefault="00200BF1" w:rsidP="002870AE">
      <w:pPr>
        <w:pStyle w:val="PargrafodaLista"/>
        <w:numPr>
          <w:ilvl w:val="0"/>
          <w:numId w:val="2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Os dois operadores juntos desfrutam de domínio conjunto </w:t>
      </w:r>
    </w:p>
    <w:p w14:paraId="2C7226B0" w14:textId="77777777" w:rsidR="00200BF1" w:rsidRPr="002870AE" w:rsidRDefault="00200BF1" w:rsidP="002870AE">
      <w:pPr>
        <w:pStyle w:val="PargrafodaLista"/>
        <w:numPr>
          <w:ilvl w:val="0"/>
          <w:numId w:val="2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mercado é efetivamente competitivo, nenhum dos operadores detém PSM</w:t>
      </w:r>
    </w:p>
    <w:p w14:paraId="32430934" w14:textId="46F87998"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As possibilidades de encontrar dominância individual ou conjunta em cada um dos mercados retalhistas são seguidamente analisadas. Para além das quotas de mercado, e conforme já anteriormente referido, os outros fatores relevantes que têm potencial para criar poder de mercado individual, conforme a Lei na Guiné Bissau estabelece, são os seguintes:</w:t>
      </w:r>
    </w:p>
    <w:p w14:paraId="50C4CC82" w14:textId="77777777" w:rsidR="00200BF1" w:rsidRPr="002870AE" w:rsidRDefault="00200BF1" w:rsidP="002870AE">
      <w:pPr>
        <w:pStyle w:val="PargrafodaLista"/>
        <w:numPr>
          <w:ilvl w:val="0"/>
          <w:numId w:val="2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Capacidade de influenciar as condições do mercado;</w:t>
      </w:r>
    </w:p>
    <w:p w14:paraId="28E66F0B" w14:textId="77777777" w:rsidR="00200BF1" w:rsidRPr="002870AE" w:rsidRDefault="00200BF1" w:rsidP="002870AE">
      <w:pPr>
        <w:pStyle w:val="PargrafodaLista"/>
        <w:numPr>
          <w:ilvl w:val="0"/>
          <w:numId w:val="2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Relação de grandeza entre o volume de vendas e a dimensão do mercado;</w:t>
      </w:r>
    </w:p>
    <w:p w14:paraId="2B3ECE57" w14:textId="77777777" w:rsidR="00200BF1" w:rsidRPr="002870AE" w:rsidRDefault="00200BF1" w:rsidP="002870AE">
      <w:pPr>
        <w:pStyle w:val="PargrafodaLista"/>
        <w:numPr>
          <w:ilvl w:val="0"/>
          <w:numId w:val="2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Controlo dos meios de acesso aos utilizadores finais;</w:t>
      </w:r>
    </w:p>
    <w:p w14:paraId="237EB52D" w14:textId="77777777" w:rsidR="00200BF1" w:rsidRPr="002870AE" w:rsidRDefault="00200BF1" w:rsidP="002870AE">
      <w:pPr>
        <w:pStyle w:val="PargrafodaLista"/>
        <w:numPr>
          <w:ilvl w:val="0"/>
          <w:numId w:val="2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Capacidade de acesso a recursos financeiros;</w:t>
      </w:r>
    </w:p>
    <w:p w14:paraId="4EF94375" w14:textId="77777777" w:rsidR="00200BF1" w:rsidRPr="002870AE" w:rsidRDefault="00200BF1" w:rsidP="002870AE">
      <w:pPr>
        <w:pStyle w:val="PargrafodaLista"/>
        <w:numPr>
          <w:ilvl w:val="0"/>
          <w:numId w:val="2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Experiência em matéria de oferta de produtos e serviços no mercado.</w:t>
      </w:r>
    </w:p>
    <w:p w14:paraId="4B9DBD9D"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Muitos dos fatores indicativos de dominância de forma individual estão certamente ausentes no mercado móvel da Guiné Bissau. Em particular, a MTN tem poucas vantagens competitivas sobre a Orange, do tipo que lhe permitiria agir "de maneira considerável, independentemente dos seus ... concorrentes". O inverso também é verdade. Nos parágrafos seguintes analisa-se mais especificamente cada um destes fatores.</w:t>
      </w:r>
    </w:p>
    <w:p w14:paraId="7D800F44"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Ambos os operadores são empresas multinacionais, de grande dimensão e que operam em muitos países do continente Africano e no Médio Oriente. Isto quer dizer que tanto a MTN quanto a Orange, são subsidiárias de empresas muito maiores.  A MTN, que em 2019 comemora 25 anos no negócio, de início com uma única operação na África do Sul desde 1994, conta hoje com presença em 21 países na África e no Médio Oriente, oferecendo uma ampla variedade de serviços de voz, dados, serviços financeiros, serviços empresariais e grossistas, com cerca de 251 milhões de assinantes.</w:t>
      </w:r>
    </w:p>
    <w:p w14:paraId="34D69EBD"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Orange, anteriormente France </w:t>
      </w:r>
      <w:proofErr w:type="spellStart"/>
      <w:r w:rsidRPr="002870AE">
        <w:rPr>
          <w:rFonts w:ascii="Times New Roman" w:hAnsi="Times New Roman" w:cs="Times New Roman"/>
          <w:sz w:val="24"/>
          <w:szCs w:val="24"/>
          <w:lang w:val="pt-PT"/>
        </w:rPr>
        <w:t>Télecom</w:t>
      </w:r>
      <w:proofErr w:type="spellEnd"/>
      <w:r w:rsidRPr="002870AE">
        <w:rPr>
          <w:rFonts w:ascii="Times New Roman" w:hAnsi="Times New Roman" w:cs="Times New Roman"/>
          <w:sz w:val="24"/>
          <w:szCs w:val="24"/>
          <w:lang w:val="pt-PT"/>
        </w:rPr>
        <w:t xml:space="preserve">, é o operador histórico de telecomunicações em França. Com uma orientação geográfica fora da Europa virada para os mercados emergentes de África e do Médio Oriente, onde o Grupo detém uma presença histórica (nomeadamente nos Camarões, Costa do Marfim, Guiné, Jordânia, Mali e Senegal), esta estratégia continuou a ser implementada através da aquisição da </w:t>
      </w:r>
      <w:proofErr w:type="spellStart"/>
      <w:r w:rsidRPr="002870AE">
        <w:rPr>
          <w:rFonts w:ascii="Times New Roman" w:hAnsi="Times New Roman" w:cs="Times New Roman"/>
          <w:sz w:val="24"/>
          <w:szCs w:val="24"/>
          <w:lang w:val="pt-PT"/>
        </w:rPr>
        <w:t>Mobinil</w:t>
      </w:r>
      <w:proofErr w:type="spellEnd"/>
      <w:r w:rsidRPr="002870AE">
        <w:rPr>
          <w:rFonts w:ascii="Times New Roman" w:hAnsi="Times New Roman" w:cs="Times New Roman"/>
          <w:sz w:val="24"/>
          <w:szCs w:val="24"/>
          <w:lang w:val="pt-PT"/>
        </w:rPr>
        <w:t xml:space="preserve"> no Egipto (2010) e </w:t>
      </w:r>
      <w:proofErr w:type="spellStart"/>
      <w:r w:rsidRPr="002870AE">
        <w:rPr>
          <w:rFonts w:ascii="Times New Roman" w:hAnsi="Times New Roman" w:cs="Times New Roman"/>
          <w:sz w:val="24"/>
          <w:szCs w:val="24"/>
          <w:lang w:val="pt-PT"/>
        </w:rPr>
        <w:t>Méditel</w:t>
      </w:r>
      <w:proofErr w:type="spellEnd"/>
      <w:r w:rsidRPr="002870AE">
        <w:rPr>
          <w:rFonts w:ascii="Times New Roman" w:hAnsi="Times New Roman" w:cs="Times New Roman"/>
          <w:sz w:val="24"/>
          <w:szCs w:val="24"/>
          <w:lang w:val="pt-PT"/>
        </w:rPr>
        <w:t xml:space="preserve"> em Marrocos (2015) e por diversas aquisições de operadoras africanas (Libéria, Burkina Faso, na Serra Leoa e na República Democrática do Congo) (2016). Com um volume de negócios de 41 biliões de euros em 2018 a Orange servia 203,6 milhões de clientes através das suas redes móveis dos quais 59% em África e no Médio Oriente. Isto significa, pela sua dimensão e âmbito internacional, que ambos os participantes no mercado têm condições de acesso semelhantes ao mercado de capitais e a recursos financeiros. Ambos detém muita experiência em mercados africanos, muitos deles com características semelhantes às da Guiné Bissau.</w:t>
      </w:r>
    </w:p>
    <w:p w14:paraId="28947607"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Nenhuma das empresas possui vantagens tecnológicas óbvias, melhor diversificação de produtos ou redes de vendas e distribuição claramente superiores no território da Guiné Bissau.</w:t>
      </w:r>
    </w:p>
    <w:p w14:paraId="6280BB50"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Nenhuma das empresas possui uma clara vantagem sobre a outra em termos de economias de escala ou de âmbito: possuem números de assinantes da mesma ordem de grandeza e oferecem uma gama de serviços semelhante. Assim sendo a relação de grandeza entre o volume de proveitos e a dimensão do mercado não é muito diferente entre os operadores.</w:t>
      </w:r>
    </w:p>
    <w:p w14:paraId="7F9EE4EB" w14:textId="19C4A14E"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Ambas as redes são modernas e fornecem efetivamente o mesmo serviço com cobertura semelhante. O principal meio de concorrência no mercado parece ser o preço, sustentado pela imagem da marca através da publicidade. As ofertas tarifárias </w:t>
      </w:r>
      <w:r w:rsidR="00C3259F" w:rsidRPr="002870AE">
        <w:rPr>
          <w:rFonts w:ascii="Times New Roman" w:hAnsi="Times New Roman" w:cs="Times New Roman"/>
          <w:sz w:val="24"/>
          <w:szCs w:val="24"/>
          <w:lang w:val="pt-PT"/>
        </w:rPr>
        <w:t xml:space="preserve">padronizadas </w:t>
      </w:r>
      <w:r w:rsidRPr="002870AE">
        <w:rPr>
          <w:rFonts w:ascii="Times New Roman" w:hAnsi="Times New Roman" w:cs="Times New Roman"/>
          <w:sz w:val="24"/>
          <w:szCs w:val="24"/>
          <w:lang w:val="pt-PT"/>
        </w:rPr>
        <w:t xml:space="preserve">têm permanecido constantes, sugerindo que nenhuma das operadoras está procurando assumir uma função de liderança de preços com base nos níveis de preços padrão. Claramente, nos produtos voz e mensagens de texto, a estratégia de concorrência é sobretudo baseada nos preços por meio de ofertas especiais e promocionais direcionadas a segmentos específicos do mercado. Esta situação normalmente é típica de uma concorrência </w:t>
      </w:r>
      <w:proofErr w:type="spellStart"/>
      <w:r w:rsidRPr="002870AE">
        <w:rPr>
          <w:rFonts w:ascii="Times New Roman" w:hAnsi="Times New Roman" w:cs="Times New Roman"/>
          <w:sz w:val="24"/>
          <w:szCs w:val="24"/>
          <w:lang w:val="pt-PT"/>
        </w:rPr>
        <w:t>oligopolista</w:t>
      </w:r>
      <w:proofErr w:type="spellEnd"/>
      <w:r w:rsidRPr="002870AE">
        <w:rPr>
          <w:rFonts w:ascii="Times New Roman" w:hAnsi="Times New Roman" w:cs="Times New Roman"/>
          <w:sz w:val="24"/>
          <w:szCs w:val="24"/>
          <w:lang w:val="pt-PT"/>
        </w:rPr>
        <w:t xml:space="preserve"> de preços. O mesmo se aplica às ofertas de serviços de dados.</w:t>
      </w:r>
    </w:p>
    <w:p w14:paraId="0DC10B0D"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Ambos operadores móveis, MTN e Orange, são verticalmente integrados: operam as suas próprias redes e, portanto, têm presença no nível grossista, além de prestarem serviços no retalho. A integração vertical é uma fonte de vantagem significativa no mercado de serviços móveis de retalho da Guiné Bissau. Como já foi observado, há limites para o número de operadores com rede móvel própria separados e independentes que um mercado com a dimensão e o potencial de Guiné Bissau sustentará. </w:t>
      </w:r>
      <w:r w:rsidRPr="002870AE">
        <w:rPr>
          <w:rFonts w:ascii="Times New Roman" w:hAnsi="Times New Roman" w:cs="Times New Roman"/>
          <w:sz w:val="24"/>
          <w:szCs w:val="24"/>
          <w:lang w:val="pt-PT"/>
        </w:rPr>
        <w:lastRenderedPageBreak/>
        <w:t>Se o número de operadores que podem ser sustentados é de dois ou três (ou até mais) é, de certa forma, irrelevante, porque os potenciais entrantes analisam as limitações existentes e observam que existem dois participantes no mercado bem estabelecidos, com algumas vantagens em termos de economias de escala na sua operação. Nestas circunstâncias a posição dos operadores atuais com rede própria é muito forte e mesmo a entrada de um revendedor ou MVNO é condicionada, porque, de acordo com a atual regulação, eles têm o poder de controlar, por meio de negociação comercial, as condições de entrada dos seus concorrentes no segmento de retalho.</w:t>
      </w:r>
    </w:p>
    <w:p w14:paraId="41D1B8FB"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análise da evolução dos preços é um dos fatores determinantes e dos mais importantes para aferir o grau de concorrência nos mercados. Por exemplo níveis de preços elevados e sem orientação para os custos são de esperar num mercado que não seja efetivamente competitivo. Os proveitos são consequência das quantidades vendidas multiplicadas pelo preço. Um crescimento dos proveitos do setor ao longo dos anos pode significar três coisas: um aumento dos preços para o mesmo número de quantidades vendidas, a manutenção dos preços, mas um maior número de unidades vendidas ou ambos</w:t>
      </w:r>
      <w:r w:rsidRPr="002870AE">
        <w:rPr>
          <w:rStyle w:val="Refdenotaderodap"/>
          <w:rFonts w:ascii="Times New Roman" w:hAnsi="Times New Roman"/>
          <w:sz w:val="24"/>
          <w:szCs w:val="24"/>
          <w:lang w:val="pt-PT"/>
        </w:rPr>
        <w:footnoteReference w:id="22"/>
      </w:r>
      <w:r w:rsidRPr="002870AE">
        <w:rPr>
          <w:rFonts w:ascii="Times New Roman" w:hAnsi="Times New Roman" w:cs="Times New Roman"/>
          <w:sz w:val="24"/>
          <w:szCs w:val="24"/>
          <w:lang w:val="pt-PT"/>
        </w:rPr>
        <w:t>. Na Guiné Bissau os proveitos do setor cresceram acentuadamente a partir de 2007 com a entrada da Orange no mercado, conforme se pode observar no gráfico seguinte:</w:t>
      </w:r>
    </w:p>
    <w:p w14:paraId="25B2450F" w14:textId="77777777" w:rsidR="00200BF1" w:rsidRPr="002870AE" w:rsidRDefault="00200BF1" w:rsidP="002870AE">
      <w:pPr>
        <w:jc w:val="both"/>
        <w:rPr>
          <w:rFonts w:ascii="Times New Roman" w:hAnsi="Times New Roman" w:cs="Times New Roman"/>
          <w:sz w:val="24"/>
          <w:szCs w:val="24"/>
          <w:lang w:val="pt-PT"/>
        </w:rPr>
      </w:pPr>
    </w:p>
    <w:p w14:paraId="43101C0D"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7B0385C2" wp14:editId="78B64BD9">
            <wp:extent cx="5166995" cy="1708030"/>
            <wp:effectExtent l="0" t="0" r="0" b="698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6734" cy="1714555"/>
                    </a:xfrm>
                    <a:prstGeom prst="rect">
                      <a:avLst/>
                    </a:prstGeom>
                    <a:noFill/>
                    <a:ln>
                      <a:noFill/>
                    </a:ln>
                  </pic:spPr>
                </pic:pic>
              </a:graphicData>
            </a:graphic>
          </wp:inline>
        </w:drawing>
      </w:r>
    </w:p>
    <w:p w14:paraId="5C110320" w14:textId="77777777" w:rsidR="00200BF1" w:rsidRPr="002870AE" w:rsidRDefault="00200BF1" w:rsidP="002870AE">
      <w:pPr>
        <w:jc w:val="both"/>
        <w:rPr>
          <w:rFonts w:ascii="Times New Roman" w:hAnsi="Times New Roman" w:cs="Times New Roman"/>
          <w:sz w:val="24"/>
          <w:szCs w:val="24"/>
          <w:lang w:val="pt-PT"/>
        </w:rPr>
      </w:pPr>
    </w:p>
    <w:p w14:paraId="13B1CBC1"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Em 2013 a Orange ultrapassou a MTN em volume de proveitos e após um período de crescimento semelhante para ambas as empresas, em 2019 assistiu-se a uma divergência da evolução. Contudo, logo a </w:t>
      </w:r>
      <w:proofErr w:type="spellStart"/>
      <w:r w:rsidRPr="002870AE">
        <w:rPr>
          <w:rFonts w:ascii="Times New Roman" w:hAnsi="Times New Roman" w:cs="Times New Roman"/>
          <w:sz w:val="24"/>
          <w:szCs w:val="24"/>
          <w:lang w:val="pt-PT"/>
        </w:rPr>
        <w:t>a</w:t>
      </w:r>
      <w:proofErr w:type="spellEnd"/>
      <w:r w:rsidRPr="002870AE">
        <w:rPr>
          <w:rFonts w:ascii="Times New Roman" w:hAnsi="Times New Roman" w:cs="Times New Roman"/>
          <w:sz w:val="24"/>
          <w:szCs w:val="24"/>
          <w:lang w:val="pt-PT"/>
        </w:rPr>
        <w:t xml:space="preserve"> partir de 2008 é visível um decréscimo acentuado e contínuo das taxas de crescimento dos proveitos totais dos dois operadores, com variações negativas em 2012 e 2018. </w:t>
      </w:r>
    </w:p>
    <w:p w14:paraId="26E25886" w14:textId="77777777" w:rsidR="00200BF1" w:rsidRPr="002870AE" w:rsidRDefault="00200BF1" w:rsidP="002870AE">
      <w:pPr>
        <w:jc w:val="both"/>
        <w:rPr>
          <w:rFonts w:ascii="Times New Roman" w:hAnsi="Times New Roman" w:cs="Times New Roman"/>
          <w:sz w:val="24"/>
          <w:szCs w:val="24"/>
          <w:lang w:val="pt-PT"/>
        </w:rPr>
      </w:pPr>
    </w:p>
    <w:p w14:paraId="546AC300"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204F7023" wp14:editId="62D28D5A">
            <wp:extent cx="5400040" cy="1388853"/>
            <wp:effectExtent l="0" t="0" r="0" b="190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2998" cy="1397330"/>
                    </a:xfrm>
                    <a:prstGeom prst="rect">
                      <a:avLst/>
                    </a:prstGeom>
                    <a:noFill/>
                    <a:ln>
                      <a:noFill/>
                    </a:ln>
                  </pic:spPr>
                </pic:pic>
              </a:graphicData>
            </a:graphic>
          </wp:inline>
        </w:drawing>
      </w:r>
    </w:p>
    <w:p w14:paraId="71CEAC1F"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Os dados parecem sugerir, portanto, que o mercado se encontra relativamente estagnado e os operadores não têm sido capazes de o desenvolver em termos da sua extensão e/ou têm acentuado a </w:t>
      </w:r>
      <w:r w:rsidRPr="002870AE">
        <w:rPr>
          <w:rFonts w:ascii="Times New Roman" w:hAnsi="Times New Roman" w:cs="Times New Roman"/>
          <w:sz w:val="24"/>
          <w:szCs w:val="24"/>
          <w:lang w:val="pt-PT"/>
        </w:rPr>
        <w:lastRenderedPageBreak/>
        <w:t>sua concorrência com recurso à prática de preços mais baixos. Se considerarmos que os valores de proveitos incluem o imposto de valor acrescentado, que aumentou sucessivamente de 15 para 17 e depois para 19% nos últimos dois anos o crescimento real das receitas seria ainda menor.</w:t>
      </w:r>
    </w:p>
    <w:p w14:paraId="20AE2417"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 acordo com os dados fornecidos pelos operadores existiam na Guiné Bissau 1 378 864 assinantes ativos de serviços móveis em dezembro de 2019:</w:t>
      </w:r>
    </w:p>
    <w:p w14:paraId="6BB0E838"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2E29A842" wp14:editId="0F28C465">
            <wp:extent cx="4928400" cy="864000"/>
            <wp:effectExtent l="0" t="0" r="571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28400" cy="864000"/>
                    </a:xfrm>
                    <a:prstGeom prst="rect">
                      <a:avLst/>
                    </a:prstGeom>
                    <a:noFill/>
                    <a:ln>
                      <a:noFill/>
                    </a:ln>
                  </pic:spPr>
                </pic:pic>
              </a:graphicData>
            </a:graphic>
          </wp:inline>
        </w:drawing>
      </w:r>
    </w:p>
    <w:p w14:paraId="5EEA943E"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termos de evolução a taxa de crescimento do número total de assinantes tem sido modesta correspondendo a uma média anual de 4,8% entre 2013 e 2019. Algumas variações negativas da taxa de crescimento do número total de assinantes devem-se provavelmente à correção das bases de dados dos operadores em termos de clientes ativos. A penetração, medida como o número total de assinantes a dividir pela população total</w:t>
      </w:r>
      <w:r w:rsidRPr="002870AE">
        <w:rPr>
          <w:rStyle w:val="Refdenotaderodap"/>
          <w:rFonts w:ascii="Times New Roman" w:hAnsi="Times New Roman"/>
          <w:sz w:val="24"/>
          <w:szCs w:val="24"/>
          <w:lang w:val="pt-PT"/>
        </w:rPr>
        <w:footnoteReference w:id="23"/>
      </w:r>
      <w:r w:rsidRPr="002870AE">
        <w:rPr>
          <w:rFonts w:ascii="Times New Roman" w:hAnsi="Times New Roman" w:cs="Times New Roman"/>
          <w:sz w:val="24"/>
          <w:szCs w:val="24"/>
          <w:lang w:val="pt-PT"/>
        </w:rPr>
        <w:t>, também não apresenta um crescimento relevante encontrando-se no final de 2019 ao mesmo nível que em 2015:</w:t>
      </w:r>
    </w:p>
    <w:p w14:paraId="61C411D8"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2A03170E" wp14:editId="53984F0C">
            <wp:extent cx="4928400" cy="594000"/>
            <wp:effectExtent l="0" t="0" r="571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8400" cy="594000"/>
                    </a:xfrm>
                    <a:prstGeom prst="rect">
                      <a:avLst/>
                    </a:prstGeom>
                    <a:noFill/>
                    <a:ln>
                      <a:noFill/>
                    </a:ln>
                  </pic:spPr>
                </pic:pic>
              </a:graphicData>
            </a:graphic>
          </wp:inline>
        </w:drawing>
      </w:r>
    </w:p>
    <w:p w14:paraId="67E9249B"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comparação com os países da região inseridos na mesma zona económica</w:t>
      </w:r>
      <w:r w:rsidRPr="002870AE">
        <w:rPr>
          <w:rStyle w:val="Refdenotaderodap"/>
          <w:rFonts w:ascii="Times New Roman" w:hAnsi="Times New Roman"/>
          <w:sz w:val="24"/>
          <w:szCs w:val="24"/>
          <w:lang w:val="pt-PT"/>
        </w:rPr>
        <w:footnoteReference w:id="24"/>
      </w:r>
      <w:r w:rsidRPr="002870AE">
        <w:rPr>
          <w:rFonts w:ascii="Times New Roman" w:hAnsi="Times New Roman" w:cs="Times New Roman"/>
          <w:sz w:val="24"/>
          <w:szCs w:val="24"/>
          <w:lang w:val="pt-PT"/>
        </w:rPr>
        <w:t>, a Guiné Bissau apresentava em 2017 níveis de penetração</w:t>
      </w:r>
      <w:r w:rsidRPr="002870AE">
        <w:rPr>
          <w:rStyle w:val="Refdenotaderodap"/>
          <w:rFonts w:ascii="Times New Roman" w:hAnsi="Times New Roman"/>
          <w:sz w:val="24"/>
          <w:szCs w:val="24"/>
          <w:lang w:val="pt-PT"/>
        </w:rPr>
        <w:footnoteReference w:id="25"/>
      </w:r>
      <w:r w:rsidRPr="002870AE">
        <w:rPr>
          <w:rFonts w:ascii="Times New Roman" w:hAnsi="Times New Roman" w:cs="Times New Roman"/>
          <w:sz w:val="24"/>
          <w:szCs w:val="24"/>
          <w:lang w:val="pt-PT"/>
        </w:rPr>
        <w:t xml:space="preserve"> dos serviços móveis inferiores à maioria dos países embora muitos destes últimos possuam níveis de rendimento</w:t>
      </w:r>
      <w:r w:rsidRPr="002870AE">
        <w:rPr>
          <w:rStyle w:val="Refdenotaderodap"/>
          <w:rFonts w:ascii="Times New Roman" w:hAnsi="Times New Roman"/>
          <w:sz w:val="24"/>
          <w:szCs w:val="24"/>
          <w:lang w:val="pt-PT"/>
        </w:rPr>
        <w:footnoteReference w:id="26"/>
      </w:r>
      <w:r w:rsidRPr="002870AE">
        <w:rPr>
          <w:rFonts w:ascii="Times New Roman" w:hAnsi="Times New Roman" w:cs="Times New Roman"/>
          <w:sz w:val="24"/>
          <w:szCs w:val="24"/>
          <w:lang w:val="pt-PT"/>
        </w:rPr>
        <w:t xml:space="preserve"> mais elevados:</w:t>
      </w:r>
    </w:p>
    <w:p w14:paraId="64B2C0DF"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151D6CD5" wp14:editId="01A683FB">
            <wp:extent cx="2059200" cy="2667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9200" cy="2667600"/>
                    </a:xfrm>
                    <a:prstGeom prst="rect">
                      <a:avLst/>
                    </a:prstGeom>
                    <a:noFill/>
                    <a:ln>
                      <a:noFill/>
                    </a:ln>
                  </pic:spPr>
                </pic:pic>
              </a:graphicData>
            </a:graphic>
          </wp:inline>
        </w:drawing>
      </w:r>
    </w:p>
    <w:p w14:paraId="389E0BBF" w14:textId="77777777" w:rsidR="00200BF1" w:rsidRPr="002870AE" w:rsidRDefault="00200BF1" w:rsidP="002870AE">
      <w:pPr>
        <w:jc w:val="both"/>
        <w:rPr>
          <w:rFonts w:ascii="Times New Roman" w:hAnsi="Times New Roman" w:cs="Times New Roman"/>
          <w:sz w:val="24"/>
          <w:szCs w:val="24"/>
          <w:lang w:val="pt-PT"/>
        </w:rPr>
      </w:pPr>
    </w:p>
    <w:p w14:paraId="223564F9"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 xml:space="preserve">Todavia este fator pode não ser totalmente determinante, na medida em que existem países com maiores níveis de penetração móvel com rendimentos inferiores ou semelhantes aos da Guiné Bissau, casos da Serra Leoa, Burkina Faso e Togo. De salientar que em 2019, de acordo com os dados disponíveis, a penetração na Guiné Bissau descera para 70%. </w:t>
      </w:r>
    </w:p>
    <w:p w14:paraId="756F5BFA"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Não existem dados disponíveis para avaliar qual tem sido a evolução dos preços médios em cada um dos 4 mercados retalhistas para um número de anos razoável e que permita observar uma tendência inequívoca e não apenas o que podem constituir flutuações pontuais. Mas podemos analisar a evolução dos proveitos médios mensais</w:t>
      </w:r>
      <w:r w:rsidRPr="002870AE">
        <w:rPr>
          <w:rStyle w:val="Refdenotaderodap"/>
          <w:rFonts w:ascii="Times New Roman" w:hAnsi="Times New Roman"/>
          <w:sz w:val="24"/>
          <w:szCs w:val="24"/>
          <w:lang w:val="pt-PT"/>
        </w:rPr>
        <w:footnoteReference w:id="27"/>
      </w:r>
      <w:r w:rsidRPr="002870AE">
        <w:rPr>
          <w:rFonts w:ascii="Times New Roman" w:hAnsi="Times New Roman" w:cs="Times New Roman"/>
          <w:sz w:val="24"/>
          <w:szCs w:val="24"/>
          <w:lang w:val="pt-PT"/>
        </w:rPr>
        <w:t xml:space="preserve"> (FCFA) por assinante para cada um dos operadores entre 2012 e 2019. A tabela seguinte apresenta a comparação:</w:t>
      </w:r>
    </w:p>
    <w:p w14:paraId="4C287683" w14:textId="77777777" w:rsidR="00200BF1" w:rsidRPr="002870AE" w:rsidRDefault="00200BF1" w:rsidP="002870AE">
      <w:pPr>
        <w:jc w:val="both"/>
        <w:rPr>
          <w:rFonts w:ascii="Times New Roman" w:hAnsi="Times New Roman" w:cs="Times New Roman"/>
          <w:sz w:val="24"/>
          <w:szCs w:val="24"/>
          <w:lang w:val="pt-PT"/>
        </w:rPr>
      </w:pPr>
    </w:p>
    <w:p w14:paraId="4757609F"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noProof/>
          <w:sz w:val="24"/>
          <w:szCs w:val="24"/>
        </w:rPr>
        <w:drawing>
          <wp:inline distT="0" distB="0" distL="0" distR="0" wp14:anchorId="7CD79C44" wp14:editId="7447B215">
            <wp:extent cx="4321834" cy="1681990"/>
            <wp:effectExtent l="0" t="0" r="254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59013" cy="1696459"/>
                    </a:xfrm>
                    <a:prstGeom prst="rect">
                      <a:avLst/>
                    </a:prstGeom>
                    <a:noFill/>
                    <a:ln>
                      <a:noFill/>
                    </a:ln>
                  </pic:spPr>
                </pic:pic>
              </a:graphicData>
            </a:graphic>
          </wp:inline>
        </w:drawing>
      </w:r>
    </w:p>
    <w:p w14:paraId="7E229637" w14:textId="77777777" w:rsidR="00200BF1" w:rsidRPr="002870AE" w:rsidRDefault="00200BF1" w:rsidP="002870AE">
      <w:pPr>
        <w:jc w:val="both"/>
        <w:rPr>
          <w:rFonts w:ascii="Times New Roman" w:hAnsi="Times New Roman" w:cs="Times New Roman"/>
          <w:sz w:val="24"/>
          <w:szCs w:val="24"/>
          <w:lang w:val="pt-PT"/>
        </w:rPr>
      </w:pPr>
    </w:p>
    <w:p w14:paraId="0FE9AFBF" w14:textId="4F9E0772"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Enquanto que a MTN tem vindo a obter um valor médio de proveitos por assinante cada vez mais baixo, a Orange parece ser capaz de manter um valor médio relativamente constante em termos nominais ao longo dos últimos 7 anos e até um crescimento assinalável em 2019. Observa-se, portanto, um comportamento diferenciado da capacidade de cada operador em gerar proveitos. Se entre 2013 e 2017 parece existir uma estabilidade do crescimento de ambos os operadores em termos de proveitos que coincide com um maior nível de crescimento dos assinantes, a partir de 2017 o mercado parece estagnar e os proveitos divergem sendo que é no caso da MTN que se observa um maior decréscimo. Se por um lado parece existir a partir de 2017 um observável aumento da concorrência e pressão nos preços, esta é particularmente visível na MTN. </w:t>
      </w:r>
      <w:r w:rsidR="00C05612" w:rsidRPr="002870AE">
        <w:rPr>
          <w:rFonts w:ascii="Times New Roman" w:hAnsi="Times New Roman" w:cs="Times New Roman"/>
          <w:sz w:val="24"/>
          <w:szCs w:val="24"/>
          <w:lang w:val="pt-PT"/>
        </w:rPr>
        <w:t xml:space="preserve">É do conhecimento público que existiram no passado </w:t>
      </w:r>
      <w:r w:rsidRPr="002870AE">
        <w:rPr>
          <w:rFonts w:ascii="Times New Roman" w:hAnsi="Times New Roman" w:cs="Times New Roman"/>
          <w:sz w:val="24"/>
          <w:szCs w:val="24"/>
          <w:lang w:val="pt-PT"/>
        </w:rPr>
        <w:t xml:space="preserve">campanhas de voz ilimitadas para todos os clientes levadas a cabo </w:t>
      </w:r>
      <w:r w:rsidR="00C05612" w:rsidRPr="002870AE">
        <w:rPr>
          <w:rFonts w:ascii="Times New Roman" w:hAnsi="Times New Roman" w:cs="Times New Roman"/>
          <w:sz w:val="24"/>
          <w:szCs w:val="24"/>
          <w:lang w:val="pt-PT"/>
        </w:rPr>
        <w:t>pelos operadores no mercado da Guiné Bissau</w:t>
      </w:r>
      <w:r w:rsidRPr="002870AE">
        <w:rPr>
          <w:rFonts w:ascii="Times New Roman" w:hAnsi="Times New Roman" w:cs="Times New Roman"/>
          <w:sz w:val="24"/>
          <w:szCs w:val="24"/>
          <w:lang w:val="pt-PT"/>
        </w:rPr>
        <w:t>.</w:t>
      </w:r>
    </w:p>
    <w:p w14:paraId="1D150D84" w14:textId="4A05540B"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conclusão não nos parece razoável concluir, à luz das quotas de mercado em termos de proveitos e dos outros critérios analisados, que quer a MTN ou a Orange sejam dominantes de forma individual nestes mercados. Parece claro que nenhum dos dois operadores está em condições de agir neste</w:t>
      </w:r>
      <w:r w:rsidR="00E86ABB" w:rsidRPr="002870AE">
        <w:rPr>
          <w:rFonts w:ascii="Times New Roman" w:hAnsi="Times New Roman" w:cs="Times New Roman"/>
          <w:sz w:val="24"/>
          <w:szCs w:val="24"/>
          <w:lang w:val="pt-PT"/>
        </w:rPr>
        <w:t>s</w:t>
      </w:r>
      <w:r w:rsidRPr="002870AE">
        <w:rPr>
          <w:rFonts w:ascii="Times New Roman" w:hAnsi="Times New Roman" w:cs="Times New Roman"/>
          <w:sz w:val="24"/>
          <w:szCs w:val="24"/>
          <w:lang w:val="pt-PT"/>
        </w:rPr>
        <w:t xml:space="preserve"> mercado</w:t>
      </w:r>
      <w:r w:rsidR="00E86ABB" w:rsidRPr="002870AE">
        <w:rPr>
          <w:rFonts w:ascii="Times New Roman" w:hAnsi="Times New Roman" w:cs="Times New Roman"/>
          <w:sz w:val="24"/>
          <w:szCs w:val="24"/>
          <w:lang w:val="pt-PT"/>
        </w:rPr>
        <w:t>s retalhistas</w:t>
      </w:r>
      <w:r w:rsidRPr="002870AE">
        <w:rPr>
          <w:rFonts w:ascii="Times New Roman" w:hAnsi="Times New Roman" w:cs="Times New Roman"/>
          <w:sz w:val="24"/>
          <w:szCs w:val="24"/>
          <w:lang w:val="pt-PT"/>
        </w:rPr>
        <w:t xml:space="preserve"> para aumentar os preços ou reduzir serviços sem levar em conta o outro. Portanto, nenhum deles, no nosso entender, é capaz de perseguir políticas ou um curso de ação independente um do outro numa extensão apreciável, e isso é o requisito fundamental para concluir que existe um domínio individual num determinado mercado. No mercado 2, Serviços móveis de voz e mensagens de texto internacional apenas a Orange possui uma quota de mercado em termos de proveitos superior a 25%. Apenas neste mercado seria plausível considerar a Orange como detendo </w:t>
      </w:r>
      <w:r w:rsidRPr="002870AE">
        <w:rPr>
          <w:rFonts w:ascii="Times New Roman" w:hAnsi="Times New Roman" w:cs="Times New Roman"/>
          <w:sz w:val="24"/>
          <w:szCs w:val="24"/>
          <w:lang w:val="pt-PT"/>
        </w:rPr>
        <w:lastRenderedPageBreak/>
        <w:t xml:space="preserve">PSM uma vez que a MTN não cumpre o critério de quota de mercado mínima para se presumir dominância como definido na lei. </w:t>
      </w:r>
    </w:p>
    <w:p w14:paraId="04758F20"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Poder-se-ia argumentar que alguns dos critérios importantes que se esperaria encontrar num mercado efetivamente concorrencial ou substancialmente competitivo não são, de acordo com a análise efetuada, todos eles atendidos de forma satisfatória. Os critérios mais importantes não atendidos que comprovem a evidência de uma concorrência efetiva são:</w:t>
      </w:r>
    </w:p>
    <w:p w14:paraId="2D006F9E" w14:textId="77777777" w:rsidR="00200BF1" w:rsidRPr="002870AE" w:rsidRDefault="00200BF1" w:rsidP="002870AE">
      <w:pPr>
        <w:pStyle w:val="PargrafodaLista"/>
        <w:numPr>
          <w:ilvl w:val="0"/>
          <w:numId w:val="2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Facilidade de entrada efetiva nestes mercados por meio de novas operadoras de rede ou acordos de revenda/MVNO</w:t>
      </w:r>
    </w:p>
    <w:p w14:paraId="04C6D269" w14:textId="77777777" w:rsidR="00200BF1" w:rsidRPr="002870AE" w:rsidRDefault="00200BF1" w:rsidP="002870AE">
      <w:pPr>
        <w:pStyle w:val="PargrafodaLista"/>
        <w:numPr>
          <w:ilvl w:val="0"/>
          <w:numId w:val="28"/>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Falta de concorrência efetiva através de fatores não relacionados com o preço: qualidade de serviço, inovação da oferta ou atendimento ao cliente</w:t>
      </w:r>
    </w:p>
    <w:p w14:paraId="5A82C558"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 dos critérios importantes não atendidos refere-se à ausência atual e possibilidade no curto prazo (2 a 3 anos) de concorrentes capazes de oferecer uma forma de competição mais robusta e eficaz. Também não encontramos indícios neste mercado que mostrem uma concorrência efetiva com base noutros fatores que não o preço.</w:t>
      </w:r>
    </w:p>
    <w:p w14:paraId="65D9B631"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Pode-se especular se o mercado está tendendo numa direção de dominância individual por parte da Orange, mas não há evidências de que a dominância possa ser um resultado esperado ou inevitável no período desta Análise de Mercados</w:t>
      </w:r>
      <w:r w:rsidRPr="002870AE">
        <w:rPr>
          <w:rStyle w:val="Refdenotaderodap"/>
          <w:rFonts w:ascii="Times New Roman" w:hAnsi="Times New Roman"/>
          <w:sz w:val="24"/>
          <w:szCs w:val="24"/>
          <w:lang w:val="pt-PT"/>
        </w:rPr>
        <w:footnoteReference w:id="28"/>
      </w:r>
      <w:r w:rsidRPr="002870AE">
        <w:rPr>
          <w:rFonts w:ascii="Times New Roman" w:hAnsi="Times New Roman" w:cs="Times New Roman"/>
          <w:sz w:val="24"/>
          <w:szCs w:val="24"/>
          <w:lang w:val="pt-PT"/>
        </w:rPr>
        <w:t>.</w:t>
      </w:r>
    </w:p>
    <w:p w14:paraId="6C2F69A3" w14:textId="5C808642"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Quanto aos níveis de preços elevados e sem orientação para o custo, o que não seria de esperar num mercado competitivo e talvez o critério mais importante a ter em conta, parecem existir diferenças </w:t>
      </w:r>
      <w:r w:rsidR="00C05612" w:rsidRPr="002870AE">
        <w:rPr>
          <w:rFonts w:ascii="Times New Roman" w:hAnsi="Times New Roman" w:cs="Times New Roman"/>
          <w:sz w:val="24"/>
          <w:szCs w:val="24"/>
          <w:lang w:val="pt-PT"/>
        </w:rPr>
        <w:t xml:space="preserve">significativas </w:t>
      </w:r>
      <w:r w:rsidRPr="002870AE">
        <w:rPr>
          <w:rFonts w:ascii="Times New Roman" w:hAnsi="Times New Roman" w:cs="Times New Roman"/>
          <w:sz w:val="24"/>
          <w:szCs w:val="24"/>
          <w:lang w:val="pt-PT"/>
        </w:rPr>
        <w:t>entre os diferentes mercados de retalho.</w:t>
      </w:r>
    </w:p>
    <w:p w14:paraId="71F48B5F" w14:textId="11383B55"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resultado desta análise não se afigura necessário avaliar se existe domínio conjunto nestes mercados. Apenas se houvesse um impasse (nem domínio individual nem concorrência efetiva), seria necessário examinar se existiria domínio conjunto. A avaliação de domínio conjunto é, no entanto, um assunto complexo e a experiência internacional mostra de forma inequívoca que é extraordinariamente difícil de provar.</w:t>
      </w:r>
    </w:p>
    <w:p w14:paraId="4D93B0C6" w14:textId="77777777" w:rsidR="00200BF1" w:rsidRPr="002870AE" w:rsidRDefault="00200BF1"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Na tabela seguinte sintetizam-se as conclusões relativamente à determinação de PSM nos mercados de retalho considerados relevantes para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103"/>
      </w:tblGrid>
      <w:tr w:rsidR="00200BF1" w:rsidRPr="002870AE" w14:paraId="1D4C8A77" w14:textId="77777777" w:rsidTr="00D361A1">
        <w:tc>
          <w:tcPr>
            <w:tcW w:w="4423" w:type="dxa"/>
            <w:vAlign w:val="center"/>
          </w:tcPr>
          <w:p w14:paraId="35F1801C" w14:textId="77777777" w:rsidR="00200BF1" w:rsidRPr="002870AE" w:rsidRDefault="00200BF1" w:rsidP="00D361A1">
            <w:pPr>
              <w:jc w:val="center"/>
              <w:rPr>
                <w:rFonts w:ascii="Times New Roman" w:hAnsi="Times New Roman" w:cs="Times New Roman"/>
                <w:b/>
                <w:bCs/>
                <w:sz w:val="24"/>
                <w:szCs w:val="24"/>
                <w:lang w:val="en-AU"/>
              </w:rPr>
            </w:pPr>
            <w:r w:rsidRPr="002870AE">
              <w:rPr>
                <w:rFonts w:ascii="Times New Roman" w:hAnsi="Times New Roman" w:cs="Times New Roman"/>
                <w:b/>
                <w:bCs/>
                <w:sz w:val="24"/>
                <w:szCs w:val="24"/>
                <w:lang w:val="en-AU"/>
              </w:rPr>
              <w:t xml:space="preserve">Mercados </w:t>
            </w:r>
            <w:proofErr w:type="spellStart"/>
            <w:r w:rsidRPr="002870AE">
              <w:rPr>
                <w:rFonts w:ascii="Times New Roman" w:hAnsi="Times New Roman" w:cs="Times New Roman"/>
                <w:b/>
                <w:bCs/>
                <w:sz w:val="24"/>
                <w:szCs w:val="24"/>
                <w:lang w:val="en-AU"/>
              </w:rPr>
              <w:t>retalhistas</w:t>
            </w:r>
            <w:proofErr w:type="spellEnd"/>
          </w:p>
        </w:tc>
        <w:tc>
          <w:tcPr>
            <w:tcW w:w="5103" w:type="dxa"/>
            <w:vAlign w:val="center"/>
          </w:tcPr>
          <w:p w14:paraId="0CCC8665" w14:textId="77777777" w:rsidR="00200BF1" w:rsidRPr="002870AE" w:rsidRDefault="00200BF1" w:rsidP="00D361A1">
            <w:pPr>
              <w:jc w:val="center"/>
              <w:rPr>
                <w:rFonts w:ascii="Times New Roman" w:hAnsi="Times New Roman" w:cs="Times New Roman"/>
                <w:sz w:val="24"/>
                <w:szCs w:val="24"/>
                <w:lang w:val="en-AU"/>
              </w:rPr>
            </w:pPr>
            <w:proofErr w:type="spellStart"/>
            <w:r w:rsidRPr="002870AE">
              <w:rPr>
                <w:rFonts w:ascii="Times New Roman" w:hAnsi="Times New Roman" w:cs="Times New Roman"/>
                <w:b/>
                <w:sz w:val="24"/>
                <w:szCs w:val="24"/>
                <w:lang w:val="en-AU"/>
              </w:rPr>
              <w:t>Poder</w:t>
            </w:r>
            <w:proofErr w:type="spellEnd"/>
            <w:r w:rsidRPr="002870AE">
              <w:rPr>
                <w:rFonts w:ascii="Times New Roman" w:hAnsi="Times New Roman" w:cs="Times New Roman"/>
                <w:b/>
                <w:sz w:val="24"/>
                <w:szCs w:val="24"/>
                <w:lang w:val="en-AU"/>
              </w:rPr>
              <w:t xml:space="preserve"> </w:t>
            </w:r>
            <w:proofErr w:type="spellStart"/>
            <w:r w:rsidRPr="002870AE">
              <w:rPr>
                <w:rFonts w:ascii="Times New Roman" w:hAnsi="Times New Roman" w:cs="Times New Roman"/>
                <w:b/>
                <w:sz w:val="24"/>
                <w:szCs w:val="24"/>
                <w:lang w:val="en-AU"/>
              </w:rPr>
              <w:t>significativo</w:t>
            </w:r>
            <w:proofErr w:type="spellEnd"/>
            <w:r w:rsidRPr="002870AE">
              <w:rPr>
                <w:rFonts w:ascii="Times New Roman" w:hAnsi="Times New Roman" w:cs="Times New Roman"/>
                <w:b/>
                <w:sz w:val="24"/>
                <w:szCs w:val="24"/>
                <w:lang w:val="en-AU"/>
              </w:rPr>
              <w:t xml:space="preserve"> de mercado</w:t>
            </w:r>
          </w:p>
        </w:tc>
      </w:tr>
      <w:tr w:rsidR="00200BF1" w:rsidRPr="000A51F8" w14:paraId="3868B979" w14:textId="77777777" w:rsidTr="00D361A1">
        <w:tc>
          <w:tcPr>
            <w:tcW w:w="4423" w:type="dxa"/>
            <w:vAlign w:val="center"/>
          </w:tcPr>
          <w:p w14:paraId="1C68AC6F" w14:textId="2E11EC3E" w:rsidR="00200BF1" w:rsidRPr="00D361A1" w:rsidRDefault="00200BF1" w:rsidP="00D361A1">
            <w:pPr>
              <w:pStyle w:val="PargrafodaLista"/>
              <w:numPr>
                <w:ilvl w:val="0"/>
                <w:numId w:val="60"/>
              </w:numPr>
              <w:rPr>
                <w:rFonts w:ascii="Times New Roman" w:hAnsi="Times New Roman" w:cs="Times New Roman"/>
                <w:sz w:val="24"/>
                <w:szCs w:val="24"/>
                <w:lang w:val="pt-PT"/>
              </w:rPr>
            </w:pPr>
            <w:r w:rsidRPr="00D361A1">
              <w:rPr>
                <w:rFonts w:ascii="Times New Roman" w:hAnsi="Times New Roman" w:cs="Times New Roman"/>
                <w:sz w:val="24"/>
                <w:szCs w:val="24"/>
                <w:lang w:val="pt-PT"/>
              </w:rPr>
              <w:t>Acesso e serviços móveis de voz e mensagens de texto nacional</w:t>
            </w:r>
          </w:p>
        </w:tc>
        <w:tc>
          <w:tcPr>
            <w:tcW w:w="5103" w:type="dxa"/>
            <w:vAlign w:val="center"/>
          </w:tcPr>
          <w:p w14:paraId="76ABD073" w14:textId="77777777" w:rsidR="00200BF1" w:rsidRPr="002870AE" w:rsidRDefault="00200BF1" w:rsidP="00D361A1">
            <w:pPr>
              <w:rPr>
                <w:rFonts w:ascii="Times New Roman" w:hAnsi="Times New Roman" w:cs="Times New Roman"/>
                <w:sz w:val="24"/>
                <w:szCs w:val="24"/>
                <w:lang w:val="pt-PT"/>
              </w:rPr>
            </w:pPr>
            <w:r w:rsidRPr="002870AE">
              <w:rPr>
                <w:rFonts w:ascii="Times New Roman" w:hAnsi="Times New Roman" w:cs="Times New Roman"/>
                <w:sz w:val="24"/>
                <w:szCs w:val="24"/>
                <w:lang w:val="pt-PT"/>
              </w:rPr>
              <w:t>Cada operador detém uma quota de mercado superior a 25%, mas parece existir competição no mercado embora muito centrada no componente preço. Portanto cada um dos operadores não possui PSM nos serviços móveis de voz e mensagens de texto nacional uma vez que está constrangido pelo outro no estabelecimento dos preços que apresentam uma tendência decrescente.</w:t>
            </w:r>
          </w:p>
        </w:tc>
      </w:tr>
      <w:tr w:rsidR="00200BF1" w:rsidRPr="002870AE" w14:paraId="04D4ED6C" w14:textId="77777777" w:rsidTr="00D361A1">
        <w:tc>
          <w:tcPr>
            <w:tcW w:w="4423" w:type="dxa"/>
            <w:vAlign w:val="center"/>
          </w:tcPr>
          <w:p w14:paraId="24A02DCD" w14:textId="07ACF213" w:rsidR="00200BF1" w:rsidRPr="002870AE" w:rsidRDefault="00200BF1" w:rsidP="00D361A1">
            <w:pPr>
              <w:pStyle w:val="PargrafodaLista"/>
              <w:numPr>
                <w:ilvl w:val="0"/>
                <w:numId w:val="60"/>
              </w:numPr>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 xml:space="preserve">Serviços móveis de voz e mensagens de texto internacional </w:t>
            </w:r>
          </w:p>
        </w:tc>
        <w:tc>
          <w:tcPr>
            <w:tcW w:w="5103" w:type="dxa"/>
            <w:vAlign w:val="center"/>
          </w:tcPr>
          <w:p w14:paraId="3009D8F5" w14:textId="77777777" w:rsidR="00200BF1" w:rsidRPr="002870AE" w:rsidRDefault="00200BF1" w:rsidP="00D361A1">
            <w:pPr>
              <w:rPr>
                <w:rFonts w:ascii="Times New Roman" w:hAnsi="Times New Roman" w:cs="Times New Roman"/>
                <w:sz w:val="24"/>
                <w:szCs w:val="24"/>
                <w:lang w:val="pt-PT"/>
              </w:rPr>
            </w:pPr>
            <w:r w:rsidRPr="002870AE">
              <w:rPr>
                <w:rFonts w:ascii="Times New Roman" w:hAnsi="Times New Roman" w:cs="Times New Roman"/>
                <w:sz w:val="24"/>
                <w:szCs w:val="24"/>
                <w:lang w:val="pt-PT"/>
              </w:rPr>
              <w:t>Orange detém PSM.</w:t>
            </w:r>
          </w:p>
        </w:tc>
      </w:tr>
      <w:tr w:rsidR="00200BF1" w:rsidRPr="002870AE" w14:paraId="102C7DAF" w14:textId="77777777" w:rsidTr="00D361A1">
        <w:tc>
          <w:tcPr>
            <w:tcW w:w="4423" w:type="dxa"/>
            <w:vAlign w:val="center"/>
          </w:tcPr>
          <w:p w14:paraId="77A50779" w14:textId="3D494148" w:rsidR="00200BF1" w:rsidRPr="002870AE" w:rsidRDefault="00200BF1" w:rsidP="00D361A1">
            <w:pPr>
              <w:pStyle w:val="PargrafodaLista"/>
              <w:numPr>
                <w:ilvl w:val="0"/>
                <w:numId w:val="60"/>
              </w:numPr>
              <w:rPr>
                <w:rFonts w:ascii="Times New Roman" w:hAnsi="Times New Roman" w:cs="Times New Roman"/>
                <w:sz w:val="24"/>
                <w:szCs w:val="24"/>
                <w:lang w:val="pt-PT"/>
              </w:rPr>
            </w:pPr>
            <w:r w:rsidRPr="002870AE">
              <w:rPr>
                <w:rFonts w:ascii="Times New Roman" w:hAnsi="Times New Roman" w:cs="Times New Roman"/>
                <w:sz w:val="24"/>
                <w:szCs w:val="24"/>
                <w:lang w:val="pt-PT"/>
              </w:rPr>
              <w:t>Serviços móveis de acesso à internet</w:t>
            </w:r>
          </w:p>
        </w:tc>
        <w:tc>
          <w:tcPr>
            <w:tcW w:w="5103" w:type="dxa"/>
            <w:vAlign w:val="center"/>
          </w:tcPr>
          <w:p w14:paraId="111C927D" w14:textId="77777777" w:rsidR="00200BF1" w:rsidRPr="002870AE" w:rsidRDefault="00200BF1" w:rsidP="00D361A1">
            <w:pPr>
              <w:rPr>
                <w:rFonts w:ascii="Times New Roman" w:hAnsi="Times New Roman" w:cs="Times New Roman"/>
                <w:sz w:val="24"/>
                <w:szCs w:val="24"/>
                <w:lang w:val="pt-PT"/>
              </w:rPr>
            </w:pPr>
            <w:r w:rsidRPr="002870AE">
              <w:rPr>
                <w:rFonts w:ascii="Times New Roman" w:hAnsi="Times New Roman" w:cs="Times New Roman"/>
                <w:sz w:val="24"/>
                <w:szCs w:val="24"/>
                <w:lang w:val="pt-PT"/>
              </w:rPr>
              <w:t>É um mercado ainda emergente na Guiné Bissau e que pode evoluir no sentido de pacotes com voz e SMS no curto prazo. Nenhum dos operadores possui PSM.</w:t>
            </w:r>
          </w:p>
        </w:tc>
      </w:tr>
      <w:tr w:rsidR="00200BF1" w:rsidRPr="000A51F8" w14:paraId="7FA9FD02" w14:textId="77777777" w:rsidTr="00D361A1">
        <w:tc>
          <w:tcPr>
            <w:tcW w:w="4423" w:type="dxa"/>
            <w:vAlign w:val="center"/>
          </w:tcPr>
          <w:p w14:paraId="15DE65DD" w14:textId="4DD50982" w:rsidR="00200BF1" w:rsidRPr="002870AE" w:rsidRDefault="00200BF1" w:rsidP="00D361A1">
            <w:pPr>
              <w:pStyle w:val="PargrafodaLista"/>
              <w:numPr>
                <w:ilvl w:val="0"/>
                <w:numId w:val="60"/>
              </w:numPr>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Serviços de acesso à internet num local fixo </w:t>
            </w:r>
          </w:p>
        </w:tc>
        <w:tc>
          <w:tcPr>
            <w:tcW w:w="5103" w:type="dxa"/>
            <w:vAlign w:val="center"/>
          </w:tcPr>
          <w:p w14:paraId="0FF6871C" w14:textId="77777777" w:rsidR="00200BF1" w:rsidRPr="002870AE" w:rsidRDefault="00200BF1" w:rsidP="00D361A1">
            <w:pPr>
              <w:rPr>
                <w:rFonts w:ascii="Times New Roman" w:hAnsi="Times New Roman" w:cs="Times New Roman"/>
                <w:sz w:val="24"/>
                <w:szCs w:val="24"/>
                <w:lang w:val="pt-PT"/>
              </w:rPr>
            </w:pPr>
            <w:r w:rsidRPr="002870AE">
              <w:rPr>
                <w:rFonts w:ascii="Times New Roman" w:hAnsi="Times New Roman" w:cs="Times New Roman"/>
                <w:sz w:val="24"/>
                <w:szCs w:val="24"/>
                <w:lang w:val="pt-PT"/>
              </w:rPr>
              <w:t>É também ainda um mercado ainda emergente na Guiné Bissau. Nenhum dos operadores possui PSM. A ARN deve monitorizar a evolução deste mercado nomeadamente a prática de preços excessivos.</w:t>
            </w:r>
          </w:p>
        </w:tc>
      </w:tr>
    </w:tbl>
    <w:p w14:paraId="2C57E2B6" w14:textId="77777777" w:rsidR="00294C3E" w:rsidRPr="002870AE" w:rsidRDefault="00294C3E" w:rsidP="002870AE">
      <w:pPr>
        <w:jc w:val="both"/>
        <w:rPr>
          <w:rFonts w:ascii="Times New Roman" w:hAnsi="Times New Roman" w:cs="Times New Roman"/>
          <w:sz w:val="24"/>
          <w:szCs w:val="24"/>
          <w:lang w:val="pt-PT"/>
        </w:rPr>
      </w:pPr>
    </w:p>
    <w:p w14:paraId="7EF067A3" w14:textId="3EFB8847" w:rsidR="00646BE4" w:rsidRPr="002870AE" w:rsidRDefault="005D5557" w:rsidP="002870AE">
      <w:pPr>
        <w:pStyle w:val="Ttulo2"/>
        <w:ind w:left="709" w:hanging="709"/>
        <w:jc w:val="both"/>
        <w:rPr>
          <w:rFonts w:ascii="Times New Roman" w:hAnsi="Times New Roman" w:cs="Times New Roman"/>
          <w:lang w:val="pt-PT"/>
        </w:rPr>
      </w:pPr>
      <w:bookmarkStart w:id="33" w:name="_Toc52034816"/>
      <w:r w:rsidRPr="002870AE">
        <w:rPr>
          <w:rFonts w:ascii="Times New Roman" w:hAnsi="Times New Roman" w:cs="Times New Roman"/>
          <w:lang w:val="pt-PT"/>
        </w:rPr>
        <w:t>Mercados grossistas</w:t>
      </w:r>
      <w:bookmarkEnd w:id="33"/>
    </w:p>
    <w:p w14:paraId="52A7EB40" w14:textId="77777777" w:rsidR="00646BE4" w:rsidRPr="002870AE" w:rsidRDefault="00646BE4" w:rsidP="002870AE">
      <w:pPr>
        <w:jc w:val="both"/>
        <w:rPr>
          <w:rFonts w:ascii="Times New Roman" w:hAnsi="Times New Roman" w:cs="Times New Roman"/>
          <w:sz w:val="24"/>
          <w:szCs w:val="24"/>
          <w:lang w:val="pt-PT"/>
        </w:rPr>
      </w:pPr>
    </w:p>
    <w:p w14:paraId="03B28996" w14:textId="0A178242" w:rsidR="00646BE4" w:rsidRPr="002870AE" w:rsidRDefault="00646BE4"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 definição e identificação dos mercados de terminação de chamadas vocais em redes móveis individuais como suscetíveis de regulação </w:t>
      </w:r>
      <w:proofErr w:type="spellStart"/>
      <w:r w:rsidRPr="002870AE">
        <w:rPr>
          <w:rFonts w:ascii="Times New Roman" w:hAnsi="Times New Roman" w:cs="Times New Roman"/>
          <w:i/>
          <w:iCs/>
          <w:sz w:val="24"/>
          <w:szCs w:val="24"/>
          <w:lang w:val="pt-PT"/>
        </w:rPr>
        <w:t>ex-ante</w:t>
      </w:r>
      <w:proofErr w:type="spellEnd"/>
      <w:r w:rsidRPr="002870AE">
        <w:rPr>
          <w:rFonts w:ascii="Times New Roman" w:hAnsi="Times New Roman" w:cs="Times New Roman"/>
          <w:sz w:val="24"/>
          <w:szCs w:val="24"/>
          <w:lang w:val="pt-PT"/>
        </w:rPr>
        <w:t xml:space="preserve"> implica que apenas o operador de rede móvel detentor de uma determinada rede pode terminar chamadas na sua rede. Consequentemente, cada operador de rede móvel detém uma quota de mercado de 100%, quer em termos de tráfego quer em termos de proveitos, no mercado de terminação na sua própria rede. Isto significa que cada operador é, na prática, um monopolista na oferta do serviço grossista de terminação de chamadas vocais na sua rede. De acordo com a as melhores práticas, empresas com quotas de mercado muito elevadas</w:t>
      </w:r>
      <w:r w:rsidR="003A19A4" w:rsidRPr="002870AE">
        <w:rPr>
          <w:rFonts w:ascii="Times New Roman" w:hAnsi="Times New Roman" w:cs="Times New Roman"/>
          <w:sz w:val="24"/>
          <w:szCs w:val="24"/>
          <w:lang w:val="pt-PT"/>
        </w:rPr>
        <w:t xml:space="preserve"> (normalmente </w:t>
      </w:r>
      <w:r w:rsidRPr="002870AE">
        <w:rPr>
          <w:rFonts w:ascii="Times New Roman" w:hAnsi="Times New Roman" w:cs="Times New Roman"/>
          <w:sz w:val="24"/>
          <w:szCs w:val="24"/>
          <w:lang w:val="pt-PT"/>
        </w:rPr>
        <w:t>superiores a 50%</w:t>
      </w:r>
      <w:r w:rsidR="003A19A4" w:rsidRPr="002870AE">
        <w:rPr>
          <w:rFonts w:ascii="Times New Roman" w:hAnsi="Times New Roman" w:cs="Times New Roman"/>
          <w:sz w:val="24"/>
          <w:szCs w:val="24"/>
          <w:lang w:val="pt-PT"/>
        </w:rPr>
        <w:t>)</w:t>
      </w:r>
      <w:r w:rsidRPr="002870AE">
        <w:rPr>
          <w:rFonts w:ascii="Times New Roman" w:hAnsi="Times New Roman" w:cs="Times New Roman"/>
          <w:sz w:val="24"/>
          <w:szCs w:val="24"/>
          <w:lang w:val="pt-PT"/>
        </w:rPr>
        <w:t xml:space="preserve">, são consideradas dominantes, salvo em situações muito excecionais. Uma tal exceção ocorreria, segundo as referidas melhores práticas, se, apesar de cada operador de rede móvel ser monopolista no mercado de terminação de chamadas de voz na sua rede, o eventual poder de mercado de cada operador continuasse a depender do eventual contrapoder dos compradores, que tornaria não-compensador qualquer aumento de preços não transitório. </w:t>
      </w:r>
    </w:p>
    <w:p w14:paraId="19E037E2" w14:textId="542F99F7" w:rsidR="003A19A4" w:rsidRPr="002870AE" w:rsidRDefault="003A19A4"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Tendo em conta que a ARN ainda não dispõe de informação que lhe permita calcular os custos associados aos serviços de terminação nas redes individuais dos operadores de rede móvel, realizou um estudo comparativo dos preços de terminação em redes móveis individuais em diferentes jurisdições africanas. De acordo com a informação analisada, observa-se que a Guiné Bissau apresenta um preço de terminação de chamadas vocais em redes móveis muito elevado quando comparado com os restantes países.</w:t>
      </w:r>
    </w:p>
    <w:p w14:paraId="41327425" w14:textId="7E1D50AF" w:rsidR="003A19A4" w:rsidRPr="002870AE" w:rsidRDefault="00BE716E"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w:t>
      </w:r>
      <w:r w:rsidR="003A19A4" w:rsidRPr="002870AE">
        <w:rPr>
          <w:rFonts w:ascii="Times New Roman" w:hAnsi="Times New Roman" w:cs="Times New Roman"/>
          <w:sz w:val="24"/>
          <w:szCs w:val="24"/>
          <w:lang w:val="pt-PT"/>
        </w:rPr>
        <w:t xml:space="preserve"> geral</w:t>
      </w:r>
      <w:r w:rsidRPr="002870AE">
        <w:rPr>
          <w:rFonts w:ascii="Times New Roman" w:hAnsi="Times New Roman" w:cs="Times New Roman"/>
          <w:sz w:val="24"/>
          <w:szCs w:val="24"/>
          <w:lang w:val="pt-PT"/>
        </w:rPr>
        <w:t xml:space="preserve"> </w:t>
      </w:r>
      <w:r w:rsidR="003A19A4" w:rsidRPr="002870AE">
        <w:rPr>
          <w:rFonts w:ascii="Times New Roman" w:hAnsi="Times New Roman" w:cs="Times New Roman"/>
          <w:sz w:val="24"/>
          <w:szCs w:val="24"/>
          <w:lang w:val="pt-PT"/>
        </w:rPr>
        <w:t xml:space="preserve">não existem </w:t>
      </w:r>
      <w:r w:rsidR="00642755" w:rsidRPr="002870AE">
        <w:rPr>
          <w:rFonts w:ascii="Times New Roman" w:hAnsi="Times New Roman" w:cs="Times New Roman"/>
          <w:sz w:val="24"/>
          <w:szCs w:val="24"/>
          <w:lang w:val="pt-PT"/>
        </w:rPr>
        <w:t>consumidores individuais</w:t>
      </w:r>
      <w:r w:rsidR="003A19A4" w:rsidRPr="002870AE">
        <w:rPr>
          <w:rFonts w:ascii="Times New Roman" w:hAnsi="Times New Roman" w:cs="Times New Roman"/>
          <w:sz w:val="24"/>
          <w:szCs w:val="24"/>
          <w:lang w:val="pt-PT"/>
        </w:rPr>
        <w:t xml:space="preserve"> de serviços móveis </w:t>
      </w:r>
      <w:r w:rsidRPr="002870AE">
        <w:rPr>
          <w:rFonts w:ascii="Times New Roman" w:hAnsi="Times New Roman" w:cs="Times New Roman"/>
          <w:sz w:val="24"/>
          <w:szCs w:val="24"/>
          <w:lang w:val="pt-PT"/>
        </w:rPr>
        <w:t>no</w:t>
      </w:r>
      <w:r w:rsidR="003A19A4" w:rsidRPr="002870AE">
        <w:rPr>
          <w:rFonts w:ascii="Times New Roman" w:hAnsi="Times New Roman" w:cs="Times New Roman"/>
          <w:sz w:val="24"/>
          <w:szCs w:val="24"/>
          <w:lang w:val="pt-PT"/>
        </w:rPr>
        <w:t xml:space="preserve"> retalho com contrapoder suficiente para condicionarem os operadores de rede móvel aquando da definição dos </w:t>
      </w:r>
      <w:r w:rsidRPr="002870AE">
        <w:rPr>
          <w:rFonts w:ascii="Times New Roman" w:hAnsi="Times New Roman" w:cs="Times New Roman"/>
          <w:sz w:val="24"/>
          <w:szCs w:val="24"/>
          <w:lang w:val="pt-PT"/>
        </w:rPr>
        <w:t>seus</w:t>
      </w:r>
      <w:r w:rsidR="003A19A4" w:rsidRPr="002870AE">
        <w:rPr>
          <w:rFonts w:ascii="Times New Roman" w:hAnsi="Times New Roman" w:cs="Times New Roman"/>
          <w:sz w:val="24"/>
          <w:szCs w:val="24"/>
          <w:lang w:val="pt-PT"/>
        </w:rPr>
        <w:t xml:space="preserve"> preços de terminação de chamadas </w:t>
      </w:r>
      <w:r w:rsidRPr="002870AE">
        <w:rPr>
          <w:rFonts w:ascii="Times New Roman" w:hAnsi="Times New Roman" w:cs="Times New Roman"/>
          <w:sz w:val="24"/>
          <w:szCs w:val="24"/>
          <w:lang w:val="pt-PT"/>
        </w:rPr>
        <w:t>de voz</w:t>
      </w:r>
      <w:r w:rsidR="003A19A4" w:rsidRPr="002870AE">
        <w:rPr>
          <w:rFonts w:ascii="Times New Roman" w:hAnsi="Times New Roman" w:cs="Times New Roman"/>
          <w:sz w:val="24"/>
          <w:szCs w:val="24"/>
          <w:lang w:val="pt-PT"/>
        </w:rPr>
        <w:t>. Tal deve-se sobretudo à utilização do sistema baseado no princípio do chamador</w:t>
      </w:r>
      <w:r w:rsidRPr="002870AE">
        <w:rPr>
          <w:rFonts w:ascii="Times New Roman" w:hAnsi="Times New Roman" w:cs="Times New Roman"/>
          <w:sz w:val="24"/>
          <w:szCs w:val="24"/>
          <w:lang w:val="pt-PT"/>
        </w:rPr>
        <w:t>/</w:t>
      </w:r>
      <w:r w:rsidR="003A19A4" w:rsidRPr="002870AE">
        <w:rPr>
          <w:rFonts w:ascii="Times New Roman" w:hAnsi="Times New Roman" w:cs="Times New Roman"/>
          <w:sz w:val="24"/>
          <w:szCs w:val="24"/>
          <w:lang w:val="pt-PT"/>
        </w:rPr>
        <w:t>pagador.</w:t>
      </w:r>
    </w:p>
    <w:p w14:paraId="6F5BDC24" w14:textId="5F67F903" w:rsidR="00BE716E" w:rsidRPr="002870AE" w:rsidRDefault="00BE716E"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Não existindo rede fixa na Guiné Bissau resta considerar a interligação móvel. </w:t>
      </w:r>
      <w:r w:rsidR="00642755" w:rsidRPr="002870AE">
        <w:rPr>
          <w:rFonts w:ascii="Times New Roman" w:hAnsi="Times New Roman" w:cs="Times New Roman"/>
          <w:sz w:val="24"/>
          <w:szCs w:val="24"/>
          <w:lang w:val="pt-PT"/>
        </w:rPr>
        <w:t>Também n</w:t>
      </w:r>
      <w:r w:rsidRPr="002870AE">
        <w:rPr>
          <w:rFonts w:ascii="Times New Roman" w:hAnsi="Times New Roman" w:cs="Times New Roman"/>
          <w:sz w:val="24"/>
          <w:szCs w:val="24"/>
          <w:lang w:val="pt-PT"/>
        </w:rPr>
        <w:t xml:space="preserve">ão se </w:t>
      </w:r>
      <w:r w:rsidR="00642755" w:rsidRPr="002870AE">
        <w:rPr>
          <w:rFonts w:ascii="Times New Roman" w:hAnsi="Times New Roman" w:cs="Times New Roman"/>
          <w:sz w:val="24"/>
          <w:szCs w:val="24"/>
          <w:lang w:val="pt-PT"/>
        </w:rPr>
        <w:t xml:space="preserve">nos </w:t>
      </w:r>
      <w:r w:rsidRPr="002870AE">
        <w:rPr>
          <w:rFonts w:ascii="Times New Roman" w:hAnsi="Times New Roman" w:cs="Times New Roman"/>
          <w:sz w:val="24"/>
          <w:szCs w:val="24"/>
          <w:lang w:val="pt-PT"/>
        </w:rPr>
        <w:t xml:space="preserve">afigura claro que algum comprador dos serviços de terminação de chamadas vocais em redes móveis individuais tenha contrapoder suficiente para contrabalançar a posição monopolística dos operadores de rede móvel no fornecimento desses serviços e, desse modo, impedir os operadores de rede móvel </w:t>
      </w:r>
      <w:r w:rsidRPr="002870AE">
        <w:rPr>
          <w:rFonts w:ascii="Times New Roman" w:hAnsi="Times New Roman" w:cs="Times New Roman"/>
          <w:sz w:val="24"/>
          <w:szCs w:val="24"/>
          <w:lang w:val="pt-PT"/>
        </w:rPr>
        <w:lastRenderedPageBreak/>
        <w:t xml:space="preserve">de agirem independentemente dos concorrentes, dos clientes e dos consumidores, nomeadamente cobrando por esses serviços preços acima do nível concorrencial. </w:t>
      </w:r>
      <w:r w:rsidR="00642755" w:rsidRPr="002870AE">
        <w:rPr>
          <w:rFonts w:ascii="Times New Roman" w:hAnsi="Times New Roman" w:cs="Times New Roman"/>
          <w:sz w:val="24"/>
          <w:szCs w:val="24"/>
          <w:lang w:val="pt-PT"/>
        </w:rPr>
        <w:t xml:space="preserve">Os operadores têm em geral interesse em valores elevados de terminação e por esse </w:t>
      </w:r>
      <w:r w:rsidRPr="002870AE">
        <w:rPr>
          <w:rFonts w:ascii="Times New Roman" w:hAnsi="Times New Roman" w:cs="Times New Roman"/>
          <w:sz w:val="24"/>
          <w:szCs w:val="24"/>
          <w:lang w:val="pt-PT"/>
        </w:rPr>
        <w:t xml:space="preserve">facto </w:t>
      </w:r>
      <w:r w:rsidR="00642755" w:rsidRPr="002870AE">
        <w:rPr>
          <w:rFonts w:ascii="Times New Roman" w:hAnsi="Times New Roman" w:cs="Times New Roman"/>
          <w:sz w:val="24"/>
          <w:szCs w:val="24"/>
          <w:lang w:val="pt-PT"/>
        </w:rPr>
        <w:t xml:space="preserve">têm existido sempre </w:t>
      </w:r>
      <w:r w:rsidRPr="002870AE">
        <w:rPr>
          <w:rFonts w:ascii="Times New Roman" w:hAnsi="Times New Roman" w:cs="Times New Roman"/>
          <w:sz w:val="24"/>
          <w:szCs w:val="24"/>
          <w:lang w:val="pt-PT"/>
        </w:rPr>
        <w:t xml:space="preserve">as restrições regulatórias associadas aos serviços de terminação de chamadas </w:t>
      </w:r>
      <w:r w:rsidR="00642755" w:rsidRPr="002870AE">
        <w:rPr>
          <w:rFonts w:ascii="Times New Roman" w:hAnsi="Times New Roman" w:cs="Times New Roman"/>
          <w:sz w:val="24"/>
          <w:szCs w:val="24"/>
          <w:lang w:val="pt-PT"/>
        </w:rPr>
        <w:t>de voz</w:t>
      </w:r>
      <w:r w:rsidRPr="002870AE">
        <w:rPr>
          <w:rFonts w:ascii="Times New Roman" w:hAnsi="Times New Roman" w:cs="Times New Roman"/>
          <w:sz w:val="24"/>
          <w:szCs w:val="24"/>
          <w:lang w:val="pt-PT"/>
        </w:rPr>
        <w:t xml:space="preserve"> em redes móveis</w:t>
      </w:r>
      <w:r w:rsidR="00642755" w:rsidRPr="002870AE">
        <w:rPr>
          <w:rFonts w:ascii="Times New Roman" w:hAnsi="Times New Roman" w:cs="Times New Roman"/>
          <w:sz w:val="24"/>
          <w:szCs w:val="24"/>
          <w:lang w:val="pt-PT"/>
        </w:rPr>
        <w:t xml:space="preserve">. A realidade mostra também que além de se manterem em vigor desde o </w:t>
      </w:r>
      <w:proofErr w:type="spellStart"/>
      <w:r w:rsidR="00642755" w:rsidRPr="002870AE">
        <w:rPr>
          <w:rFonts w:ascii="Times New Roman" w:hAnsi="Times New Roman" w:cs="Times New Roman"/>
          <w:sz w:val="24"/>
          <w:szCs w:val="24"/>
          <w:lang w:val="pt-PT"/>
        </w:rPr>
        <w:t>ínicio</w:t>
      </w:r>
      <w:proofErr w:type="spellEnd"/>
      <w:r w:rsidR="00642755" w:rsidRPr="002870AE">
        <w:rPr>
          <w:rFonts w:ascii="Times New Roman" w:hAnsi="Times New Roman" w:cs="Times New Roman"/>
          <w:sz w:val="24"/>
          <w:szCs w:val="24"/>
          <w:lang w:val="pt-PT"/>
        </w:rPr>
        <w:t xml:space="preserve"> da regulação deste mercado os operadores mantiveram sempre como preço do serviço o valor máximo fixado pelo regulador</w:t>
      </w:r>
      <w:r w:rsidRPr="002870AE">
        <w:rPr>
          <w:rFonts w:ascii="Times New Roman" w:hAnsi="Times New Roman" w:cs="Times New Roman"/>
          <w:sz w:val="24"/>
          <w:szCs w:val="24"/>
          <w:lang w:val="pt-PT"/>
        </w:rPr>
        <w:t>.</w:t>
      </w:r>
      <w:r w:rsidR="008C3DC9" w:rsidRPr="002870AE">
        <w:rPr>
          <w:rFonts w:ascii="Times New Roman" w:hAnsi="Times New Roman" w:cs="Times New Roman"/>
          <w:sz w:val="24"/>
          <w:szCs w:val="24"/>
          <w:lang w:val="pt-PT"/>
        </w:rPr>
        <w:t xml:space="preserve"> Em conclusão a ARN considera que os dois operadores de redes móveis têm Poder de Mercado Significativo no fornecimento de serviços de terminação de chamadas vocais nas respetivas redes. A tabela seguinte sintetiza a avaliação de PSM nos mercados grossistas da Guiné Bissau.</w:t>
      </w:r>
    </w:p>
    <w:p w14:paraId="4589D7FB" w14:textId="77777777" w:rsidR="003A19A4" w:rsidRPr="002870AE" w:rsidRDefault="003A19A4" w:rsidP="002870AE">
      <w:pPr>
        <w:jc w:val="both"/>
        <w:rPr>
          <w:rFonts w:ascii="Times New Roman" w:hAnsi="Times New Roman" w:cs="Times New Roman"/>
          <w:sz w:val="24"/>
          <w:szCs w:val="24"/>
          <w:lang w:val="pt-PT"/>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670"/>
      </w:tblGrid>
      <w:tr w:rsidR="005D5557" w:rsidRPr="002870AE" w14:paraId="5D5C322C" w14:textId="77777777" w:rsidTr="00D361A1">
        <w:tc>
          <w:tcPr>
            <w:tcW w:w="3856" w:type="dxa"/>
          </w:tcPr>
          <w:p w14:paraId="2C52C1A2" w14:textId="77777777" w:rsidR="005D5557" w:rsidRPr="002870AE" w:rsidRDefault="005D5557" w:rsidP="002870AE">
            <w:pPr>
              <w:jc w:val="both"/>
              <w:rPr>
                <w:rFonts w:ascii="Times New Roman" w:hAnsi="Times New Roman" w:cs="Times New Roman"/>
                <w:b/>
                <w:bCs/>
                <w:sz w:val="24"/>
                <w:szCs w:val="24"/>
                <w:lang w:val="pt-PT"/>
              </w:rPr>
            </w:pPr>
            <w:bookmarkStart w:id="34" w:name="_Hlk36542291"/>
            <w:r w:rsidRPr="002870AE">
              <w:rPr>
                <w:rFonts w:ascii="Times New Roman" w:hAnsi="Times New Roman" w:cs="Times New Roman"/>
                <w:b/>
                <w:bCs/>
                <w:sz w:val="24"/>
                <w:szCs w:val="24"/>
                <w:lang w:val="pt-PT"/>
              </w:rPr>
              <w:t>Definição de mercados grossistas</w:t>
            </w:r>
          </w:p>
        </w:tc>
        <w:tc>
          <w:tcPr>
            <w:tcW w:w="5670" w:type="dxa"/>
          </w:tcPr>
          <w:p w14:paraId="7DDB33B9"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b/>
                <w:sz w:val="24"/>
                <w:szCs w:val="24"/>
                <w:lang w:val="pt-PT"/>
              </w:rPr>
              <w:t>Poder significativo de mercado</w:t>
            </w:r>
          </w:p>
        </w:tc>
      </w:tr>
      <w:tr w:rsidR="005D5557" w:rsidRPr="000A51F8" w14:paraId="397A6904" w14:textId="77777777" w:rsidTr="00D361A1">
        <w:tc>
          <w:tcPr>
            <w:tcW w:w="3856" w:type="dxa"/>
          </w:tcPr>
          <w:p w14:paraId="34FDA677"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5. Serviços de terminação em redes móveis</w:t>
            </w:r>
          </w:p>
        </w:tc>
        <w:tc>
          <w:tcPr>
            <w:tcW w:w="5670" w:type="dxa"/>
          </w:tcPr>
          <w:p w14:paraId="01E7ECF7"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Cada operador detém uma quota de 100% do tráfego de terminação na sua rede que constitui um mercado separado. Portanto cada um dos operadores possui PSM nos serviços de terminação nas suas redes.</w:t>
            </w:r>
          </w:p>
        </w:tc>
      </w:tr>
      <w:tr w:rsidR="005D5557" w:rsidRPr="000A51F8" w14:paraId="5329C05B" w14:textId="77777777" w:rsidTr="00D361A1">
        <w:tc>
          <w:tcPr>
            <w:tcW w:w="3856" w:type="dxa"/>
          </w:tcPr>
          <w:p w14:paraId="281B9B85"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6. Serviços de acesso e </w:t>
            </w:r>
            <w:proofErr w:type="spellStart"/>
            <w:r w:rsidRPr="002870AE">
              <w:rPr>
                <w:rFonts w:ascii="Times New Roman" w:hAnsi="Times New Roman" w:cs="Times New Roman"/>
                <w:sz w:val="24"/>
                <w:szCs w:val="24"/>
                <w:lang w:val="pt-PT"/>
              </w:rPr>
              <w:t>originação</w:t>
            </w:r>
            <w:proofErr w:type="spellEnd"/>
            <w:r w:rsidRPr="002870AE">
              <w:rPr>
                <w:rFonts w:ascii="Times New Roman" w:hAnsi="Times New Roman" w:cs="Times New Roman"/>
                <w:sz w:val="24"/>
                <w:szCs w:val="24"/>
                <w:lang w:val="pt-PT"/>
              </w:rPr>
              <w:t xml:space="preserve"> a redes móveis</w:t>
            </w:r>
          </w:p>
        </w:tc>
        <w:tc>
          <w:tcPr>
            <w:tcW w:w="5670" w:type="dxa"/>
          </w:tcPr>
          <w:p w14:paraId="4629F85C"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Poderia presumir-se poder significativo de mercado: considerando que a quota de mercado correspondente aos serviços de retalho é uma aproximação correta ambos os operadores possuem uma quota superior a 25%. No entanto este mercado não existe de momento na Guiné Bissau.</w:t>
            </w:r>
          </w:p>
        </w:tc>
      </w:tr>
      <w:tr w:rsidR="005D5557" w:rsidRPr="000A51F8" w14:paraId="6CC889B2" w14:textId="77777777" w:rsidTr="00D361A1">
        <w:tc>
          <w:tcPr>
            <w:tcW w:w="3856" w:type="dxa"/>
          </w:tcPr>
          <w:p w14:paraId="03C54239"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7. Serviços de aluguer de capacidade internacional</w:t>
            </w:r>
          </w:p>
        </w:tc>
        <w:tc>
          <w:tcPr>
            <w:tcW w:w="5670" w:type="dxa"/>
          </w:tcPr>
          <w:p w14:paraId="418A2C0B" w14:textId="77777777" w:rsidR="005D5557" w:rsidRPr="002870AE" w:rsidRDefault="005D5557"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Poderia presumir-se poder significativo de mercado: considerando que a quota de mercado correspondente aos serviços de retalho de acesso à internet e tráfego internacional de voz e mensagens de texto é uma aproximação correta, ambos os operadores possuem uma quota superior a 25%. No entanto este mercado não existe de momento na Guiné Bissau.</w:t>
            </w:r>
          </w:p>
        </w:tc>
      </w:tr>
      <w:bookmarkEnd w:id="34"/>
    </w:tbl>
    <w:p w14:paraId="13F88A6A" w14:textId="77777777" w:rsidR="008C3DC9" w:rsidRPr="002870AE" w:rsidRDefault="008C3DC9" w:rsidP="002870AE">
      <w:pPr>
        <w:jc w:val="both"/>
        <w:rPr>
          <w:rFonts w:ascii="Times New Roman" w:hAnsi="Times New Roman" w:cs="Times New Roman"/>
          <w:sz w:val="24"/>
          <w:szCs w:val="24"/>
          <w:highlight w:val="yellow"/>
          <w:lang w:val="pt-PT"/>
        </w:rPr>
      </w:pPr>
    </w:p>
    <w:p w14:paraId="4050FB7A" w14:textId="77777777" w:rsidR="00AC53D3" w:rsidRPr="002870AE" w:rsidRDefault="00AC53D3"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As obrigações apropriadas para cada um dos mercados serão consideradas e apresentadas no próximo capítulo. </w:t>
      </w:r>
    </w:p>
    <w:p w14:paraId="3E45FD1F" w14:textId="55707D6C" w:rsidR="00FE6382" w:rsidRPr="002870AE" w:rsidRDefault="00FE6382" w:rsidP="002870AE">
      <w:pPr>
        <w:pStyle w:val="Ttulo1"/>
        <w:jc w:val="both"/>
        <w:rPr>
          <w:rFonts w:ascii="Times New Roman" w:hAnsi="Times New Roman" w:cs="Times New Roman"/>
          <w:sz w:val="24"/>
          <w:szCs w:val="24"/>
          <w:lang w:val="pt-PT"/>
        </w:rPr>
      </w:pPr>
      <w:bookmarkStart w:id="35" w:name="_Toc47715049"/>
      <w:bookmarkStart w:id="36" w:name="_Toc52034817"/>
      <w:r w:rsidRPr="002870AE">
        <w:rPr>
          <w:rFonts w:ascii="Times New Roman" w:hAnsi="Times New Roman" w:cs="Times New Roman"/>
          <w:sz w:val="24"/>
          <w:szCs w:val="24"/>
          <w:lang w:val="pt-PT"/>
        </w:rPr>
        <w:lastRenderedPageBreak/>
        <w:t>obrigaçõe</w:t>
      </w:r>
      <w:r w:rsidR="00FF60F9" w:rsidRPr="002870AE">
        <w:rPr>
          <w:rFonts w:ascii="Times New Roman" w:hAnsi="Times New Roman" w:cs="Times New Roman"/>
          <w:sz w:val="24"/>
          <w:szCs w:val="24"/>
          <w:lang w:val="pt-PT"/>
        </w:rPr>
        <w:t>s</w:t>
      </w:r>
      <w:r w:rsidRPr="002870AE">
        <w:rPr>
          <w:rFonts w:ascii="Times New Roman" w:hAnsi="Times New Roman" w:cs="Times New Roman"/>
          <w:sz w:val="24"/>
          <w:szCs w:val="24"/>
          <w:lang w:val="pt-PT"/>
        </w:rPr>
        <w:t xml:space="preserve"> para poder significativo de mercado</w:t>
      </w:r>
      <w:bookmarkEnd w:id="35"/>
      <w:bookmarkEnd w:id="36"/>
    </w:p>
    <w:p w14:paraId="1E0C591E" w14:textId="77777777" w:rsidR="00FE6382" w:rsidRPr="002870AE" w:rsidRDefault="00FE6382" w:rsidP="002870AE">
      <w:pPr>
        <w:pStyle w:val="Ttulo2"/>
        <w:ind w:left="709" w:hanging="709"/>
        <w:jc w:val="both"/>
        <w:rPr>
          <w:rFonts w:ascii="Times New Roman" w:hAnsi="Times New Roman" w:cs="Times New Roman"/>
          <w:lang w:val="pt-PT"/>
        </w:rPr>
      </w:pPr>
      <w:bookmarkStart w:id="37" w:name="_Toc47715050"/>
      <w:bookmarkStart w:id="38" w:name="_Toc52034818"/>
      <w:r w:rsidRPr="002870AE">
        <w:rPr>
          <w:rFonts w:ascii="Times New Roman" w:hAnsi="Times New Roman" w:cs="Times New Roman"/>
          <w:lang w:val="pt-PT"/>
        </w:rPr>
        <w:t>Introdução</w:t>
      </w:r>
      <w:bookmarkEnd w:id="37"/>
      <w:bookmarkEnd w:id="38"/>
    </w:p>
    <w:p w14:paraId="5AC398FB"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O elemento final do processo de análise de mercado é a escolha de obrigações a impor aos operadores identificados como possuindo PSM. Numa abordagem baseada na análise de mercado, as obrigações devem ser dirigidas especificamente aos problemas de concorrência que provavelmente existiriam na ausência de regulação </w:t>
      </w:r>
      <w:proofErr w:type="spellStart"/>
      <w:r w:rsidRPr="002870AE">
        <w:rPr>
          <w:rFonts w:ascii="Times New Roman" w:hAnsi="Times New Roman" w:cs="Times New Roman"/>
          <w:i/>
          <w:iCs/>
          <w:color w:val="000000"/>
          <w:sz w:val="24"/>
          <w:szCs w:val="24"/>
          <w:lang w:val="pt-PT"/>
        </w:rPr>
        <w:t>ex</w:t>
      </w:r>
      <w:proofErr w:type="spellEnd"/>
      <w:r w:rsidRPr="002870AE">
        <w:rPr>
          <w:rFonts w:ascii="Times New Roman" w:hAnsi="Times New Roman" w:cs="Times New Roman"/>
          <w:i/>
          <w:iCs/>
          <w:color w:val="000000"/>
          <w:sz w:val="24"/>
          <w:szCs w:val="24"/>
          <w:lang w:val="pt-PT"/>
        </w:rPr>
        <w:t xml:space="preserve"> ante</w:t>
      </w:r>
      <w:r w:rsidRPr="002870AE">
        <w:rPr>
          <w:rFonts w:ascii="Times New Roman" w:hAnsi="Times New Roman" w:cs="Times New Roman"/>
          <w:color w:val="000000"/>
          <w:sz w:val="24"/>
          <w:szCs w:val="24"/>
          <w:lang w:val="pt-PT"/>
        </w:rPr>
        <w:t>. No caso de um mercado ser considerado como não sendo efetivamente concorrencial a ARN deverá escolher, de entre uma gama de obrigações regulamentares definidas na lei, quais melhor se adequam para resolver um ou vários dos problemas específicos em cada mercado.</w:t>
      </w:r>
    </w:p>
    <w:p w14:paraId="0F8EEB8F" w14:textId="25BF3B0C" w:rsidR="00FE6382" w:rsidRPr="002870AE" w:rsidRDefault="00F11D1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Nesta Consulta Pública,</w:t>
      </w:r>
      <w:r w:rsidR="00FE6382" w:rsidRPr="002870AE">
        <w:rPr>
          <w:rFonts w:ascii="Times New Roman" w:hAnsi="Times New Roman" w:cs="Times New Roman"/>
          <w:sz w:val="24"/>
          <w:szCs w:val="24"/>
          <w:lang w:val="pt-PT"/>
        </w:rPr>
        <w:t xml:space="preserve"> </w:t>
      </w:r>
      <w:r w:rsidRPr="002870AE">
        <w:rPr>
          <w:rFonts w:ascii="Times New Roman" w:hAnsi="Times New Roman" w:cs="Times New Roman"/>
          <w:sz w:val="24"/>
          <w:szCs w:val="24"/>
          <w:lang w:val="pt-PT"/>
        </w:rPr>
        <w:t>p</w:t>
      </w:r>
      <w:r w:rsidR="00FE6382" w:rsidRPr="002870AE">
        <w:rPr>
          <w:rFonts w:ascii="Times New Roman" w:hAnsi="Times New Roman" w:cs="Times New Roman"/>
          <w:sz w:val="24"/>
          <w:szCs w:val="24"/>
          <w:lang w:val="pt-PT"/>
        </w:rPr>
        <w:t>rimeiro, descreve</w:t>
      </w:r>
      <w:r w:rsidRPr="002870AE">
        <w:rPr>
          <w:rFonts w:ascii="Times New Roman" w:hAnsi="Times New Roman" w:cs="Times New Roman"/>
          <w:sz w:val="24"/>
          <w:szCs w:val="24"/>
          <w:lang w:val="pt-PT"/>
        </w:rPr>
        <w:t>m-se</w:t>
      </w:r>
      <w:r w:rsidR="00FE6382" w:rsidRPr="002870AE">
        <w:rPr>
          <w:rFonts w:ascii="Times New Roman" w:hAnsi="Times New Roman" w:cs="Times New Roman"/>
          <w:sz w:val="24"/>
          <w:szCs w:val="24"/>
          <w:lang w:val="pt-PT"/>
        </w:rPr>
        <w:t xml:space="preserve"> os possíveis problemas de concorrência que </w:t>
      </w:r>
      <w:r w:rsidRPr="002870AE">
        <w:rPr>
          <w:rFonts w:ascii="Times New Roman" w:hAnsi="Times New Roman" w:cs="Times New Roman"/>
          <w:sz w:val="24"/>
          <w:szCs w:val="24"/>
          <w:lang w:val="pt-PT"/>
        </w:rPr>
        <w:t xml:space="preserve">podem </w:t>
      </w:r>
      <w:r w:rsidR="00FE6382" w:rsidRPr="002870AE">
        <w:rPr>
          <w:rFonts w:ascii="Times New Roman" w:hAnsi="Times New Roman" w:cs="Times New Roman"/>
          <w:sz w:val="24"/>
          <w:szCs w:val="24"/>
          <w:lang w:val="pt-PT"/>
        </w:rPr>
        <w:t>surg</w:t>
      </w:r>
      <w:r w:rsidRPr="002870AE">
        <w:rPr>
          <w:rFonts w:ascii="Times New Roman" w:hAnsi="Times New Roman" w:cs="Times New Roman"/>
          <w:sz w:val="24"/>
          <w:szCs w:val="24"/>
          <w:lang w:val="pt-PT"/>
        </w:rPr>
        <w:t>ir</w:t>
      </w:r>
      <w:r w:rsidR="00FE6382" w:rsidRPr="002870AE">
        <w:rPr>
          <w:rFonts w:ascii="Times New Roman" w:hAnsi="Times New Roman" w:cs="Times New Roman"/>
          <w:sz w:val="24"/>
          <w:szCs w:val="24"/>
          <w:lang w:val="pt-PT"/>
        </w:rPr>
        <w:t xml:space="preserve"> quando existe poder significativo de mercado. Descreve</w:t>
      </w:r>
      <w:r w:rsidRPr="002870AE">
        <w:rPr>
          <w:rFonts w:ascii="Times New Roman" w:hAnsi="Times New Roman" w:cs="Times New Roman"/>
          <w:sz w:val="24"/>
          <w:szCs w:val="24"/>
          <w:lang w:val="pt-PT"/>
        </w:rPr>
        <w:t>-se</w:t>
      </w:r>
      <w:r w:rsidR="00FE6382" w:rsidRPr="002870AE">
        <w:rPr>
          <w:rFonts w:ascii="Times New Roman" w:hAnsi="Times New Roman" w:cs="Times New Roman"/>
          <w:sz w:val="24"/>
          <w:szCs w:val="24"/>
          <w:lang w:val="pt-PT"/>
        </w:rPr>
        <w:t xml:space="preserve"> a natureza dos problemas, suas causas subjacentes e respetiva justificação económica. Também </w:t>
      </w:r>
      <w:r w:rsidRPr="002870AE">
        <w:rPr>
          <w:rFonts w:ascii="Times New Roman" w:hAnsi="Times New Roman" w:cs="Times New Roman"/>
          <w:sz w:val="24"/>
          <w:szCs w:val="24"/>
          <w:lang w:val="pt-PT"/>
        </w:rPr>
        <w:t xml:space="preserve">se </w:t>
      </w:r>
      <w:r w:rsidR="00FE6382" w:rsidRPr="002870AE">
        <w:rPr>
          <w:rFonts w:ascii="Times New Roman" w:hAnsi="Times New Roman" w:cs="Times New Roman"/>
          <w:sz w:val="24"/>
          <w:szCs w:val="24"/>
          <w:lang w:val="pt-PT"/>
        </w:rPr>
        <w:t>descreve</w:t>
      </w:r>
      <w:r w:rsidRPr="002870AE">
        <w:rPr>
          <w:rFonts w:ascii="Times New Roman" w:hAnsi="Times New Roman" w:cs="Times New Roman"/>
          <w:sz w:val="24"/>
          <w:szCs w:val="24"/>
          <w:lang w:val="pt-PT"/>
        </w:rPr>
        <w:t>m</w:t>
      </w:r>
      <w:r w:rsidR="00FE6382" w:rsidRPr="002870AE">
        <w:rPr>
          <w:rFonts w:ascii="Times New Roman" w:hAnsi="Times New Roman" w:cs="Times New Roman"/>
          <w:sz w:val="24"/>
          <w:szCs w:val="24"/>
          <w:lang w:val="pt-PT"/>
        </w:rPr>
        <w:t xml:space="preserve"> brevemente os danos que esses problemas criam, em termos de seus efeitos diretos sobre os consumidores ou de seus efeitos sobre a concorrência nos mercados relevantes. Em segundo lugar descreve</w:t>
      </w:r>
      <w:r w:rsidRPr="002870AE">
        <w:rPr>
          <w:rFonts w:ascii="Times New Roman" w:hAnsi="Times New Roman" w:cs="Times New Roman"/>
          <w:sz w:val="24"/>
          <w:szCs w:val="24"/>
          <w:lang w:val="pt-PT"/>
        </w:rPr>
        <w:t>m-se</w:t>
      </w:r>
      <w:r w:rsidR="00FE6382" w:rsidRPr="002870AE">
        <w:rPr>
          <w:rFonts w:ascii="Times New Roman" w:hAnsi="Times New Roman" w:cs="Times New Roman"/>
          <w:sz w:val="24"/>
          <w:szCs w:val="24"/>
          <w:lang w:val="pt-PT"/>
        </w:rPr>
        <w:t xml:space="preserve"> que tipo de obrigações estão disponíveis para resolver os problemas de concorrência identificados conforme definido na Lei na Guiné Bissau. A abordagem </w:t>
      </w:r>
      <w:r w:rsidRPr="002870AE">
        <w:rPr>
          <w:rFonts w:ascii="Times New Roman" w:hAnsi="Times New Roman" w:cs="Times New Roman"/>
          <w:sz w:val="24"/>
          <w:szCs w:val="24"/>
          <w:lang w:val="pt-PT"/>
        </w:rPr>
        <w:t>seguida na</w:t>
      </w:r>
      <w:r w:rsidR="00FE6382" w:rsidRPr="002870AE">
        <w:rPr>
          <w:rFonts w:ascii="Times New Roman" w:hAnsi="Times New Roman" w:cs="Times New Roman"/>
          <w:sz w:val="24"/>
          <w:szCs w:val="24"/>
          <w:lang w:val="pt-PT"/>
        </w:rPr>
        <w:t xml:space="preserve"> União Europeia em matéria de regulação e direito da concorrência é </w:t>
      </w:r>
      <w:r w:rsidRPr="002870AE">
        <w:rPr>
          <w:rFonts w:ascii="Times New Roman" w:hAnsi="Times New Roman" w:cs="Times New Roman"/>
          <w:sz w:val="24"/>
          <w:szCs w:val="24"/>
          <w:lang w:val="pt-PT"/>
        </w:rPr>
        <w:t xml:space="preserve">também </w:t>
      </w:r>
      <w:r w:rsidR="00D361A1" w:rsidRPr="002870AE">
        <w:rPr>
          <w:rFonts w:ascii="Times New Roman" w:hAnsi="Times New Roman" w:cs="Times New Roman"/>
          <w:sz w:val="24"/>
          <w:szCs w:val="24"/>
          <w:lang w:val="pt-PT"/>
        </w:rPr>
        <w:t>considerada</w:t>
      </w:r>
      <w:r w:rsidR="00FE6382" w:rsidRPr="002870AE">
        <w:rPr>
          <w:rFonts w:ascii="Times New Roman" w:hAnsi="Times New Roman" w:cs="Times New Roman"/>
          <w:sz w:val="24"/>
          <w:szCs w:val="24"/>
          <w:lang w:val="pt-PT"/>
        </w:rPr>
        <w:t xml:space="preserve"> como um exemplo de boas práticas</w:t>
      </w:r>
      <w:r w:rsidRPr="002870AE">
        <w:rPr>
          <w:rFonts w:ascii="Times New Roman" w:hAnsi="Times New Roman" w:cs="Times New Roman"/>
          <w:sz w:val="24"/>
          <w:szCs w:val="24"/>
          <w:lang w:val="pt-PT"/>
        </w:rPr>
        <w:t xml:space="preserve"> que na ausência de regulamentação definida pode orientar a escolha de obrigações.</w:t>
      </w:r>
    </w:p>
    <w:p w14:paraId="78EF801F" w14:textId="436F2AE9" w:rsidR="00FE6382" w:rsidRPr="002870AE" w:rsidRDefault="00F11D1B"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Na</w:t>
      </w:r>
      <w:r w:rsidR="00FE6382" w:rsidRPr="002870AE">
        <w:rPr>
          <w:rFonts w:ascii="Times New Roman" w:hAnsi="Times New Roman" w:cs="Times New Roman"/>
          <w:sz w:val="24"/>
          <w:szCs w:val="24"/>
          <w:lang w:val="pt-PT"/>
        </w:rPr>
        <w:t xml:space="preserve"> parte final </w:t>
      </w:r>
      <w:r w:rsidRPr="002870AE">
        <w:rPr>
          <w:rFonts w:ascii="Times New Roman" w:hAnsi="Times New Roman" w:cs="Times New Roman"/>
          <w:sz w:val="24"/>
          <w:szCs w:val="24"/>
          <w:lang w:val="pt-PT"/>
        </w:rPr>
        <w:t>desta secção</w:t>
      </w:r>
      <w:r w:rsidR="00FE6382" w:rsidRPr="002870AE">
        <w:rPr>
          <w:rFonts w:ascii="Times New Roman" w:hAnsi="Times New Roman" w:cs="Times New Roman"/>
          <w:sz w:val="24"/>
          <w:szCs w:val="24"/>
          <w:lang w:val="pt-PT"/>
        </w:rPr>
        <w:t xml:space="preserve"> combina</w:t>
      </w:r>
      <w:r w:rsidRPr="002870AE">
        <w:rPr>
          <w:rFonts w:ascii="Times New Roman" w:hAnsi="Times New Roman" w:cs="Times New Roman"/>
          <w:sz w:val="24"/>
          <w:szCs w:val="24"/>
          <w:lang w:val="pt-PT"/>
        </w:rPr>
        <w:t>m-se</w:t>
      </w:r>
      <w:r w:rsidR="00FE6382" w:rsidRPr="002870AE">
        <w:rPr>
          <w:rFonts w:ascii="Times New Roman" w:hAnsi="Times New Roman" w:cs="Times New Roman"/>
          <w:sz w:val="24"/>
          <w:szCs w:val="24"/>
          <w:lang w:val="pt-PT"/>
        </w:rPr>
        <w:t xml:space="preserve"> os problemas de concorrência identificados e os remédios disponíveis para oferecer uma visão detalhada do provável sentido de decisão que a ARN pode adotar em circunstâncias específicas e para cada um dos mercados de comunicações eletrónicas considerados relevantes. A se</w:t>
      </w:r>
      <w:r w:rsidRPr="002870AE">
        <w:rPr>
          <w:rFonts w:ascii="Times New Roman" w:hAnsi="Times New Roman" w:cs="Times New Roman"/>
          <w:sz w:val="24"/>
          <w:szCs w:val="24"/>
          <w:lang w:val="pt-PT"/>
        </w:rPr>
        <w:t>c</w:t>
      </w:r>
      <w:r w:rsidR="00FE6382" w:rsidRPr="002870AE">
        <w:rPr>
          <w:rFonts w:ascii="Times New Roman" w:hAnsi="Times New Roman" w:cs="Times New Roman"/>
          <w:sz w:val="24"/>
          <w:szCs w:val="24"/>
          <w:lang w:val="pt-PT"/>
        </w:rPr>
        <w:t>ção final fornece uma visão geral dos remédios propostos em cada mercado.</w:t>
      </w:r>
    </w:p>
    <w:p w14:paraId="171327CA" w14:textId="77777777" w:rsidR="00FE6382" w:rsidRPr="002870AE" w:rsidRDefault="00FE6382" w:rsidP="002870AE">
      <w:pPr>
        <w:pStyle w:val="Ttulo2"/>
        <w:ind w:left="709" w:hanging="709"/>
        <w:jc w:val="both"/>
        <w:rPr>
          <w:rFonts w:ascii="Times New Roman" w:hAnsi="Times New Roman" w:cs="Times New Roman"/>
          <w:lang w:val="pt-PT"/>
        </w:rPr>
      </w:pPr>
      <w:bookmarkStart w:id="39" w:name="_Toc47715051"/>
      <w:bookmarkStart w:id="40" w:name="_Toc52034819"/>
      <w:r w:rsidRPr="002870AE">
        <w:rPr>
          <w:rFonts w:ascii="Times New Roman" w:hAnsi="Times New Roman" w:cs="Times New Roman"/>
          <w:lang w:val="pt-PT"/>
        </w:rPr>
        <w:t>Tipos de problemas de concorrência</w:t>
      </w:r>
      <w:bookmarkEnd w:id="39"/>
      <w:bookmarkEnd w:id="40"/>
    </w:p>
    <w:p w14:paraId="54EA340B"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Problemas de concorrência ou "comportamento anti concorrencial" referem-se a qualquer prática de uma empresa com PSM que visa expulsar concorrentes do mercado (ou impedir que eles entrem no mercado) ou “explorar” os consumidores. Os mercados considerados relevantes para a regulamentação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apresentam características que podem dar origem a comportamentos anti concorrenciais ou outras formas de abuso por parte de atores dominantes. Isso não quer dizer que esse abuso ocorra atualmente ou tenha sido necessariamente observado. A estrutura dos vários mercados identificados pode dar origem a esse abuso e os participantes de mercado dominantes têm o incentivo para se envolver em tal comportamento para promover os seus próprios interesses às custas de, em última instância, dos consumidores. Como a imposição de obrigações no conjunto de medidas regulatórias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não pressupõe a ocorrência de um abuso de poder de mercado, os problemas identificados devem ser considerados como possíveis problemas de concorrência que podem surgir em determinadas circunstâncias que são específicas de cada mercado.</w:t>
      </w:r>
    </w:p>
    <w:p w14:paraId="37DB64A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 falta de concorrência efetiva e a existência de PSM nos mercados de comunicações eletrônicas são, na maioria das vezes, causadas por barreiras estruturais e legais/regulatórias à entrada. A posição </w:t>
      </w:r>
      <w:r w:rsidRPr="002870AE">
        <w:rPr>
          <w:rFonts w:ascii="Times New Roman" w:hAnsi="Times New Roman" w:cs="Times New Roman"/>
          <w:sz w:val="24"/>
          <w:szCs w:val="24"/>
          <w:lang w:val="pt-PT"/>
        </w:rPr>
        <w:lastRenderedPageBreak/>
        <w:t>comum</w:t>
      </w:r>
      <w:r w:rsidRPr="002870AE">
        <w:rPr>
          <w:rStyle w:val="Refdenotaderodap"/>
          <w:rFonts w:ascii="Times New Roman" w:hAnsi="Times New Roman"/>
          <w:sz w:val="24"/>
          <w:szCs w:val="24"/>
        </w:rPr>
        <w:footnoteReference w:id="29"/>
      </w:r>
      <w:r w:rsidRPr="002870AE">
        <w:rPr>
          <w:rFonts w:ascii="Times New Roman" w:hAnsi="Times New Roman" w:cs="Times New Roman"/>
          <w:sz w:val="24"/>
          <w:szCs w:val="24"/>
          <w:lang w:val="pt-PT"/>
        </w:rPr>
        <w:t xml:space="preserve"> do Grupo de Reguladores Europeus</w:t>
      </w:r>
      <w:r w:rsidRPr="002870AE">
        <w:rPr>
          <w:rStyle w:val="Refdenotaderodap"/>
          <w:rFonts w:ascii="Times New Roman" w:hAnsi="Times New Roman"/>
          <w:sz w:val="24"/>
          <w:szCs w:val="24"/>
        </w:rPr>
        <w:footnoteReference w:id="30"/>
      </w:r>
      <w:r w:rsidRPr="002870AE">
        <w:rPr>
          <w:rFonts w:ascii="Times New Roman" w:hAnsi="Times New Roman" w:cs="Times New Roman"/>
          <w:sz w:val="24"/>
          <w:szCs w:val="24"/>
          <w:lang w:val="pt-PT"/>
        </w:rPr>
        <w:t xml:space="preserve"> (ERG) sistematiza os potenciais problemas de concorrência relevantes para quatro situações que são as mais comuns nos mercados de comunicações eletrónicas. As quatros situações são as seguintes:</w:t>
      </w:r>
    </w:p>
    <w:p w14:paraId="76B178FD" w14:textId="658BF73F" w:rsidR="00FE6382" w:rsidRPr="002870AE" w:rsidRDefault="00FE6382" w:rsidP="002870AE">
      <w:pPr>
        <w:pStyle w:val="PargrafodaLista"/>
        <w:numPr>
          <w:ilvl w:val="0"/>
          <w:numId w:val="30"/>
        </w:numPr>
        <w:ind w:left="357" w:hanging="357"/>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Alavancagem vertical - </w:t>
      </w:r>
      <w:r w:rsidRPr="002870AE">
        <w:rPr>
          <w:rFonts w:ascii="Times New Roman" w:hAnsi="Times New Roman" w:cs="Times New Roman"/>
          <w:color w:val="2A2C2D"/>
          <w:sz w:val="24"/>
          <w:szCs w:val="24"/>
          <w:shd w:val="clear" w:color="auto" w:fill="FFFFFF"/>
          <w:lang w:val="pt-PT"/>
        </w:rPr>
        <w:t xml:space="preserve">A </w:t>
      </w:r>
      <w:r w:rsidR="00D361A1" w:rsidRPr="002870AE">
        <w:rPr>
          <w:rFonts w:ascii="Times New Roman" w:hAnsi="Times New Roman" w:cs="Times New Roman"/>
          <w:color w:val="2A2C2D"/>
          <w:sz w:val="24"/>
          <w:szCs w:val="24"/>
          <w:shd w:val="clear" w:color="auto" w:fill="FFFFFF"/>
          <w:lang w:val="pt-PT"/>
        </w:rPr>
        <w:t>alavancagem</w:t>
      </w:r>
      <w:r w:rsidRPr="002870AE">
        <w:rPr>
          <w:rFonts w:ascii="Times New Roman" w:hAnsi="Times New Roman" w:cs="Times New Roman"/>
          <w:color w:val="2A2C2D"/>
          <w:sz w:val="24"/>
          <w:szCs w:val="24"/>
          <w:shd w:val="clear" w:color="auto" w:fill="FFFFFF"/>
          <w:lang w:val="pt-PT"/>
        </w:rPr>
        <w:t xml:space="preserve"> vertical da posição dominante pode surgir quando uma empresa controla um </w:t>
      </w:r>
      <w:r w:rsidRPr="002870AE">
        <w:rPr>
          <w:rStyle w:val="nfase"/>
          <w:rFonts w:ascii="Times New Roman" w:hAnsi="Times New Roman" w:cs="Times New Roman"/>
          <w:color w:val="2A2C2D"/>
          <w:sz w:val="24"/>
          <w:szCs w:val="24"/>
          <w:shd w:val="clear" w:color="auto" w:fill="FFFFFF"/>
          <w:lang w:val="pt-PT"/>
        </w:rPr>
        <w:t>input</w:t>
      </w:r>
      <w:r w:rsidRPr="002870AE">
        <w:rPr>
          <w:rFonts w:ascii="Times New Roman" w:hAnsi="Times New Roman" w:cs="Times New Roman"/>
          <w:color w:val="2A2C2D"/>
          <w:sz w:val="24"/>
          <w:szCs w:val="24"/>
          <w:shd w:val="clear" w:color="auto" w:fill="FFFFFF"/>
          <w:lang w:val="pt-PT"/>
        </w:rPr>
        <w:t> grossista considerado essencial para a prestação de um serviço retalhista num mercado concorrencial em que também está ativa. Esta possibilidade pode implicar a limitação da concorrência nos mercados retalhistas a jusante em que o operador com poder de mercado também opera e concorre com os seus clientes de serviços grossistas</w:t>
      </w:r>
      <w:r w:rsidRPr="002870AE">
        <w:rPr>
          <w:rFonts w:ascii="Times New Roman" w:hAnsi="Times New Roman" w:cs="Times New Roman"/>
          <w:sz w:val="24"/>
          <w:szCs w:val="24"/>
          <w:lang w:val="pt-PT"/>
        </w:rPr>
        <w:t xml:space="preserve">. Exemplos de comportamento anti concorrencial variam da </w:t>
      </w:r>
      <w:r w:rsidRPr="002870AE">
        <w:rPr>
          <w:rFonts w:ascii="Times New Roman" w:hAnsi="Times New Roman" w:cs="Times New Roman"/>
          <w:color w:val="2A2C2D"/>
          <w:sz w:val="24"/>
          <w:szCs w:val="24"/>
          <w:shd w:val="clear" w:color="auto" w:fill="FFFFFF"/>
          <w:lang w:val="pt-PT"/>
        </w:rPr>
        <w:t xml:space="preserve">recusa de acesso ou recusa em negociar que poderá passar por uma recusa em absoluto ou pela utilização de práticas que condicionam esse acesso, (por exemplo, a utilização de táticas dilatórias nas negociações com os novos entrantes, excesso de burocracia, imposição de condições discriminatórias de custos ou qualidade), retenção de informação ou utilização discriminatória da mesma, </w:t>
      </w:r>
      <w:r w:rsidRPr="002870AE">
        <w:rPr>
          <w:rFonts w:ascii="Times New Roman" w:hAnsi="Times New Roman" w:cs="Times New Roman"/>
          <w:sz w:val="24"/>
          <w:szCs w:val="24"/>
          <w:lang w:val="pt-PT"/>
        </w:rPr>
        <w:t>até à prática de preços predatórios.</w:t>
      </w:r>
    </w:p>
    <w:p w14:paraId="117B7AB3" w14:textId="77777777" w:rsidR="00FE6382" w:rsidRPr="002870AE" w:rsidRDefault="00FE6382" w:rsidP="002870AE">
      <w:pPr>
        <w:pStyle w:val="PargrafodaLista"/>
        <w:numPr>
          <w:ilvl w:val="0"/>
          <w:numId w:val="30"/>
        </w:numPr>
        <w:ind w:left="357" w:hanging="357"/>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Alavancagem horizontal – é uma situação que pode surgir quando uma empresa que opera em dois mercados não relacionados verticalmente, é designada como dominante num deles, e pode tentar transferir o seu poder de mercado do mercado em que possui PSM para um mercado adjacente. Exemplos incluem a elaboração de produtos em pacote ou subordinação e a subsidiação cruzada.</w:t>
      </w:r>
    </w:p>
    <w:p w14:paraId="491ED103" w14:textId="77777777" w:rsidR="00FE6382" w:rsidRPr="002870AE" w:rsidRDefault="00FE6382" w:rsidP="002870AE">
      <w:pPr>
        <w:pStyle w:val="PargrafodaLista"/>
        <w:numPr>
          <w:ilvl w:val="0"/>
          <w:numId w:val="30"/>
        </w:numPr>
        <w:ind w:left="357" w:hanging="357"/>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Dominância (retalho ou grossista) - Podem existir problemas de concorrência dentro dos limites de um mercado, mesmo que a empresa esteja presente em mais que um mercado grossista e/ou retalhista. Aqui, os problemas variam desde vários tipos de impedimento de entrada, preços excessivos e ineficiências produtivas, até ao investimento inadequado e baixa qualidade.</w:t>
      </w:r>
    </w:p>
    <w:p w14:paraId="3E452B78" w14:textId="77777777" w:rsidR="00FE6382" w:rsidRPr="002870AE" w:rsidRDefault="00FE6382" w:rsidP="002870AE">
      <w:pPr>
        <w:pStyle w:val="PargrafodaLista"/>
        <w:numPr>
          <w:ilvl w:val="0"/>
          <w:numId w:val="30"/>
        </w:numPr>
        <w:ind w:left="357" w:hanging="357"/>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Terminação - corresponde a uma situação de acesso bidirecional na qual duas ou várias redes negociam acordos de interconexão grossista e estabelecem os seus próprios preços no mercado retalhista, onde podem ou não estar em concorrência entre si. Aqui, problemas típicos de concorrência podem assumir forma de preços excessivos ou discriminatórios, de acesso e/ou uma recusa em negociar. Práticas concertadas, embora raras, pode ocorrer quando redes interconectadas de tamanho semelhante competem no mesmo mercado de retalho.</w:t>
      </w:r>
    </w:p>
    <w:p w14:paraId="7EA16A17" w14:textId="0C0F9874" w:rsidR="00FE6382"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Com base nas experiências das autoridades reguladoras nacionais, a posição comum do ERG identificou os problemas-padrão de concorrência para cada situação de mercado enumerados na Tabela que se apresenta seguidamente. Os problemas de concorrência identificados são baseados no estudo de grupos de trabalho, nas contribuições recebidas durante a consulta do ERG em junho/julho </w:t>
      </w:r>
      <w:r w:rsidRPr="002870AE">
        <w:rPr>
          <w:rFonts w:ascii="Times New Roman" w:hAnsi="Times New Roman" w:cs="Times New Roman"/>
          <w:sz w:val="24"/>
          <w:szCs w:val="24"/>
          <w:lang w:val="pt-PT"/>
        </w:rPr>
        <w:lastRenderedPageBreak/>
        <w:t>de 2003</w:t>
      </w:r>
      <w:r w:rsidRPr="002870AE">
        <w:rPr>
          <w:rStyle w:val="Refdenotaderodap"/>
          <w:rFonts w:ascii="Times New Roman" w:hAnsi="Times New Roman"/>
          <w:sz w:val="24"/>
          <w:szCs w:val="24"/>
        </w:rPr>
        <w:footnoteReference w:id="31"/>
      </w:r>
      <w:r w:rsidRPr="002870AE">
        <w:rPr>
          <w:rFonts w:ascii="Times New Roman" w:hAnsi="Times New Roman" w:cs="Times New Roman"/>
          <w:sz w:val="24"/>
          <w:szCs w:val="24"/>
          <w:lang w:val="pt-PT"/>
        </w:rPr>
        <w:t xml:space="preserve"> e na literatura que trata dos problemas de concorrência e/ou regulação dos mercados de comunicações eletrónicas. Posteriormente, os grupos de trabalho do ERG/</w:t>
      </w:r>
      <w:proofErr w:type="spellStart"/>
      <w:r w:rsidRPr="002870AE">
        <w:rPr>
          <w:rFonts w:ascii="Times New Roman" w:hAnsi="Times New Roman" w:cs="Times New Roman"/>
          <w:sz w:val="24"/>
          <w:szCs w:val="24"/>
          <w:lang w:val="pt-PT"/>
        </w:rPr>
        <w:t>Berec</w:t>
      </w:r>
      <w:proofErr w:type="spellEnd"/>
      <w:r w:rsidRPr="002870AE">
        <w:rPr>
          <w:rFonts w:ascii="Times New Roman" w:hAnsi="Times New Roman" w:cs="Times New Roman"/>
          <w:sz w:val="24"/>
          <w:szCs w:val="24"/>
          <w:lang w:val="pt-PT"/>
        </w:rPr>
        <w:t xml:space="preserve"> usaram a estrutura acima representada para abordar os remédios apropriados para cada um dos mercados relevantes onde identificaram a existência de operadores que individualmente ou em conjunto possuíam poder significativo de mercado.</w:t>
      </w:r>
    </w:p>
    <w:p w14:paraId="4D584FF0" w14:textId="77777777" w:rsidR="00D361A1" w:rsidRPr="002870AE" w:rsidRDefault="00D361A1" w:rsidP="002870AE">
      <w:pPr>
        <w:jc w:val="both"/>
        <w:rPr>
          <w:rFonts w:ascii="Times New Roman" w:hAnsi="Times New Roman" w:cs="Times New Roman"/>
          <w:sz w:val="24"/>
          <w:szCs w:val="24"/>
          <w:lang w:val="pt-PT"/>
        </w:rPr>
      </w:pPr>
    </w:p>
    <w:tbl>
      <w:tblPr>
        <w:tblStyle w:val="TabelacomGrelha"/>
        <w:tblW w:w="9634" w:type="dxa"/>
        <w:tblLook w:val="04A0" w:firstRow="1" w:lastRow="0" w:firstColumn="1" w:lastColumn="0" w:noHBand="0" w:noVBand="1"/>
      </w:tblPr>
      <w:tblGrid>
        <w:gridCol w:w="2376"/>
        <w:gridCol w:w="7258"/>
      </w:tblGrid>
      <w:tr w:rsidR="00FE6382" w:rsidRPr="002870AE" w14:paraId="12A8ED67" w14:textId="77777777" w:rsidTr="00D361A1">
        <w:tc>
          <w:tcPr>
            <w:tcW w:w="2376" w:type="dxa"/>
            <w:vAlign w:val="center"/>
          </w:tcPr>
          <w:p w14:paraId="0D6AD61E" w14:textId="77777777" w:rsidR="00FE6382" w:rsidRPr="002870AE" w:rsidRDefault="00FE6382" w:rsidP="00D361A1">
            <w:pPr>
              <w:pStyle w:val="Corpodetexto"/>
              <w:jc w:val="center"/>
              <w:rPr>
                <w:rFonts w:ascii="Times New Roman" w:hAnsi="Times New Roman" w:cs="Times New Roman"/>
                <w:b/>
                <w:sz w:val="24"/>
                <w:szCs w:val="24"/>
              </w:rPr>
            </w:pPr>
            <w:proofErr w:type="spellStart"/>
            <w:r w:rsidRPr="002870AE">
              <w:rPr>
                <w:rFonts w:ascii="Times New Roman" w:hAnsi="Times New Roman" w:cs="Times New Roman"/>
                <w:b/>
                <w:sz w:val="24"/>
                <w:szCs w:val="24"/>
              </w:rPr>
              <w:t>Situação</w:t>
            </w:r>
            <w:proofErr w:type="spellEnd"/>
            <w:r w:rsidRPr="002870AE">
              <w:rPr>
                <w:rFonts w:ascii="Times New Roman" w:hAnsi="Times New Roman" w:cs="Times New Roman"/>
                <w:b/>
                <w:sz w:val="24"/>
                <w:szCs w:val="24"/>
              </w:rPr>
              <w:t xml:space="preserve"> de mercado</w:t>
            </w:r>
          </w:p>
        </w:tc>
        <w:tc>
          <w:tcPr>
            <w:tcW w:w="7258" w:type="dxa"/>
            <w:vAlign w:val="center"/>
          </w:tcPr>
          <w:p w14:paraId="56A4FDC9" w14:textId="77777777" w:rsidR="00FE6382" w:rsidRPr="002870AE" w:rsidRDefault="00FE6382" w:rsidP="00D361A1">
            <w:pPr>
              <w:pStyle w:val="Corpodetexto"/>
              <w:jc w:val="center"/>
              <w:rPr>
                <w:rFonts w:ascii="Times New Roman" w:hAnsi="Times New Roman" w:cs="Times New Roman"/>
                <w:b/>
                <w:sz w:val="24"/>
                <w:szCs w:val="24"/>
              </w:rPr>
            </w:pPr>
            <w:proofErr w:type="spellStart"/>
            <w:r w:rsidRPr="002870AE">
              <w:rPr>
                <w:rFonts w:ascii="Times New Roman" w:hAnsi="Times New Roman" w:cs="Times New Roman"/>
                <w:b/>
                <w:sz w:val="24"/>
                <w:szCs w:val="24"/>
              </w:rPr>
              <w:t>Problemas</w:t>
            </w:r>
            <w:proofErr w:type="spellEnd"/>
            <w:r w:rsidRPr="002870AE">
              <w:rPr>
                <w:rFonts w:ascii="Times New Roman" w:hAnsi="Times New Roman" w:cs="Times New Roman"/>
                <w:b/>
                <w:sz w:val="24"/>
                <w:szCs w:val="24"/>
              </w:rPr>
              <w:t xml:space="preserve"> de </w:t>
            </w:r>
            <w:proofErr w:type="spellStart"/>
            <w:r w:rsidRPr="002870AE">
              <w:rPr>
                <w:rFonts w:ascii="Times New Roman" w:hAnsi="Times New Roman" w:cs="Times New Roman"/>
                <w:b/>
                <w:sz w:val="24"/>
                <w:szCs w:val="24"/>
              </w:rPr>
              <w:t>concorrência</w:t>
            </w:r>
            <w:proofErr w:type="spellEnd"/>
          </w:p>
        </w:tc>
      </w:tr>
      <w:tr w:rsidR="00FE6382" w:rsidRPr="000A51F8" w14:paraId="4E9AB50A" w14:textId="77777777" w:rsidTr="00D361A1">
        <w:trPr>
          <w:trHeight w:val="4479"/>
        </w:trPr>
        <w:tc>
          <w:tcPr>
            <w:tcW w:w="2376" w:type="dxa"/>
            <w:vAlign w:val="center"/>
          </w:tcPr>
          <w:p w14:paraId="75A832AD" w14:textId="77777777" w:rsidR="00FE6382" w:rsidRPr="002870AE" w:rsidRDefault="00FE6382" w:rsidP="00D361A1">
            <w:pPr>
              <w:pStyle w:val="Corpodetexto"/>
              <w:rPr>
                <w:rFonts w:ascii="Times New Roman" w:hAnsi="Times New Roman" w:cs="Times New Roman"/>
                <w:sz w:val="24"/>
                <w:szCs w:val="24"/>
              </w:rPr>
            </w:pPr>
            <w:proofErr w:type="spellStart"/>
            <w:r w:rsidRPr="002870AE">
              <w:rPr>
                <w:rFonts w:ascii="Times New Roman" w:hAnsi="Times New Roman" w:cs="Times New Roman"/>
                <w:sz w:val="24"/>
                <w:szCs w:val="24"/>
              </w:rPr>
              <w:t>Alavancagem</w:t>
            </w:r>
            <w:proofErr w:type="spellEnd"/>
            <w:r w:rsidRPr="002870AE">
              <w:rPr>
                <w:rFonts w:ascii="Times New Roman" w:hAnsi="Times New Roman" w:cs="Times New Roman"/>
                <w:sz w:val="24"/>
                <w:szCs w:val="24"/>
              </w:rPr>
              <w:t xml:space="preserve"> Vertical </w:t>
            </w:r>
          </w:p>
        </w:tc>
        <w:tc>
          <w:tcPr>
            <w:tcW w:w="7258" w:type="dxa"/>
          </w:tcPr>
          <w:p w14:paraId="50AD01C5"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1.1 Recusa em negociar / negação de acesso</w:t>
            </w:r>
          </w:p>
          <w:p w14:paraId="1829C433"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1.2 Uso discriminatório ou retenção de informações</w:t>
            </w:r>
          </w:p>
          <w:p w14:paraId="1558A602"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1.3 Táticas de atraso</w:t>
            </w:r>
          </w:p>
          <w:p w14:paraId="04E5472A"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1.4 Pacotes / subordinação</w:t>
            </w:r>
          </w:p>
          <w:p w14:paraId="6AE7BEB8"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1.5 Requisitos indevidos</w:t>
            </w:r>
          </w:p>
          <w:p w14:paraId="578C75FA"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1.6 Discriminação de qualidade</w:t>
            </w:r>
          </w:p>
          <w:p w14:paraId="4296EFA1"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1.7 Desenho estratégico do produto</w:t>
            </w:r>
          </w:p>
          <w:p w14:paraId="3373DE56"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1.8 Uso indevido de informações sobre concorrentes</w:t>
            </w:r>
          </w:p>
          <w:p w14:paraId="7F2563D4"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1.9 Discriminação de preços</w:t>
            </w:r>
          </w:p>
          <w:p w14:paraId="5873AD02"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1.10 Subsidiação cruzada</w:t>
            </w:r>
          </w:p>
          <w:p w14:paraId="68C0FC44" w14:textId="77777777" w:rsidR="00FE6382" w:rsidRPr="002870AE" w:rsidRDefault="00FE6382" w:rsidP="00D361A1">
            <w:pPr>
              <w:autoSpaceDE w:val="0"/>
              <w:autoSpaceDN w:val="0"/>
              <w:adjustRightInd w:val="0"/>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1.11 Preços predatórios </w:t>
            </w:r>
          </w:p>
        </w:tc>
      </w:tr>
      <w:tr w:rsidR="00FE6382" w:rsidRPr="002870AE" w14:paraId="27B18A5D" w14:textId="77777777" w:rsidTr="00D361A1">
        <w:tc>
          <w:tcPr>
            <w:tcW w:w="2376" w:type="dxa"/>
            <w:vAlign w:val="center"/>
          </w:tcPr>
          <w:p w14:paraId="20200F89" w14:textId="77777777" w:rsidR="00FE6382" w:rsidRPr="002870AE" w:rsidRDefault="00FE6382" w:rsidP="00D361A1">
            <w:pPr>
              <w:pStyle w:val="Corpodetexto"/>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Alavancagem Horizontal </w:t>
            </w:r>
          </w:p>
        </w:tc>
        <w:tc>
          <w:tcPr>
            <w:tcW w:w="7258" w:type="dxa"/>
          </w:tcPr>
          <w:p w14:paraId="0900B884"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2.1. Pacotes / subordinação</w:t>
            </w:r>
          </w:p>
          <w:p w14:paraId="7BB346D6"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2.2. Subsidiação cruzada </w:t>
            </w:r>
          </w:p>
        </w:tc>
      </w:tr>
      <w:tr w:rsidR="00FE6382" w:rsidRPr="000A51F8" w14:paraId="6B79309E" w14:textId="77777777" w:rsidTr="00D361A1">
        <w:tc>
          <w:tcPr>
            <w:tcW w:w="2376" w:type="dxa"/>
            <w:vAlign w:val="center"/>
          </w:tcPr>
          <w:p w14:paraId="6115C6C2" w14:textId="77777777" w:rsidR="00FE6382" w:rsidRPr="002870AE" w:rsidRDefault="00FE6382" w:rsidP="00D361A1">
            <w:pPr>
              <w:pStyle w:val="Corpodetexto"/>
              <w:rPr>
                <w:rFonts w:ascii="Times New Roman" w:hAnsi="Times New Roman" w:cs="Times New Roman"/>
                <w:sz w:val="24"/>
                <w:szCs w:val="24"/>
                <w:lang w:val="pt-PT"/>
              </w:rPr>
            </w:pPr>
            <w:r w:rsidRPr="002870AE">
              <w:rPr>
                <w:rFonts w:ascii="Times New Roman" w:hAnsi="Times New Roman" w:cs="Times New Roman"/>
                <w:sz w:val="24"/>
                <w:szCs w:val="24"/>
                <w:lang w:val="pt-PT"/>
              </w:rPr>
              <w:t>Dominância Individual</w:t>
            </w:r>
          </w:p>
        </w:tc>
        <w:tc>
          <w:tcPr>
            <w:tcW w:w="7258" w:type="dxa"/>
          </w:tcPr>
          <w:p w14:paraId="1B76EA6D"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3.1 Desenho estratégico do produto para aumentar os custos de troca aos consumidores</w:t>
            </w:r>
          </w:p>
          <w:p w14:paraId="3C0C2B4B"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3.2 Termos do contrato para aumentar os custos de troca dos consumidores</w:t>
            </w:r>
          </w:p>
          <w:p w14:paraId="39E5B1F7"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3.3 Negociação exclusiva</w:t>
            </w:r>
          </w:p>
          <w:p w14:paraId="3BE922C7"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3.4 Excesso de investimento</w:t>
            </w:r>
          </w:p>
          <w:p w14:paraId="79E80228"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3.5 Preços predatórios</w:t>
            </w:r>
          </w:p>
          <w:p w14:paraId="54A7BEE0"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3.6 Preços excessivos</w:t>
            </w:r>
          </w:p>
          <w:p w14:paraId="42528B70"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3.7 Discriminação de preços</w:t>
            </w:r>
          </w:p>
          <w:p w14:paraId="73BC2F63"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3.8 Falta de investimento</w:t>
            </w:r>
          </w:p>
          <w:p w14:paraId="1572D1CB"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3.9 Custos / ineficiência excessivos</w:t>
            </w:r>
          </w:p>
          <w:p w14:paraId="70E710B7" w14:textId="77777777" w:rsidR="00FE6382" w:rsidRPr="002870AE" w:rsidRDefault="00FE6382" w:rsidP="00D361A1">
            <w:pPr>
              <w:pStyle w:val="Corpodetexto"/>
              <w:spacing w:line="240" w:lineRule="au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3.10 Baixa qualidade </w:t>
            </w:r>
          </w:p>
        </w:tc>
      </w:tr>
      <w:tr w:rsidR="00FE6382" w:rsidRPr="000A51F8" w14:paraId="5643A9A6" w14:textId="77777777" w:rsidTr="00D361A1">
        <w:tc>
          <w:tcPr>
            <w:tcW w:w="2376" w:type="dxa"/>
          </w:tcPr>
          <w:p w14:paraId="234B0C38" w14:textId="4FFF940F" w:rsidR="00FE6382" w:rsidRPr="002870AE" w:rsidRDefault="00D361A1" w:rsidP="002870AE">
            <w:pPr>
              <w:pStyle w:val="Corpodetexto"/>
              <w:jc w:val="both"/>
              <w:rPr>
                <w:rFonts w:ascii="Times New Roman" w:hAnsi="Times New Roman" w:cs="Times New Roman"/>
                <w:sz w:val="24"/>
                <w:szCs w:val="24"/>
                <w:lang w:val="pt-PT"/>
              </w:rPr>
            </w:pPr>
            <w:r w:rsidRPr="000A51F8">
              <w:rPr>
                <w:lang w:val="pt-PT"/>
              </w:rPr>
              <w:lastRenderedPageBreak/>
              <w:br w:type="page"/>
            </w:r>
            <w:r w:rsidR="00FE6382" w:rsidRPr="002870AE">
              <w:rPr>
                <w:rFonts w:ascii="Times New Roman" w:hAnsi="Times New Roman" w:cs="Times New Roman"/>
                <w:sz w:val="24"/>
                <w:szCs w:val="24"/>
                <w:lang w:val="pt-PT"/>
              </w:rPr>
              <w:t>Terminação</w:t>
            </w:r>
          </w:p>
        </w:tc>
        <w:tc>
          <w:tcPr>
            <w:tcW w:w="7258" w:type="dxa"/>
          </w:tcPr>
          <w:p w14:paraId="11208CB3" w14:textId="77777777" w:rsidR="00FE6382" w:rsidRPr="002870AE" w:rsidRDefault="00FE6382" w:rsidP="002870AE">
            <w:pPr>
              <w:pStyle w:val="Corpodetex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4.1 Colusão tácita</w:t>
            </w:r>
          </w:p>
          <w:p w14:paraId="28C26607" w14:textId="77777777" w:rsidR="00FE6382" w:rsidRPr="002870AE" w:rsidRDefault="00FE6382" w:rsidP="002870AE">
            <w:pPr>
              <w:pStyle w:val="Corpodetex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4.2 Preços excessivos</w:t>
            </w:r>
          </w:p>
          <w:p w14:paraId="44D0DA75" w14:textId="77777777" w:rsidR="00FE6382" w:rsidRPr="002870AE" w:rsidRDefault="00FE6382" w:rsidP="002870AE">
            <w:pPr>
              <w:pStyle w:val="Corpodetex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4.3 Discriminação de preços</w:t>
            </w:r>
          </w:p>
          <w:p w14:paraId="1B599206" w14:textId="77777777" w:rsidR="00FE6382" w:rsidRPr="002870AE" w:rsidRDefault="00FE6382" w:rsidP="002870AE">
            <w:pPr>
              <w:pStyle w:val="Corpodetexto"/>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4.4 Recusa em negociar / negação de interconexão </w:t>
            </w:r>
          </w:p>
        </w:tc>
      </w:tr>
    </w:tbl>
    <w:p w14:paraId="7CD02B5B" w14:textId="77777777" w:rsidR="00FE6382" w:rsidRPr="002870AE" w:rsidRDefault="00FE6382" w:rsidP="002870AE">
      <w:pPr>
        <w:jc w:val="both"/>
        <w:rPr>
          <w:rFonts w:ascii="Times New Roman" w:hAnsi="Times New Roman" w:cs="Times New Roman"/>
          <w:sz w:val="24"/>
          <w:szCs w:val="24"/>
          <w:lang w:val="pt-PT"/>
        </w:rPr>
      </w:pPr>
    </w:p>
    <w:p w14:paraId="591C2B08" w14:textId="5D8CBF11"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Portanto, a maioria dos problemas de concorrência</w:t>
      </w:r>
      <w:r w:rsidRPr="002870AE">
        <w:rPr>
          <w:rStyle w:val="Refdenotaderodap"/>
          <w:rFonts w:ascii="Times New Roman" w:hAnsi="Times New Roman"/>
          <w:sz w:val="24"/>
          <w:szCs w:val="24"/>
        </w:rPr>
        <w:footnoteReference w:id="32"/>
      </w:r>
      <w:r w:rsidRPr="002870AE">
        <w:rPr>
          <w:rFonts w:ascii="Times New Roman" w:hAnsi="Times New Roman" w:cs="Times New Roman"/>
          <w:sz w:val="24"/>
          <w:szCs w:val="24"/>
          <w:lang w:val="pt-PT"/>
        </w:rPr>
        <w:t xml:space="preserve"> identificados é baseada na experiência das autoridades reguladoras nacionais e reflete um conhecimento detalhado dos problemas de concorrência comuns aos mercados de comunicações eletrónicas</w:t>
      </w:r>
      <w:r w:rsidR="00F11D1B" w:rsidRPr="002870AE">
        <w:rPr>
          <w:rFonts w:ascii="Times New Roman" w:hAnsi="Times New Roman" w:cs="Times New Roman"/>
          <w:sz w:val="24"/>
          <w:szCs w:val="24"/>
          <w:lang w:val="pt-PT"/>
        </w:rPr>
        <w:t xml:space="preserve">. </w:t>
      </w:r>
      <w:r w:rsidRPr="002870AE">
        <w:rPr>
          <w:rFonts w:ascii="Times New Roman" w:hAnsi="Times New Roman" w:cs="Times New Roman"/>
          <w:sz w:val="24"/>
          <w:szCs w:val="24"/>
          <w:lang w:val="pt-PT"/>
        </w:rPr>
        <w:t>Seguidamente apresentam-se as obrigações disponíveis que podem ser impostas para abordar cada um dos problemas de concorrência acima identificados.</w:t>
      </w:r>
    </w:p>
    <w:p w14:paraId="28ABBE2E" w14:textId="77777777" w:rsidR="00FE6382" w:rsidRPr="002870AE" w:rsidRDefault="00FE6382" w:rsidP="002870AE">
      <w:pPr>
        <w:pStyle w:val="Ttulo2"/>
        <w:ind w:left="709" w:hanging="709"/>
        <w:jc w:val="both"/>
        <w:rPr>
          <w:rFonts w:ascii="Times New Roman" w:hAnsi="Times New Roman" w:cs="Times New Roman"/>
          <w:lang w:val="pt-PT"/>
        </w:rPr>
      </w:pPr>
      <w:bookmarkStart w:id="41" w:name="_Toc47715052"/>
      <w:bookmarkStart w:id="42" w:name="_Toc52034820"/>
      <w:r w:rsidRPr="002870AE">
        <w:rPr>
          <w:rFonts w:ascii="Times New Roman" w:hAnsi="Times New Roman" w:cs="Times New Roman"/>
          <w:lang w:val="pt-PT"/>
        </w:rPr>
        <w:t>Obrigações disponíveis</w:t>
      </w:r>
      <w:bookmarkEnd w:id="41"/>
      <w:bookmarkEnd w:id="42"/>
      <w:r w:rsidRPr="002870AE">
        <w:rPr>
          <w:rFonts w:ascii="Times New Roman" w:hAnsi="Times New Roman" w:cs="Times New Roman"/>
          <w:lang w:val="pt-PT"/>
        </w:rPr>
        <w:t xml:space="preserve"> </w:t>
      </w:r>
    </w:p>
    <w:p w14:paraId="5FABB03E"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As obrigações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devem abordar as falhas do mercado e as fontes de danos potenciais identificados em cada mercado relevante. Elas devem seguir os três princípios a seguir indicados:</w:t>
      </w:r>
    </w:p>
    <w:p w14:paraId="589529F1" w14:textId="77777777" w:rsidR="00FE6382" w:rsidRPr="002870AE" w:rsidRDefault="00FE6382" w:rsidP="002870AE">
      <w:pPr>
        <w:pStyle w:val="PargrafodaLista"/>
        <w:numPr>
          <w:ilvl w:val="0"/>
          <w:numId w:val="51"/>
        </w:numPr>
        <w:jc w:val="both"/>
        <w:rPr>
          <w:rFonts w:ascii="Times New Roman" w:hAnsi="Times New Roman" w:cs="Times New Roman"/>
          <w:sz w:val="24"/>
          <w:szCs w:val="24"/>
          <w:lang w:val="pt-PT"/>
        </w:rPr>
      </w:pPr>
      <w:r w:rsidRPr="002870AE">
        <w:rPr>
          <w:rFonts w:ascii="Times New Roman" w:hAnsi="Times New Roman" w:cs="Times New Roman"/>
          <w:color w:val="000000"/>
          <w:sz w:val="24"/>
          <w:szCs w:val="24"/>
          <w:lang w:val="pt-PT"/>
        </w:rPr>
        <w:t xml:space="preserve">O princípio da adequabilidade e da proporcionalidade estabelece essencialmente que os meios utilizados para atingir um determinado fim não deverão exceder o estritamente necessário para atingir esse fim. A fim de determinar se uma medida proposta é compatível com o princípio da proporcionalidade, a </w:t>
      </w:r>
      <w:proofErr w:type="spellStart"/>
      <w:r w:rsidRPr="002870AE">
        <w:rPr>
          <w:rFonts w:ascii="Times New Roman" w:hAnsi="Times New Roman" w:cs="Times New Roman"/>
          <w:color w:val="000000"/>
          <w:sz w:val="24"/>
          <w:szCs w:val="24"/>
          <w:lang w:val="pt-PT"/>
        </w:rPr>
        <w:t>acção</w:t>
      </w:r>
      <w:proofErr w:type="spellEnd"/>
      <w:r w:rsidRPr="002870AE">
        <w:rPr>
          <w:rFonts w:ascii="Times New Roman" w:hAnsi="Times New Roman" w:cs="Times New Roman"/>
          <w:color w:val="000000"/>
          <w:sz w:val="24"/>
          <w:szCs w:val="24"/>
          <w:lang w:val="pt-PT"/>
        </w:rPr>
        <w:t xml:space="preserve"> a tomar deve ter um objetivo legítimo e os meios empregues para o atingir devem ser simultaneamente os estritamente necessários e menos onerosos, ou seja, devem ser o mínimo necessário para atingir o objetivo. </w:t>
      </w:r>
    </w:p>
    <w:p w14:paraId="6D76E035" w14:textId="77777777" w:rsidR="00FE6382" w:rsidRPr="002870AE" w:rsidRDefault="00FE6382" w:rsidP="002870AE">
      <w:pPr>
        <w:pStyle w:val="PargrafodaLista"/>
        <w:numPr>
          <w:ilvl w:val="0"/>
          <w:numId w:val="5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 </w:t>
      </w:r>
      <w:r w:rsidRPr="002870AE">
        <w:rPr>
          <w:rFonts w:ascii="Times New Roman" w:hAnsi="Times New Roman" w:cs="Times New Roman"/>
          <w:color w:val="000000"/>
          <w:sz w:val="24"/>
          <w:szCs w:val="24"/>
          <w:lang w:val="pt-PT"/>
        </w:rPr>
        <w:t>princípio da</w:t>
      </w:r>
      <w:r w:rsidRPr="002870AE">
        <w:rPr>
          <w:rFonts w:ascii="Times New Roman" w:hAnsi="Times New Roman" w:cs="Times New Roman"/>
          <w:sz w:val="24"/>
          <w:szCs w:val="24"/>
          <w:lang w:val="pt-PT"/>
        </w:rPr>
        <w:t xml:space="preserve"> eficácia estabelece que os remédios devem ser concebidos para resolver o problema identificado de maneira eficiente e direcionados a questões específicas, para evitar encargos regulatórios desnecessários para os operadores.</w:t>
      </w:r>
    </w:p>
    <w:p w14:paraId="0484536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 acordo com estes princípios, analisam-se e justificam-se as decisões regulatórias do ponto de vista da adequabilidade, proporcionalidade e eficácia, tendo em conta o seu impacto:</w:t>
      </w:r>
    </w:p>
    <w:p w14:paraId="638083E3" w14:textId="77777777" w:rsidR="00FE6382" w:rsidRPr="002870AE" w:rsidRDefault="00FE6382" w:rsidP="002870AE">
      <w:pPr>
        <w:pStyle w:val="PargrafodaLista"/>
        <w:numPr>
          <w:ilvl w:val="0"/>
          <w:numId w:val="5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Na estrutura do mercado, nomeadamente ao nível do número de empresas instaladas, da sua dimensão relativa e dos seus custos, e da consequente alteração da natureza da concorrência e do poder de mercado;</w:t>
      </w:r>
    </w:p>
    <w:p w14:paraId="545083C4" w14:textId="77777777" w:rsidR="00FE6382" w:rsidRPr="002870AE" w:rsidRDefault="00FE6382" w:rsidP="002870AE">
      <w:pPr>
        <w:pStyle w:val="PargrafodaLista"/>
        <w:numPr>
          <w:ilvl w:val="0"/>
          <w:numId w:val="5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No comportamento das empresas, nomeadamente em termos das restrições impostas sobre a liberdade de escolha de políticas de produção, distribuição e marketing (incluindo a política tarifária), e o impacto destas alterações sobre a estrutura do mercado, a natureza da concorrência e o poder de mercado;</w:t>
      </w:r>
    </w:p>
    <w:p w14:paraId="2FDBCA0D" w14:textId="77777777" w:rsidR="00FE6382" w:rsidRPr="002870AE" w:rsidRDefault="00FE6382" w:rsidP="002870AE">
      <w:pPr>
        <w:pStyle w:val="PargrafodaLista"/>
        <w:numPr>
          <w:ilvl w:val="0"/>
          <w:numId w:val="5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Na eficiência, satisfação das necessidades de longo prazo dos consumidores, inovação e outros resultados do mercado;</w:t>
      </w:r>
    </w:p>
    <w:p w14:paraId="1DE31204" w14:textId="77777777" w:rsidR="00FE6382" w:rsidRPr="002870AE" w:rsidRDefault="00FE6382" w:rsidP="002870AE">
      <w:pPr>
        <w:pStyle w:val="PargrafodaLista"/>
        <w:numPr>
          <w:ilvl w:val="0"/>
          <w:numId w:val="52"/>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termos do custo regulamentar sobre as empresas. Tendo em conta a dimensão da empresa, poderá a regulação imposta gerar custos que forçarão a empresa a abandonar o mercado.</w:t>
      </w:r>
    </w:p>
    <w:p w14:paraId="2B36ED42"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Se um ou mais operadores gozam de uma posição dominante e, consequentemente, foram designados como tendo PMS, geralmente a ARN deve impor pelo menos uma obrigação, mas pode impor mais do que uma, a ser escolhida entre várias opções disponíveis. As obrigações, portanto, podem ser aplicadas separadamente ou em combinação, conforme as circunstâncias do mercado relevante e da natureza e fonte de posição dominante. Esta seção procura descrever o conjunto de obrigações predefinidas que estão disponíveis para uso pela ARN e de que forma as obrigações interagem e podem ser mutuamente dependentes.</w:t>
      </w:r>
    </w:p>
    <w:p w14:paraId="7538D397"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Para descrever essas obrigações, usamos o quadro regulamentar da União Europeia (UE)</w:t>
      </w:r>
      <w:r w:rsidRPr="002870AE">
        <w:rPr>
          <w:rStyle w:val="Refdenotaderodap"/>
          <w:rFonts w:ascii="Times New Roman" w:hAnsi="Times New Roman"/>
          <w:sz w:val="24"/>
          <w:szCs w:val="24"/>
        </w:rPr>
        <w:footnoteReference w:id="33"/>
      </w:r>
      <w:r w:rsidRPr="002870AE">
        <w:rPr>
          <w:rFonts w:ascii="Times New Roman" w:hAnsi="Times New Roman" w:cs="Times New Roman"/>
          <w:sz w:val="24"/>
          <w:szCs w:val="24"/>
          <w:lang w:val="pt-PT"/>
        </w:rPr>
        <w:t xml:space="preserve"> que, em uma Consulta Pública, sistematiza as obrigações / soluções</w:t>
      </w:r>
      <w:r w:rsidRPr="002870AE">
        <w:rPr>
          <w:rStyle w:val="Refdenotaderodap"/>
          <w:rFonts w:ascii="Times New Roman" w:hAnsi="Times New Roman"/>
          <w:sz w:val="24"/>
          <w:szCs w:val="24"/>
        </w:rPr>
        <w:footnoteReference w:id="34"/>
      </w:r>
      <w:r w:rsidRPr="002870AE">
        <w:rPr>
          <w:rFonts w:ascii="Times New Roman" w:hAnsi="Times New Roman" w:cs="Times New Roman"/>
          <w:sz w:val="24"/>
          <w:szCs w:val="24"/>
          <w:lang w:val="pt-PT"/>
        </w:rPr>
        <w:t xml:space="preserve"> mais comuns para uma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A estrutura define uma série de obrigações para os mercados grossista e de retalho. </w:t>
      </w:r>
    </w:p>
    <w:p w14:paraId="201A472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Os diferentes tipos de obrigações normalmente usadas nos mercados grossistas são, por ordem crescente de rigor:</w:t>
      </w:r>
    </w:p>
    <w:p w14:paraId="2B28BAC0" w14:textId="77777777" w:rsidR="00FE6382" w:rsidRPr="002870AE" w:rsidRDefault="00FE6382" w:rsidP="002870AE">
      <w:pPr>
        <w:pStyle w:val="PargrafodaLista"/>
        <w:numPr>
          <w:ilvl w:val="0"/>
          <w:numId w:val="53"/>
        </w:numPr>
        <w:jc w:val="both"/>
        <w:rPr>
          <w:rFonts w:ascii="Times New Roman" w:hAnsi="Times New Roman" w:cs="Times New Roman"/>
          <w:sz w:val="24"/>
          <w:szCs w:val="24"/>
          <w:lang w:val="pt-PT"/>
        </w:rPr>
      </w:pPr>
      <w:r w:rsidRPr="002870AE">
        <w:rPr>
          <w:rFonts w:ascii="Times New Roman" w:hAnsi="Times New Roman" w:cs="Times New Roman"/>
          <w:color w:val="000000"/>
          <w:sz w:val="24"/>
          <w:szCs w:val="24"/>
          <w:lang w:val="pt-PT"/>
        </w:rPr>
        <w:t>Obrigações de transparência, que exigem sejam tornadas públicas determinadas informações, como por exemplo, informações contabilísticas, especificidades técnicas, características da rede, termos e condições da oferta, níveis de serviço e preços, podendo a ARN especificar as informações exatas e o nível de detalhe a disponibilizar</w:t>
      </w:r>
      <w:r w:rsidRPr="002870AE">
        <w:rPr>
          <w:rFonts w:ascii="Times New Roman" w:hAnsi="Times New Roman" w:cs="Times New Roman"/>
          <w:sz w:val="24"/>
          <w:szCs w:val="24"/>
          <w:lang w:val="pt-PT"/>
        </w:rPr>
        <w:t>; normalmente, é uma medida relacionada à obrigação de acesso e/ou interconexão, imposta por meio da publicação de ofertas de referência de interconexão e ofertas de referência de desagregação que exigem a publicação oficial de preços e níveis de serviço;</w:t>
      </w:r>
    </w:p>
    <w:p w14:paraId="54911CD5" w14:textId="77777777" w:rsidR="00FE6382" w:rsidRPr="002870AE" w:rsidRDefault="00FE6382" w:rsidP="002870AE">
      <w:pPr>
        <w:pStyle w:val="PargrafodaLista"/>
        <w:numPr>
          <w:ilvl w:val="0"/>
          <w:numId w:val="5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Uma obrigação de não discriminação, que consiste em aplicar condições equivalentes em circunstâncias equivalentes e não discriminar a favor das próprias subsidiárias ou parceiros da empresa regulada;</w:t>
      </w:r>
    </w:p>
    <w:p w14:paraId="5E0C0359" w14:textId="77777777" w:rsidR="00FE6382" w:rsidRPr="002870AE" w:rsidRDefault="00FE6382" w:rsidP="002870AE">
      <w:pPr>
        <w:pStyle w:val="PargrafodaLista"/>
        <w:numPr>
          <w:ilvl w:val="0"/>
          <w:numId w:val="5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Uma obrigação de separação de contas para tornar transparentes os preços internos de transferência para a operação a jusante da própria empresa regulada, a fim de garantir o cumprimento de uma obrigação de não discriminação ou impedir subsídios cruzados injustos;</w:t>
      </w:r>
    </w:p>
    <w:p w14:paraId="0DE963B9" w14:textId="77777777" w:rsidR="00FE6382" w:rsidRPr="002870AE" w:rsidRDefault="00FE6382" w:rsidP="002870AE">
      <w:pPr>
        <w:pStyle w:val="PargrafodaLista"/>
        <w:numPr>
          <w:ilvl w:val="0"/>
          <w:numId w:val="5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Uma obrigação de acesso que consiste em atender a solicitações razoáveis ​​de acesso ou interconexão ou partilhar elementos de rede específicos. A obrigação de acesso pode assumir diferentes formas, incluindo a obrigação de negociar de boa fé os termos e condições do acesso;</w:t>
      </w:r>
    </w:p>
    <w:p w14:paraId="4DA36362" w14:textId="1ADFF68B" w:rsidR="00FE6382" w:rsidRPr="002870AE" w:rsidRDefault="00FE6382" w:rsidP="002870AE">
      <w:pPr>
        <w:pStyle w:val="PargrafodaLista"/>
        <w:numPr>
          <w:ilvl w:val="0"/>
          <w:numId w:val="53"/>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Uma obrigação de controle de preços e contabilidade de custos que pode exigir que os operadores definam que os preços de acesso devam ser orientados para os custos ou a imposição de um controlo de preços à empresa regulada definindo tetos máximos ou preços mínimos.</w:t>
      </w:r>
    </w:p>
    <w:p w14:paraId="102882C4" w14:textId="1A9CB82D"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Dentro de cada uma dessas opções, existem inúmeras variações nos remédios a serem impostos, por exemplo, o controlo de preços grossista poderia ser implementado de várias maneiras. Além disso, as </w:t>
      </w:r>
      <w:r w:rsidR="00B053C2" w:rsidRPr="002870AE">
        <w:rPr>
          <w:rFonts w:ascii="Times New Roman" w:hAnsi="Times New Roman" w:cs="Times New Roman"/>
          <w:sz w:val="24"/>
          <w:szCs w:val="24"/>
          <w:lang w:val="pt-PT"/>
        </w:rPr>
        <w:t>Autoridades Reguladoras Nacionais</w:t>
      </w:r>
      <w:r w:rsidRPr="002870AE">
        <w:rPr>
          <w:rFonts w:ascii="Times New Roman" w:hAnsi="Times New Roman" w:cs="Times New Roman"/>
          <w:sz w:val="24"/>
          <w:szCs w:val="24"/>
          <w:lang w:val="pt-PT"/>
        </w:rPr>
        <w:t xml:space="preserve"> podem impor remédios fora desta lista.</w:t>
      </w:r>
    </w:p>
    <w:p w14:paraId="7D2D5CB6" w14:textId="347C9A1C"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Esta seção procura examinar os tipos de obrigações predeterminadas que estão disponíveis para uso pelas A</w:t>
      </w:r>
      <w:r w:rsidR="00B053C2" w:rsidRPr="002870AE">
        <w:rPr>
          <w:rFonts w:ascii="Times New Roman" w:hAnsi="Times New Roman" w:cs="Times New Roman"/>
          <w:sz w:val="24"/>
          <w:szCs w:val="24"/>
          <w:lang w:val="pt-PT"/>
        </w:rPr>
        <w:t xml:space="preserve">utoridades </w:t>
      </w:r>
      <w:r w:rsidRPr="002870AE">
        <w:rPr>
          <w:rFonts w:ascii="Times New Roman" w:hAnsi="Times New Roman" w:cs="Times New Roman"/>
          <w:sz w:val="24"/>
          <w:szCs w:val="24"/>
          <w:lang w:val="pt-PT"/>
        </w:rPr>
        <w:t>R</w:t>
      </w:r>
      <w:r w:rsidR="00B053C2" w:rsidRPr="002870AE">
        <w:rPr>
          <w:rFonts w:ascii="Times New Roman" w:hAnsi="Times New Roman" w:cs="Times New Roman"/>
          <w:sz w:val="24"/>
          <w:szCs w:val="24"/>
          <w:lang w:val="pt-PT"/>
        </w:rPr>
        <w:t xml:space="preserve">eguladoras </w:t>
      </w:r>
      <w:r w:rsidRPr="002870AE">
        <w:rPr>
          <w:rFonts w:ascii="Times New Roman" w:hAnsi="Times New Roman" w:cs="Times New Roman"/>
          <w:sz w:val="24"/>
          <w:szCs w:val="24"/>
          <w:lang w:val="pt-PT"/>
        </w:rPr>
        <w:t>N</w:t>
      </w:r>
      <w:r w:rsidR="00B053C2" w:rsidRPr="002870AE">
        <w:rPr>
          <w:rFonts w:ascii="Times New Roman" w:hAnsi="Times New Roman" w:cs="Times New Roman"/>
          <w:sz w:val="24"/>
          <w:szCs w:val="24"/>
          <w:lang w:val="pt-PT"/>
        </w:rPr>
        <w:t>acionai</w:t>
      </w:r>
      <w:r w:rsidRPr="002870AE">
        <w:rPr>
          <w:rFonts w:ascii="Times New Roman" w:hAnsi="Times New Roman" w:cs="Times New Roman"/>
          <w:sz w:val="24"/>
          <w:szCs w:val="24"/>
          <w:lang w:val="pt-PT"/>
        </w:rPr>
        <w:t xml:space="preserve">s, no entanto, deve-se referir que as obrigações a impor interagem e podem ser mutuamente dependentes e os problemas práticos relacionados com a sua implementação são específicos de cada mercado e podem variar substancialmente. Não existe receita uniforme para qualquer situação e, certamente, não há vinculação única de problemas e obrigações da concorrência para solucionar falhas de mercado. A obrigação/solução apropriada será sempre ditada pelos problemas específicos identificados pelas </w:t>
      </w:r>
      <w:r w:rsidR="00B053C2" w:rsidRPr="002870AE">
        <w:rPr>
          <w:rFonts w:ascii="Times New Roman" w:hAnsi="Times New Roman" w:cs="Times New Roman"/>
          <w:sz w:val="24"/>
          <w:szCs w:val="24"/>
          <w:lang w:val="pt-PT"/>
        </w:rPr>
        <w:t>Autoridades Reguladoras Nacionais</w:t>
      </w:r>
      <w:r w:rsidRPr="002870AE">
        <w:rPr>
          <w:rFonts w:ascii="Times New Roman" w:hAnsi="Times New Roman" w:cs="Times New Roman"/>
          <w:sz w:val="24"/>
          <w:szCs w:val="24"/>
          <w:lang w:val="pt-PT"/>
        </w:rPr>
        <w:t xml:space="preserve"> num determinado mercado.</w:t>
      </w:r>
    </w:p>
    <w:p w14:paraId="504AA535"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As obrigações grossistas disponíveis (em ordem crescente de rigor) são descritas em mais detalhes nas Tabelas 1 a 5 abaixo apresentadas. Deve-se ter em mente que um problema específico de concorrência é geralmente abordado por mais de um remédio. A combinação de remédios adequados, como dito anteriormente, depende das condições do mercado em análise.</w:t>
      </w:r>
    </w:p>
    <w:p w14:paraId="5AB0BC17" w14:textId="77777777" w:rsidR="00FE6382" w:rsidRPr="002870AE" w:rsidRDefault="00FE6382" w:rsidP="002870AE">
      <w:pPr>
        <w:pStyle w:val="PYRExhibitChartheader"/>
        <w:rPr>
          <w:rFonts w:ascii="Times New Roman" w:hAnsi="Times New Roman"/>
          <w:sz w:val="24"/>
          <w:szCs w:val="24"/>
          <w:lang w:val="pt-PT"/>
        </w:rPr>
      </w:pPr>
      <w:r w:rsidRPr="002870AE">
        <w:rPr>
          <w:rFonts w:ascii="Times New Roman" w:hAnsi="Times New Roman"/>
          <w:sz w:val="24"/>
          <w:szCs w:val="24"/>
          <w:lang w:val="pt-PT"/>
        </w:rPr>
        <w:t>Tabela 1: Mercados grossistas, obrigações disponíveis para alavancagem vertical.</w:t>
      </w:r>
    </w:p>
    <w:tbl>
      <w:tblPr>
        <w:tblStyle w:val="TabelacomGrelha"/>
        <w:tblW w:w="10065" w:type="dxa"/>
        <w:tblInd w:w="-431" w:type="dxa"/>
        <w:tblLook w:val="04A0" w:firstRow="1" w:lastRow="0" w:firstColumn="1" w:lastColumn="0" w:noHBand="0" w:noVBand="1"/>
      </w:tblPr>
      <w:tblGrid>
        <w:gridCol w:w="2694"/>
        <w:gridCol w:w="1701"/>
        <w:gridCol w:w="5670"/>
      </w:tblGrid>
      <w:tr w:rsidR="00FE6382" w:rsidRPr="002870AE" w14:paraId="154B864B" w14:textId="77777777" w:rsidTr="00D361A1">
        <w:tc>
          <w:tcPr>
            <w:tcW w:w="2694" w:type="dxa"/>
            <w:vAlign w:val="center"/>
          </w:tcPr>
          <w:p w14:paraId="492CB664"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1701" w:type="dxa"/>
            <w:vAlign w:val="center"/>
          </w:tcPr>
          <w:p w14:paraId="535DF3B7"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Tipo de obrigação</w:t>
            </w:r>
          </w:p>
        </w:tc>
        <w:tc>
          <w:tcPr>
            <w:tcW w:w="5670" w:type="dxa"/>
            <w:vAlign w:val="center"/>
          </w:tcPr>
          <w:p w14:paraId="565BA811"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Imposição de obrigações</w:t>
            </w:r>
          </w:p>
        </w:tc>
      </w:tr>
      <w:tr w:rsidR="00FE6382" w:rsidRPr="000A51F8" w14:paraId="1F65B41A" w14:textId="77777777" w:rsidTr="00D361A1">
        <w:tc>
          <w:tcPr>
            <w:tcW w:w="2694" w:type="dxa"/>
            <w:vAlign w:val="center"/>
          </w:tcPr>
          <w:p w14:paraId="0D6BB73A"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Uso discriminatório ou retenção de informações</w:t>
            </w:r>
          </w:p>
          <w:p w14:paraId="7860E696"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Táticas de atraso</w:t>
            </w:r>
          </w:p>
          <w:p w14:paraId="387B0360"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Pacotes / subordinação</w:t>
            </w:r>
          </w:p>
          <w:p w14:paraId="623D4F84"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Requisitos indevidos</w:t>
            </w:r>
          </w:p>
          <w:p w14:paraId="65206C65"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Discriminação de qualidade</w:t>
            </w:r>
          </w:p>
          <w:p w14:paraId="27EB38AF" w14:textId="77777777" w:rsidR="00FE6382" w:rsidRPr="002870AE" w:rsidRDefault="00FE6382" w:rsidP="00D361A1">
            <w:pPr>
              <w:pStyle w:val="Default"/>
              <w:numPr>
                <w:ilvl w:val="0"/>
                <w:numId w:val="31"/>
              </w:numPr>
              <w:rPr>
                <w:rFonts w:ascii="Times New Roman" w:hAnsi="Times New Roman" w:cs="Times New Roman"/>
                <w:lang w:val="pt-PT"/>
              </w:rPr>
            </w:pPr>
            <w:r w:rsidRPr="002870AE">
              <w:rPr>
                <w:rFonts w:ascii="Times New Roman" w:hAnsi="Times New Roman" w:cs="Times New Roman"/>
                <w:lang w:val="pt-PT"/>
              </w:rPr>
              <w:t>Desenho estratégico do produto</w:t>
            </w:r>
          </w:p>
          <w:p w14:paraId="05EA4AD3" w14:textId="77777777" w:rsidR="00FE6382" w:rsidRPr="002870AE" w:rsidRDefault="00FE6382" w:rsidP="00D361A1">
            <w:pPr>
              <w:pStyle w:val="Default"/>
              <w:ind w:left="360"/>
              <w:rPr>
                <w:rFonts w:ascii="Times New Roman" w:hAnsi="Times New Roman" w:cs="Times New Roman"/>
                <w:lang w:val="en-US"/>
              </w:rPr>
            </w:pPr>
          </w:p>
        </w:tc>
        <w:tc>
          <w:tcPr>
            <w:tcW w:w="1701" w:type="dxa"/>
            <w:vAlign w:val="center"/>
          </w:tcPr>
          <w:p w14:paraId="469DB866" w14:textId="0875BCF7" w:rsidR="00FE6382" w:rsidRPr="002870AE" w:rsidRDefault="00FE6382" w:rsidP="00D361A1">
            <w:pPr>
              <w:pStyle w:val="Default"/>
              <w:jc w:val="center"/>
              <w:rPr>
                <w:rFonts w:ascii="Times New Roman" w:hAnsi="Times New Roman" w:cs="Times New Roman"/>
                <w:lang w:val="en-US"/>
              </w:rPr>
            </w:pPr>
            <w:r w:rsidRPr="002870AE">
              <w:rPr>
                <w:rFonts w:ascii="Times New Roman" w:hAnsi="Times New Roman" w:cs="Times New Roman"/>
                <w:lang w:val="pt-PT"/>
              </w:rPr>
              <w:t>Transparência</w:t>
            </w:r>
          </w:p>
        </w:tc>
        <w:tc>
          <w:tcPr>
            <w:tcW w:w="5670" w:type="dxa"/>
          </w:tcPr>
          <w:p w14:paraId="2BB7FEB7"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Publicação de informações: um requisito para que o operador dominante publique determinadas informações para garantir que clientes e concorrentes tenham melhor entendimento da atuação do licenciado dominante. Este remédio seria aplicado onde os danos causados pela dominância provavelmente se baseariam na assimetria de informações decorrente da sua posição no mercado: há mais tempo no mercado e/ou acesso a melhores e mais informações do que outros operadores e clientes.</w:t>
            </w:r>
          </w:p>
          <w:p w14:paraId="4CB38E44" w14:textId="2435AA91"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b) Oferta de referência: para obter transparência, as </w:t>
            </w:r>
            <w:r w:rsidR="00B053C2" w:rsidRPr="002870AE">
              <w:rPr>
                <w:rFonts w:ascii="Times New Roman" w:hAnsi="Times New Roman" w:cs="Times New Roman"/>
                <w:lang w:val="pt-PT"/>
              </w:rPr>
              <w:t>Autoridades Reguladoras Nacionais</w:t>
            </w:r>
            <w:r w:rsidRPr="002870AE">
              <w:rPr>
                <w:rFonts w:ascii="Times New Roman" w:hAnsi="Times New Roman" w:cs="Times New Roman"/>
                <w:lang w:val="pt-PT"/>
              </w:rPr>
              <w:t xml:space="preserve"> podem exigir que os operadores publiquem uma oferta de referência para serviços, fornecendo termos e condições precisos, disponibilizados com o nível de detalhe determinado pela ARN.</w:t>
            </w:r>
          </w:p>
        </w:tc>
      </w:tr>
      <w:tr w:rsidR="00FE6382" w:rsidRPr="000A51F8" w14:paraId="56AC939B" w14:textId="77777777" w:rsidTr="00D361A1">
        <w:tc>
          <w:tcPr>
            <w:tcW w:w="2694" w:type="dxa"/>
            <w:vAlign w:val="center"/>
          </w:tcPr>
          <w:p w14:paraId="1BBB046B" w14:textId="77777777" w:rsidR="00FE6382" w:rsidRPr="002870AE" w:rsidRDefault="00FE6382" w:rsidP="00D361A1">
            <w:pPr>
              <w:pStyle w:val="Default"/>
              <w:numPr>
                <w:ilvl w:val="0"/>
                <w:numId w:val="32"/>
              </w:numPr>
              <w:rPr>
                <w:rFonts w:ascii="Times New Roman" w:hAnsi="Times New Roman" w:cs="Times New Roman"/>
                <w:lang w:val="pt-PT"/>
              </w:rPr>
            </w:pPr>
            <w:r w:rsidRPr="002870AE">
              <w:rPr>
                <w:rFonts w:ascii="Times New Roman" w:hAnsi="Times New Roman" w:cs="Times New Roman"/>
                <w:lang w:val="pt-PT"/>
              </w:rPr>
              <w:t>Recusa em negociar/negar acesso (preços excessivos)</w:t>
            </w:r>
          </w:p>
          <w:p w14:paraId="70A52E79" w14:textId="77777777" w:rsidR="00FE6382" w:rsidRPr="002870AE" w:rsidRDefault="00FE6382" w:rsidP="00D361A1">
            <w:pPr>
              <w:pStyle w:val="Default"/>
              <w:numPr>
                <w:ilvl w:val="0"/>
                <w:numId w:val="32"/>
              </w:numPr>
              <w:rPr>
                <w:rFonts w:ascii="Times New Roman" w:hAnsi="Times New Roman" w:cs="Times New Roman"/>
                <w:lang w:val="pt-PT"/>
              </w:rPr>
            </w:pPr>
            <w:r w:rsidRPr="002870AE">
              <w:rPr>
                <w:rFonts w:ascii="Times New Roman" w:hAnsi="Times New Roman" w:cs="Times New Roman"/>
                <w:lang w:val="pt-PT"/>
              </w:rPr>
              <w:t>Uso discriminatório ou retenção de informações</w:t>
            </w:r>
          </w:p>
          <w:p w14:paraId="0BF4BB3E" w14:textId="77777777" w:rsidR="00FE6382" w:rsidRPr="002870AE" w:rsidRDefault="00FE6382" w:rsidP="00D361A1">
            <w:pPr>
              <w:pStyle w:val="Default"/>
              <w:numPr>
                <w:ilvl w:val="0"/>
                <w:numId w:val="32"/>
              </w:numPr>
              <w:rPr>
                <w:rFonts w:ascii="Times New Roman" w:hAnsi="Times New Roman" w:cs="Times New Roman"/>
                <w:lang w:val="pt-PT"/>
              </w:rPr>
            </w:pPr>
            <w:r w:rsidRPr="002870AE">
              <w:rPr>
                <w:rFonts w:ascii="Times New Roman" w:hAnsi="Times New Roman" w:cs="Times New Roman"/>
                <w:lang w:val="pt-PT"/>
              </w:rPr>
              <w:t>Táticas de atraso</w:t>
            </w:r>
          </w:p>
          <w:p w14:paraId="46BFE090" w14:textId="77777777" w:rsidR="00FE6382" w:rsidRPr="002870AE" w:rsidRDefault="00FE6382" w:rsidP="00D361A1">
            <w:pPr>
              <w:pStyle w:val="Default"/>
              <w:numPr>
                <w:ilvl w:val="0"/>
                <w:numId w:val="32"/>
              </w:numPr>
              <w:rPr>
                <w:rFonts w:ascii="Times New Roman" w:hAnsi="Times New Roman" w:cs="Times New Roman"/>
                <w:lang w:val="pt-PT"/>
              </w:rPr>
            </w:pPr>
            <w:r w:rsidRPr="002870AE">
              <w:rPr>
                <w:rFonts w:ascii="Times New Roman" w:hAnsi="Times New Roman" w:cs="Times New Roman"/>
                <w:lang w:val="pt-PT"/>
              </w:rPr>
              <w:t>Discriminação de qualidade</w:t>
            </w:r>
          </w:p>
          <w:p w14:paraId="4A16C024" w14:textId="77777777" w:rsidR="00FE6382" w:rsidRPr="002870AE" w:rsidRDefault="00FE6382" w:rsidP="00D361A1">
            <w:pPr>
              <w:pStyle w:val="Default"/>
              <w:numPr>
                <w:ilvl w:val="0"/>
                <w:numId w:val="32"/>
              </w:numPr>
              <w:rPr>
                <w:rFonts w:ascii="Times New Roman" w:hAnsi="Times New Roman" w:cs="Times New Roman"/>
                <w:lang w:val="pt-PT"/>
              </w:rPr>
            </w:pPr>
            <w:r w:rsidRPr="002870AE">
              <w:rPr>
                <w:rFonts w:ascii="Times New Roman" w:hAnsi="Times New Roman" w:cs="Times New Roman"/>
                <w:lang w:val="pt-PT"/>
              </w:rPr>
              <w:t>Desenho estratégico do produto</w:t>
            </w:r>
          </w:p>
          <w:p w14:paraId="65D5F806" w14:textId="77777777" w:rsidR="00FE6382" w:rsidRPr="002870AE" w:rsidRDefault="00FE6382" w:rsidP="00D361A1">
            <w:pPr>
              <w:pStyle w:val="Default"/>
              <w:rPr>
                <w:rFonts w:ascii="Times New Roman" w:hAnsi="Times New Roman" w:cs="Times New Roman"/>
                <w:lang w:val="pt-PT"/>
              </w:rPr>
            </w:pPr>
          </w:p>
        </w:tc>
        <w:tc>
          <w:tcPr>
            <w:tcW w:w="1701" w:type="dxa"/>
            <w:vAlign w:val="center"/>
          </w:tcPr>
          <w:p w14:paraId="6F142471" w14:textId="27DF029C"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Não discriminação</w:t>
            </w:r>
          </w:p>
        </w:tc>
        <w:tc>
          <w:tcPr>
            <w:tcW w:w="5670" w:type="dxa"/>
          </w:tcPr>
          <w:p w14:paraId="72C6FB88"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Exigência que o operador dominante aplique condições equivalentes em circunstâncias equivalentes. Uma empresa verticalmente integrada deve fornecer serviços e informações a terceiros sob as mesmas condições e qualidade que fornece para os seus próprios serviços ou subsidiárias. Esta obrigação é principalmente relevante no caso de um operador com PSM verticalmente integrado num mercado competitivo para evitar comportamentos que tenham como objetivo a exclusão da concorrência no mercado a montante ou a jusante. </w:t>
            </w:r>
          </w:p>
        </w:tc>
      </w:tr>
      <w:tr w:rsidR="00FE6382" w:rsidRPr="000A51F8" w14:paraId="5505C2BD" w14:textId="77777777" w:rsidTr="00D361A1">
        <w:tc>
          <w:tcPr>
            <w:tcW w:w="2694" w:type="dxa"/>
            <w:vAlign w:val="center"/>
          </w:tcPr>
          <w:p w14:paraId="35A77D3F" w14:textId="77777777" w:rsidR="00FE6382" w:rsidRPr="002870AE" w:rsidRDefault="00FE6382" w:rsidP="00D361A1">
            <w:pPr>
              <w:pStyle w:val="Default"/>
              <w:numPr>
                <w:ilvl w:val="0"/>
                <w:numId w:val="33"/>
              </w:numPr>
              <w:rPr>
                <w:rFonts w:ascii="Times New Roman" w:hAnsi="Times New Roman" w:cs="Times New Roman"/>
                <w:lang w:val="pt-PT"/>
              </w:rPr>
            </w:pPr>
            <w:r w:rsidRPr="002870AE">
              <w:rPr>
                <w:rFonts w:ascii="Times New Roman" w:hAnsi="Times New Roman" w:cs="Times New Roman"/>
                <w:lang w:val="pt-PT"/>
              </w:rPr>
              <w:lastRenderedPageBreak/>
              <w:t>Recusa em negociar/negar acesso (preços excessivos)</w:t>
            </w:r>
          </w:p>
          <w:p w14:paraId="757CAEDA" w14:textId="77777777" w:rsidR="00FE6382" w:rsidRPr="002870AE" w:rsidRDefault="00FE6382" w:rsidP="00D361A1">
            <w:pPr>
              <w:pStyle w:val="Default"/>
              <w:numPr>
                <w:ilvl w:val="0"/>
                <w:numId w:val="33"/>
              </w:numPr>
              <w:rPr>
                <w:rFonts w:ascii="Times New Roman" w:hAnsi="Times New Roman" w:cs="Times New Roman"/>
                <w:lang w:val="pt-PT"/>
              </w:rPr>
            </w:pPr>
            <w:r w:rsidRPr="002870AE">
              <w:rPr>
                <w:rFonts w:ascii="Times New Roman" w:hAnsi="Times New Roman" w:cs="Times New Roman"/>
                <w:lang w:val="pt-PT"/>
              </w:rPr>
              <w:t>Discriminação de preços</w:t>
            </w:r>
          </w:p>
          <w:p w14:paraId="4B4CE0A6" w14:textId="77777777" w:rsidR="00FE6382" w:rsidRPr="002870AE" w:rsidRDefault="00FE6382" w:rsidP="00D361A1">
            <w:pPr>
              <w:pStyle w:val="Default"/>
              <w:numPr>
                <w:ilvl w:val="0"/>
                <w:numId w:val="33"/>
              </w:numPr>
              <w:rPr>
                <w:rFonts w:ascii="Times New Roman" w:hAnsi="Times New Roman" w:cs="Times New Roman"/>
                <w:lang w:val="pt-PT"/>
              </w:rPr>
            </w:pPr>
            <w:r w:rsidRPr="002870AE">
              <w:rPr>
                <w:rFonts w:ascii="Times New Roman" w:hAnsi="Times New Roman" w:cs="Times New Roman"/>
                <w:lang w:val="pt-PT"/>
              </w:rPr>
              <w:t>Subsidiação cruzada</w:t>
            </w:r>
          </w:p>
          <w:p w14:paraId="5F531918" w14:textId="77777777" w:rsidR="00FE6382" w:rsidRPr="002870AE" w:rsidRDefault="00FE6382" w:rsidP="00D361A1">
            <w:pPr>
              <w:pStyle w:val="Default"/>
              <w:numPr>
                <w:ilvl w:val="0"/>
                <w:numId w:val="33"/>
              </w:numPr>
              <w:rPr>
                <w:rFonts w:ascii="Times New Roman" w:hAnsi="Times New Roman" w:cs="Times New Roman"/>
                <w:lang w:val="pt-PT"/>
              </w:rPr>
            </w:pPr>
            <w:r w:rsidRPr="002870AE">
              <w:rPr>
                <w:rFonts w:ascii="Times New Roman" w:hAnsi="Times New Roman" w:cs="Times New Roman"/>
                <w:lang w:val="pt-PT"/>
              </w:rPr>
              <w:t>Discriminação de qualidade</w:t>
            </w:r>
          </w:p>
          <w:p w14:paraId="11F690ED" w14:textId="77777777" w:rsidR="00FE6382" w:rsidRPr="002870AE" w:rsidRDefault="00FE6382" w:rsidP="00D361A1">
            <w:pPr>
              <w:pStyle w:val="Default"/>
              <w:numPr>
                <w:ilvl w:val="0"/>
                <w:numId w:val="33"/>
              </w:numPr>
              <w:rPr>
                <w:rFonts w:ascii="Times New Roman" w:hAnsi="Times New Roman" w:cs="Times New Roman"/>
                <w:lang w:val="pt-PT"/>
              </w:rPr>
            </w:pPr>
            <w:r w:rsidRPr="002870AE">
              <w:rPr>
                <w:rFonts w:ascii="Times New Roman" w:hAnsi="Times New Roman" w:cs="Times New Roman"/>
                <w:lang w:val="pt-PT"/>
              </w:rPr>
              <w:t>Desenho estratégico do produto</w:t>
            </w:r>
          </w:p>
        </w:tc>
        <w:tc>
          <w:tcPr>
            <w:tcW w:w="1701" w:type="dxa"/>
            <w:vAlign w:val="center"/>
          </w:tcPr>
          <w:p w14:paraId="3B229A75"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 xml:space="preserve">Separação de contas </w:t>
            </w:r>
          </w:p>
        </w:tc>
        <w:tc>
          <w:tcPr>
            <w:tcW w:w="5670" w:type="dxa"/>
          </w:tcPr>
          <w:p w14:paraId="398C437C"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Para permitir que a ARN defina e verifique o preço de acesso grossista correto, o operador deve produzir contas separadas com o nível de detalhe especificado e usando os métodos contabilísticos definidos pela ARN.</w:t>
            </w:r>
          </w:p>
        </w:tc>
      </w:tr>
      <w:tr w:rsidR="00FE6382" w:rsidRPr="000A51F8" w14:paraId="0F510CAE" w14:textId="77777777" w:rsidTr="00D361A1">
        <w:tc>
          <w:tcPr>
            <w:tcW w:w="2694" w:type="dxa"/>
            <w:vAlign w:val="center"/>
          </w:tcPr>
          <w:p w14:paraId="590CAC91" w14:textId="77777777" w:rsidR="00FE6382" w:rsidRPr="002870AE" w:rsidRDefault="00FE6382" w:rsidP="00D361A1">
            <w:pPr>
              <w:pStyle w:val="Default"/>
              <w:numPr>
                <w:ilvl w:val="0"/>
                <w:numId w:val="34"/>
              </w:numPr>
              <w:rPr>
                <w:rFonts w:ascii="Times New Roman" w:hAnsi="Times New Roman" w:cs="Times New Roman"/>
                <w:lang w:val="pt-PT"/>
              </w:rPr>
            </w:pPr>
            <w:r w:rsidRPr="002870AE">
              <w:rPr>
                <w:rFonts w:ascii="Times New Roman" w:hAnsi="Times New Roman" w:cs="Times New Roman"/>
                <w:lang w:val="pt-PT"/>
              </w:rPr>
              <w:t>Recusa em negociar/negar acesso (preços excessivos)</w:t>
            </w:r>
          </w:p>
          <w:p w14:paraId="564523B2" w14:textId="77777777" w:rsidR="00FE6382" w:rsidRPr="002870AE" w:rsidRDefault="00FE6382" w:rsidP="00D361A1">
            <w:pPr>
              <w:pStyle w:val="Default"/>
              <w:numPr>
                <w:ilvl w:val="0"/>
                <w:numId w:val="34"/>
              </w:numPr>
              <w:rPr>
                <w:rFonts w:ascii="Times New Roman" w:hAnsi="Times New Roman" w:cs="Times New Roman"/>
                <w:lang w:val="pt-PT"/>
              </w:rPr>
            </w:pPr>
            <w:r w:rsidRPr="002870AE">
              <w:rPr>
                <w:rFonts w:ascii="Times New Roman" w:hAnsi="Times New Roman" w:cs="Times New Roman"/>
                <w:lang w:val="pt-PT"/>
              </w:rPr>
              <w:t>Uso discriminatório ou retenção de informações</w:t>
            </w:r>
          </w:p>
          <w:p w14:paraId="35774885" w14:textId="77777777" w:rsidR="00FE6382" w:rsidRPr="002870AE" w:rsidRDefault="00FE6382" w:rsidP="00D361A1">
            <w:pPr>
              <w:pStyle w:val="Default"/>
              <w:numPr>
                <w:ilvl w:val="0"/>
                <w:numId w:val="34"/>
              </w:numPr>
              <w:rPr>
                <w:rFonts w:ascii="Times New Roman" w:hAnsi="Times New Roman" w:cs="Times New Roman"/>
                <w:lang w:val="pt-PT"/>
              </w:rPr>
            </w:pPr>
            <w:r w:rsidRPr="002870AE">
              <w:rPr>
                <w:rFonts w:ascii="Times New Roman" w:hAnsi="Times New Roman" w:cs="Times New Roman"/>
                <w:lang w:val="pt-PT"/>
              </w:rPr>
              <w:t>Táticas de atraso</w:t>
            </w:r>
          </w:p>
          <w:p w14:paraId="3C25DC86" w14:textId="77777777" w:rsidR="00FE6382" w:rsidRPr="002870AE" w:rsidRDefault="00FE6382" w:rsidP="00D361A1">
            <w:pPr>
              <w:pStyle w:val="Default"/>
              <w:numPr>
                <w:ilvl w:val="0"/>
                <w:numId w:val="34"/>
              </w:numPr>
              <w:rPr>
                <w:rFonts w:ascii="Times New Roman" w:hAnsi="Times New Roman" w:cs="Times New Roman"/>
                <w:lang w:val="pt-PT"/>
              </w:rPr>
            </w:pPr>
            <w:r w:rsidRPr="002870AE">
              <w:rPr>
                <w:rFonts w:ascii="Times New Roman" w:hAnsi="Times New Roman" w:cs="Times New Roman"/>
                <w:lang w:val="pt-PT"/>
              </w:rPr>
              <w:t>Pacotes/subordinação</w:t>
            </w:r>
          </w:p>
          <w:p w14:paraId="1389E217" w14:textId="77777777" w:rsidR="00FE6382" w:rsidRPr="002870AE" w:rsidRDefault="00FE6382" w:rsidP="00D361A1">
            <w:pPr>
              <w:pStyle w:val="Default"/>
              <w:spacing w:before="120" w:after="120"/>
              <w:rPr>
                <w:rFonts w:ascii="Times New Roman" w:hAnsi="Times New Roman" w:cs="Times New Roman"/>
                <w:lang w:val="pt-PT"/>
              </w:rPr>
            </w:pPr>
          </w:p>
        </w:tc>
        <w:tc>
          <w:tcPr>
            <w:tcW w:w="1701" w:type="dxa"/>
            <w:vAlign w:val="center"/>
          </w:tcPr>
          <w:p w14:paraId="2BB344EE"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Obrigação de acesso</w:t>
            </w:r>
          </w:p>
        </w:tc>
        <w:tc>
          <w:tcPr>
            <w:tcW w:w="5670" w:type="dxa"/>
          </w:tcPr>
          <w:p w14:paraId="17681742"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O operador com PSM deve conceder acesso grossista a qualquer input essencial a um preço razoável que pode ou não ser decidido pela ARN. A ARN pode impor obrigações adicionais em termos de um acordo de níveis de serviço e condições técnicas a serem prestados, ao requerente do acesso.</w:t>
            </w:r>
          </w:p>
        </w:tc>
      </w:tr>
      <w:tr w:rsidR="00FE6382" w:rsidRPr="000A51F8" w14:paraId="1C5BABA3" w14:textId="77777777" w:rsidTr="00D361A1">
        <w:tc>
          <w:tcPr>
            <w:tcW w:w="2694" w:type="dxa"/>
            <w:vAlign w:val="center"/>
          </w:tcPr>
          <w:p w14:paraId="3360308D" w14:textId="77777777" w:rsidR="00FE6382" w:rsidRPr="002870AE" w:rsidRDefault="00FE6382" w:rsidP="00D361A1">
            <w:pPr>
              <w:pStyle w:val="Default"/>
              <w:numPr>
                <w:ilvl w:val="0"/>
                <w:numId w:val="35"/>
              </w:numPr>
              <w:rPr>
                <w:rFonts w:ascii="Times New Roman" w:hAnsi="Times New Roman" w:cs="Times New Roman"/>
                <w:lang w:val="pt-PT"/>
              </w:rPr>
            </w:pPr>
            <w:r w:rsidRPr="002870AE">
              <w:rPr>
                <w:rFonts w:ascii="Times New Roman" w:hAnsi="Times New Roman" w:cs="Times New Roman"/>
                <w:lang w:val="pt-PT"/>
              </w:rPr>
              <w:t>Recusa em negociar/negar acesso (preços excessivos)</w:t>
            </w:r>
          </w:p>
          <w:p w14:paraId="0C3353B0" w14:textId="77777777" w:rsidR="00FE6382" w:rsidRPr="002870AE" w:rsidRDefault="00FE6382" w:rsidP="00D361A1">
            <w:pPr>
              <w:pStyle w:val="Default"/>
              <w:numPr>
                <w:ilvl w:val="0"/>
                <w:numId w:val="35"/>
              </w:numPr>
              <w:rPr>
                <w:rFonts w:ascii="Times New Roman" w:hAnsi="Times New Roman" w:cs="Times New Roman"/>
                <w:lang w:val="pt-PT"/>
              </w:rPr>
            </w:pPr>
            <w:r w:rsidRPr="002870AE">
              <w:rPr>
                <w:rFonts w:ascii="Times New Roman" w:hAnsi="Times New Roman" w:cs="Times New Roman"/>
                <w:lang w:val="pt-PT"/>
              </w:rPr>
              <w:t>Discriminação de preços</w:t>
            </w:r>
          </w:p>
          <w:p w14:paraId="281E3ED6" w14:textId="77777777" w:rsidR="00FE6382" w:rsidRPr="002870AE" w:rsidRDefault="00FE6382" w:rsidP="00D361A1">
            <w:pPr>
              <w:pStyle w:val="Default"/>
              <w:numPr>
                <w:ilvl w:val="0"/>
                <w:numId w:val="35"/>
              </w:numPr>
              <w:rPr>
                <w:rFonts w:ascii="Times New Roman" w:hAnsi="Times New Roman" w:cs="Times New Roman"/>
                <w:lang w:val="pt-PT"/>
              </w:rPr>
            </w:pPr>
            <w:r w:rsidRPr="002870AE">
              <w:rPr>
                <w:rFonts w:ascii="Times New Roman" w:hAnsi="Times New Roman" w:cs="Times New Roman"/>
                <w:lang w:val="pt-PT"/>
              </w:rPr>
              <w:t>Subsidiação cruzada</w:t>
            </w:r>
          </w:p>
        </w:tc>
        <w:tc>
          <w:tcPr>
            <w:tcW w:w="1701" w:type="dxa"/>
            <w:vAlign w:val="center"/>
          </w:tcPr>
          <w:p w14:paraId="2B5D5E8D"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Controlo de preços e contabilidade analítica</w:t>
            </w:r>
          </w:p>
        </w:tc>
        <w:tc>
          <w:tcPr>
            <w:tcW w:w="5670" w:type="dxa"/>
          </w:tcPr>
          <w:p w14:paraId="380113A6"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ARN, de acordo com as circunstâncias específicas do mercado, pode definir o preço do serviço grossista, usando diferentes métodos e modelos de contabilidade de custos, a fim de determinar um preço orientado para os custos.</w:t>
            </w:r>
          </w:p>
        </w:tc>
      </w:tr>
    </w:tbl>
    <w:p w14:paraId="03D44803" w14:textId="77777777" w:rsidR="00FE6382" w:rsidRPr="002870AE" w:rsidRDefault="00FE6382" w:rsidP="002870AE">
      <w:pPr>
        <w:jc w:val="both"/>
        <w:rPr>
          <w:rFonts w:ascii="Times New Roman" w:hAnsi="Times New Roman" w:cs="Times New Roman"/>
          <w:sz w:val="24"/>
          <w:szCs w:val="24"/>
          <w:lang w:val="pt-PT"/>
        </w:rPr>
      </w:pPr>
    </w:p>
    <w:p w14:paraId="01DB4C9F" w14:textId="77777777" w:rsidR="00FE6382" w:rsidRPr="002870AE" w:rsidRDefault="00FE6382" w:rsidP="002870AE">
      <w:pPr>
        <w:pStyle w:val="PYRExhibitChartheader"/>
        <w:rPr>
          <w:rFonts w:ascii="Times New Roman" w:hAnsi="Times New Roman"/>
          <w:sz w:val="24"/>
          <w:szCs w:val="24"/>
          <w:lang w:val="pt-PT"/>
        </w:rPr>
      </w:pPr>
      <w:r w:rsidRPr="002870AE">
        <w:rPr>
          <w:rFonts w:ascii="Times New Roman" w:hAnsi="Times New Roman"/>
          <w:sz w:val="24"/>
          <w:szCs w:val="24"/>
          <w:lang w:val="pt-PT"/>
        </w:rPr>
        <w:t>Tabela 2: Mercados grossistas, obrigações disponíveis para alavancagem horizontal.</w:t>
      </w:r>
    </w:p>
    <w:tbl>
      <w:tblPr>
        <w:tblStyle w:val="TabelacomGrelha"/>
        <w:tblW w:w="10065" w:type="dxa"/>
        <w:tblInd w:w="-431" w:type="dxa"/>
        <w:tblLook w:val="04A0" w:firstRow="1" w:lastRow="0" w:firstColumn="1" w:lastColumn="0" w:noHBand="0" w:noVBand="1"/>
      </w:tblPr>
      <w:tblGrid>
        <w:gridCol w:w="2694"/>
        <w:gridCol w:w="1701"/>
        <w:gridCol w:w="5670"/>
      </w:tblGrid>
      <w:tr w:rsidR="00FE6382" w:rsidRPr="002870AE" w14:paraId="6AB862DA" w14:textId="77777777" w:rsidTr="00D361A1">
        <w:tc>
          <w:tcPr>
            <w:tcW w:w="2694" w:type="dxa"/>
          </w:tcPr>
          <w:p w14:paraId="551725B6"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1701" w:type="dxa"/>
          </w:tcPr>
          <w:p w14:paraId="740E8890"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Tipo de obrigação</w:t>
            </w:r>
          </w:p>
        </w:tc>
        <w:tc>
          <w:tcPr>
            <w:tcW w:w="5670" w:type="dxa"/>
          </w:tcPr>
          <w:p w14:paraId="6C99FE29"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Imposição de obrigações</w:t>
            </w:r>
          </w:p>
        </w:tc>
      </w:tr>
      <w:tr w:rsidR="00FE6382" w:rsidRPr="000A51F8" w14:paraId="2882F3DA" w14:textId="77777777" w:rsidTr="00D361A1">
        <w:tc>
          <w:tcPr>
            <w:tcW w:w="2694" w:type="dxa"/>
          </w:tcPr>
          <w:p w14:paraId="3EB53E0E" w14:textId="77777777" w:rsidR="00FE6382" w:rsidRPr="002870AE" w:rsidRDefault="00FE6382" w:rsidP="002870AE">
            <w:pPr>
              <w:pStyle w:val="Default"/>
              <w:numPr>
                <w:ilvl w:val="0"/>
                <w:numId w:val="49"/>
              </w:numPr>
              <w:jc w:val="both"/>
              <w:rPr>
                <w:rFonts w:ascii="Times New Roman" w:hAnsi="Times New Roman" w:cs="Times New Roman"/>
                <w:lang w:val="pt-PT"/>
              </w:rPr>
            </w:pPr>
            <w:r w:rsidRPr="002870AE">
              <w:rPr>
                <w:rFonts w:ascii="Times New Roman" w:hAnsi="Times New Roman" w:cs="Times New Roman"/>
                <w:lang w:val="pt-PT"/>
              </w:rPr>
              <w:t>Pacotes/subordinação</w:t>
            </w:r>
          </w:p>
          <w:p w14:paraId="4A1A7866" w14:textId="77777777" w:rsidR="00FE6382" w:rsidRPr="002870AE" w:rsidRDefault="00FE6382" w:rsidP="002870AE">
            <w:pPr>
              <w:pStyle w:val="Default"/>
              <w:jc w:val="both"/>
              <w:rPr>
                <w:rFonts w:ascii="Times New Roman" w:hAnsi="Times New Roman" w:cs="Times New Roman"/>
                <w:lang w:val="pt-PT"/>
              </w:rPr>
            </w:pPr>
          </w:p>
          <w:p w14:paraId="7489CEAC" w14:textId="77777777" w:rsidR="00FE6382" w:rsidRPr="002870AE" w:rsidRDefault="00FE6382" w:rsidP="002870AE">
            <w:pPr>
              <w:pStyle w:val="Default"/>
              <w:ind w:left="720"/>
              <w:jc w:val="both"/>
              <w:rPr>
                <w:rFonts w:ascii="Times New Roman" w:hAnsi="Times New Roman" w:cs="Times New Roman"/>
                <w:lang w:val="pt-PT"/>
              </w:rPr>
            </w:pPr>
          </w:p>
        </w:tc>
        <w:tc>
          <w:tcPr>
            <w:tcW w:w="1701" w:type="dxa"/>
          </w:tcPr>
          <w:p w14:paraId="65CA92B8"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Transparência</w:t>
            </w:r>
          </w:p>
          <w:p w14:paraId="276B8EF6" w14:textId="77777777" w:rsidR="00FE6382" w:rsidRPr="002870AE" w:rsidRDefault="00FE6382" w:rsidP="002870AE">
            <w:pPr>
              <w:pStyle w:val="Default"/>
              <w:jc w:val="both"/>
              <w:rPr>
                <w:rFonts w:ascii="Times New Roman" w:hAnsi="Times New Roman" w:cs="Times New Roman"/>
                <w:lang w:val="pt-PT"/>
              </w:rPr>
            </w:pPr>
          </w:p>
        </w:tc>
        <w:tc>
          <w:tcPr>
            <w:tcW w:w="5670" w:type="dxa"/>
          </w:tcPr>
          <w:p w14:paraId="64583F58"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Oferta de referência: uma oferta em pacote que pode ser considerada prejudicial ao desenvolvimento da concorrência pela ARN, pode ser mitigada por dois remédios: publicar uma oferta de referência suficientemente desagregada, para que por exemplo um operador não tenha que pagar por elementos de rede de que não necessita (na desagregação do lacete local) ou não criar pacotes de serviços não razoáveis que constitui uma obrigação de retalho e, portanto, pode ser aplicada a casos de pacotes anti concorrenciais entre dois produtos de retalho quando a imposição de obrigações grossistas são consideradas insuficientes. </w:t>
            </w:r>
          </w:p>
        </w:tc>
      </w:tr>
    </w:tbl>
    <w:p w14:paraId="39E27E68" w14:textId="77777777" w:rsidR="00D361A1" w:rsidRPr="000A51F8" w:rsidRDefault="00D361A1">
      <w:pPr>
        <w:rPr>
          <w:lang w:val="pt-PT"/>
        </w:rPr>
      </w:pPr>
      <w:r w:rsidRPr="000A51F8">
        <w:rPr>
          <w:lang w:val="pt-PT"/>
        </w:rPr>
        <w:br w:type="page"/>
      </w:r>
    </w:p>
    <w:tbl>
      <w:tblPr>
        <w:tblStyle w:val="TabelacomGrelha"/>
        <w:tblW w:w="10065" w:type="dxa"/>
        <w:tblInd w:w="-431" w:type="dxa"/>
        <w:tblLook w:val="04A0" w:firstRow="1" w:lastRow="0" w:firstColumn="1" w:lastColumn="0" w:noHBand="0" w:noVBand="1"/>
      </w:tblPr>
      <w:tblGrid>
        <w:gridCol w:w="2694"/>
        <w:gridCol w:w="1701"/>
        <w:gridCol w:w="5670"/>
      </w:tblGrid>
      <w:tr w:rsidR="00FE6382" w:rsidRPr="000A51F8" w14:paraId="1DB7C5DA" w14:textId="77777777" w:rsidTr="00D361A1">
        <w:tc>
          <w:tcPr>
            <w:tcW w:w="2694" w:type="dxa"/>
            <w:vAlign w:val="center"/>
          </w:tcPr>
          <w:p w14:paraId="42D1C6B7" w14:textId="5CAB7CE0" w:rsidR="00FE6382" w:rsidRPr="002870AE" w:rsidRDefault="00FE6382" w:rsidP="00D361A1">
            <w:pPr>
              <w:pStyle w:val="Default"/>
              <w:numPr>
                <w:ilvl w:val="0"/>
                <w:numId w:val="36"/>
              </w:numPr>
              <w:rPr>
                <w:rFonts w:ascii="Times New Roman" w:hAnsi="Times New Roman" w:cs="Times New Roman"/>
                <w:lang w:val="pt-PT"/>
              </w:rPr>
            </w:pPr>
            <w:r w:rsidRPr="002870AE">
              <w:rPr>
                <w:rFonts w:ascii="Times New Roman" w:hAnsi="Times New Roman" w:cs="Times New Roman"/>
                <w:lang w:val="pt-PT"/>
              </w:rPr>
              <w:lastRenderedPageBreak/>
              <w:t>Subsidiação cruzada</w:t>
            </w:r>
          </w:p>
          <w:p w14:paraId="04C13021" w14:textId="77777777" w:rsidR="00FE6382" w:rsidRPr="002870AE" w:rsidRDefault="00FE6382" w:rsidP="00D361A1">
            <w:pPr>
              <w:pStyle w:val="Default"/>
              <w:rPr>
                <w:rFonts w:ascii="Times New Roman" w:hAnsi="Times New Roman" w:cs="Times New Roman"/>
                <w:lang w:val="pt-PT"/>
              </w:rPr>
            </w:pPr>
          </w:p>
        </w:tc>
        <w:tc>
          <w:tcPr>
            <w:tcW w:w="1701" w:type="dxa"/>
            <w:vAlign w:val="center"/>
          </w:tcPr>
          <w:p w14:paraId="026006B5"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Separação de contas</w:t>
            </w:r>
          </w:p>
        </w:tc>
        <w:tc>
          <w:tcPr>
            <w:tcW w:w="5670" w:type="dxa"/>
          </w:tcPr>
          <w:p w14:paraId="38EE0161"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Para permitir que a ARN defina e verifique o preço de acesso grossista correto, o operador deve produzir contas separadas com o nível de detalhe especificado e usando os métodos contabilísticos definidos pela ARN.</w:t>
            </w:r>
          </w:p>
        </w:tc>
      </w:tr>
      <w:tr w:rsidR="00FE6382" w:rsidRPr="000A51F8" w14:paraId="2CC3DDAD" w14:textId="77777777" w:rsidTr="00D361A1">
        <w:tc>
          <w:tcPr>
            <w:tcW w:w="2694" w:type="dxa"/>
          </w:tcPr>
          <w:p w14:paraId="2E2DFDFC" w14:textId="77777777" w:rsidR="00FE6382" w:rsidRPr="002870AE" w:rsidRDefault="00FE6382" w:rsidP="002870AE">
            <w:pPr>
              <w:pStyle w:val="Default"/>
              <w:numPr>
                <w:ilvl w:val="0"/>
                <w:numId w:val="37"/>
              </w:numPr>
              <w:jc w:val="both"/>
              <w:rPr>
                <w:rFonts w:ascii="Times New Roman" w:hAnsi="Times New Roman" w:cs="Times New Roman"/>
                <w:lang w:val="pt-PT"/>
              </w:rPr>
            </w:pPr>
            <w:r w:rsidRPr="002870AE">
              <w:rPr>
                <w:rFonts w:ascii="Times New Roman" w:hAnsi="Times New Roman" w:cs="Times New Roman"/>
                <w:lang w:val="pt-PT"/>
              </w:rPr>
              <w:t>Subsidiação cruzada</w:t>
            </w:r>
          </w:p>
          <w:p w14:paraId="35757275" w14:textId="77777777" w:rsidR="00FE6382" w:rsidRPr="002870AE" w:rsidRDefault="00FE6382" w:rsidP="002870AE">
            <w:pPr>
              <w:pStyle w:val="Default"/>
              <w:jc w:val="both"/>
              <w:rPr>
                <w:rFonts w:ascii="Times New Roman" w:hAnsi="Times New Roman" w:cs="Times New Roman"/>
                <w:lang w:val="pt-PT"/>
              </w:rPr>
            </w:pPr>
          </w:p>
        </w:tc>
        <w:tc>
          <w:tcPr>
            <w:tcW w:w="1701" w:type="dxa"/>
          </w:tcPr>
          <w:p w14:paraId="75B4B809"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Controlo de preços e contabilidade analítica</w:t>
            </w:r>
          </w:p>
        </w:tc>
        <w:tc>
          <w:tcPr>
            <w:tcW w:w="5670" w:type="dxa"/>
          </w:tcPr>
          <w:p w14:paraId="310520B0"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ARN, de acordo com as circunstâncias específicas do mercado, pode definir o preço do serviço grossista, usando diferentes métodos e modelos de contabilidade de custos, a fim de determinar um preço orientado para os custos.</w:t>
            </w:r>
          </w:p>
        </w:tc>
      </w:tr>
    </w:tbl>
    <w:p w14:paraId="711BF23D" w14:textId="77777777" w:rsidR="00FE6382" w:rsidRPr="002870AE" w:rsidRDefault="00FE6382" w:rsidP="002870AE">
      <w:pPr>
        <w:jc w:val="both"/>
        <w:rPr>
          <w:rFonts w:ascii="Times New Roman" w:hAnsi="Times New Roman" w:cs="Times New Roman"/>
          <w:sz w:val="24"/>
          <w:szCs w:val="24"/>
          <w:lang w:val="pt-PT"/>
        </w:rPr>
      </w:pPr>
    </w:p>
    <w:p w14:paraId="5828F76F" w14:textId="77777777" w:rsidR="00FE6382" w:rsidRPr="002870AE" w:rsidRDefault="00FE6382" w:rsidP="002870AE">
      <w:pPr>
        <w:pStyle w:val="PYRExhibitChartheader"/>
        <w:rPr>
          <w:rFonts w:ascii="Times New Roman" w:hAnsi="Times New Roman"/>
          <w:sz w:val="24"/>
          <w:szCs w:val="24"/>
          <w:lang w:val="pt-PT"/>
        </w:rPr>
      </w:pPr>
      <w:r w:rsidRPr="002870AE">
        <w:rPr>
          <w:rFonts w:ascii="Times New Roman" w:hAnsi="Times New Roman"/>
          <w:sz w:val="24"/>
          <w:szCs w:val="24"/>
          <w:lang w:val="pt-PT"/>
        </w:rPr>
        <w:t>Tabela 3: Mercados grossistas, obrigações disponíveis para PSM num mercado.</w:t>
      </w:r>
    </w:p>
    <w:tbl>
      <w:tblPr>
        <w:tblStyle w:val="TabelacomGrelha"/>
        <w:tblW w:w="10065" w:type="dxa"/>
        <w:tblInd w:w="-431" w:type="dxa"/>
        <w:tblLook w:val="04A0" w:firstRow="1" w:lastRow="0" w:firstColumn="1" w:lastColumn="0" w:noHBand="0" w:noVBand="1"/>
      </w:tblPr>
      <w:tblGrid>
        <w:gridCol w:w="2694"/>
        <w:gridCol w:w="1701"/>
        <w:gridCol w:w="5670"/>
      </w:tblGrid>
      <w:tr w:rsidR="00FE6382" w:rsidRPr="002870AE" w14:paraId="67CB54E9" w14:textId="77777777" w:rsidTr="00D361A1">
        <w:tc>
          <w:tcPr>
            <w:tcW w:w="2694" w:type="dxa"/>
          </w:tcPr>
          <w:p w14:paraId="36A93F1B"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1701" w:type="dxa"/>
          </w:tcPr>
          <w:p w14:paraId="15E6CA39"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Tipo de obrigação</w:t>
            </w:r>
          </w:p>
        </w:tc>
        <w:tc>
          <w:tcPr>
            <w:tcW w:w="5670" w:type="dxa"/>
          </w:tcPr>
          <w:p w14:paraId="51E8B743"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Imposição de obrigações</w:t>
            </w:r>
          </w:p>
        </w:tc>
      </w:tr>
      <w:tr w:rsidR="00FE6382" w:rsidRPr="000A51F8" w14:paraId="5AD0BFD0" w14:textId="77777777" w:rsidTr="00D361A1">
        <w:tc>
          <w:tcPr>
            <w:tcW w:w="2694" w:type="dxa"/>
            <w:vAlign w:val="center"/>
          </w:tcPr>
          <w:p w14:paraId="7E856B19" w14:textId="77777777" w:rsidR="00FE6382" w:rsidRPr="002870AE" w:rsidRDefault="00FE6382" w:rsidP="00D361A1">
            <w:pPr>
              <w:pStyle w:val="Default"/>
              <w:numPr>
                <w:ilvl w:val="0"/>
                <w:numId w:val="38"/>
              </w:numPr>
              <w:rPr>
                <w:rFonts w:ascii="Times New Roman" w:hAnsi="Times New Roman" w:cs="Times New Roman"/>
                <w:lang w:val="pt-PT"/>
              </w:rPr>
            </w:pPr>
            <w:r w:rsidRPr="002870AE">
              <w:rPr>
                <w:rFonts w:ascii="Times New Roman" w:hAnsi="Times New Roman" w:cs="Times New Roman"/>
                <w:lang w:val="pt-PT"/>
              </w:rPr>
              <w:t>Desenho estratégico do produto para aumentar os custos de troca aos consumidores</w:t>
            </w:r>
          </w:p>
          <w:p w14:paraId="5F6A92F8" w14:textId="77777777" w:rsidR="00FE6382" w:rsidRPr="002870AE" w:rsidRDefault="00FE6382" w:rsidP="00D361A1">
            <w:pPr>
              <w:pStyle w:val="Default"/>
              <w:numPr>
                <w:ilvl w:val="0"/>
                <w:numId w:val="38"/>
              </w:numPr>
              <w:rPr>
                <w:rFonts w:ascii="Times New Roman" w:hAnsi="Times New Roman" w:cs="Times New Roman"/>
                <w:lang w:val="pt-PT"/>
              </w:rPr>
            </w:pPr>
            <w:r w:rsidRPr="002870AE">
              <w:rPr>
                <w:rFonts w:ascii="Times New Roman" w:hAnsi="Times New Roman" w:cs="Times New Roman"/>
                <w:lang w:val="pt-PT"/>
              </w:rPr>
              <w:t>Termos do contrato para aumentar os custos de troca dos consumidores</w:t>
            </w:r>
          </w:p>
          <w:p w14:paraId="16951BB9" w14:textId="77777777" w:rsidR="00FE6382" w:rsidRPr="002870AE" w:rsidRDefault="00FE6382" w:rsidP="00D361A1">
            <w:pPr>
              <w:pStyle w:val="Default"/>
              <w:numPr>
                <w:ilvl w:val="0"/>
                <w:numId w:val="38"/>
              </w:numPr>
              <w:rPr>
                <w:rFonts w:ascii="Times New Roman" w:hAnsi="Times New Roman" w:cs="Times New Roman"/>
                <w:lang w:val="pt-PT"/>
              </w:rPr>
            </w:pPr>
            <w:r w:rsidRPr="002870AE">
              <w:rPr>
                <w:rFonts w:ascii="Times New Roman" w:hAnsi="Times New Roman" w:cs="Times New Roman"/>
                <w:lang w:val="pt-PT"/>
              </w:rPr>
              <w:t>Acordos exclusivos</w:t>
            </w:r>
          </w:p>
          <w:p w14:paraId="715543B3" w14:textId="77777777" w:rsidR="00FE6382" w:rsidRPr="002870AE" w:rsidRDefault="00FE6382" w:rsidP="00D361A1">
            <w:pPr>
              <w:pStyle w:val="Default"/>
              <w:ind w:left="720"/>
              <w:rPr>
                <w:rFonts w:ascii="Times New Roman" w:hAnsi="Times New Roman" w:cs="Times New Roman"/>
                <w:lang w:val="pt-PT"/>
              </w:rPr>
            </w:pPr>
          </w:p>
        </w:tc>
        <w:tc>
          <w:tcPr>
            <w:tcW w:w="1701" w:type="dxa"/>
            <w:vAlign w:val="center"/>
          </w:tcPr>
          <w:p w14:paraId="6F130C68"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Transparência</w:t>
            </w:r>
          </w:p>
          <w:p w14:paraId="48CFDEA7" w14:textId="77777777" w:rsidR="00FE6382" w:rsidRPr="002870AE" w:rsidRDefault="00FE6382" w:rsidP="00D361A1">
            <w:pPr>
              <w:pStyle w:val="Default"/>
              <w:rPr>
                <w:rFonts w:ascii="Times New Roman" w:hAnsi="Times New Roman" w:cs="Times New Roman"/>
                <w:lang w:val="pt-PT"/>
              </w:rPr>
            </w:pPr>
          </w:p>
        </w:tc>
        <w:tc>
          <w:tcPr>
            <w:tcW w:w="5670" w:type="dxa"/>
          </w:tcPr>
          <w:p w14:paraId="699D83A8"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Oferta de referência: a nível grossista, as características do produto ou os termos do contrato podem ser definidos </w:t>
            </w:r>
            <w:proofErr w:type="spellStart"/>
            <w:r w:rsidRPr="002870AE">
              <w:rPr>
                <w:rFonts w:ascii="Times New Roman" w:hAnsi="Times New Roman" w:cs="Times New Roman"/>
                <w:i/>
                <w:iCs/>
                <w:lang w:val="pt-PT"/>
              </w:rPr>
              <w:t>ex</w:t>
            </w:r>
            <w:proofErr w:type="spellEnd"/>
            <w:r w:rsidRPr="002870AE">
              <w:rPr>
                <w:rFonts w:ascii="Times New Roman" w:hAnsi="Times New Roman" w:cs="Times New Roman"/>
                <w:i/>
                <w:iCs/>
                <w:lang w:val="pt-PT"/>
              </w:rPr>
              <w:t xml:space="preserve"> ante</w:t>
            </w:r>
            <w:r w:rsidRPr="002870AE">
              <w:rPr>
                <w:rFonts w:ascii="Times New Roman" w:hAnsi="Times New Roman" w:cs="Times New Roman"/>
                <w:lang w:val="pt-PT"/>
              </w:rPr>
              <w:t xml:space="preserve"> mediante uma obrigação de publicar uma oferta de referência suficientemente desagregada, sujeita à aprovação da ARN, que também pode impor outros requisitos às características do produto ou aos termos do contrato; quando um operador dominante no mercado a montante obriga uma empresa de retalho a comprar apenas os seus produtos, a ARN pode exigir uma oferta de referência para alterar a exclusividade, pois é uma situação de acesso.</w:t>
            </w:r>
          </w:p>
        </w:tc>
      </w:tr>
      <w:tr w:rsidR="00FE6382" w:rsidRPr="000A51F8" w14:paraId="2DF724F2" w14:textId="77777777" w:rsidTr="00D361A1">
        <w:tc>
          <w:tcPr>
            <w:tcW w:w="2694" w:type="dxa"/>
            <w:vAlign w:val="center"/>
          </w:tcPr>
          <w:p w14:paraId="155B6B1A" w14:textId="77777777" w:rsidR="00FE6382" w:rsidRPr="002870AE" w:rsidRDefault="00FE6382" w:rsidP="00D361A1">
            <w:pPr>
              <w:pStyle w:val="Default"/>
              <w:numPr>
                <w:ilvl w:val="0"/>
                <w:numId w:val="39"/>
              </w:numPr>
              <w:rPr>
                <w:rFonts w:ascii="Times New Roman" w:hAnsi="Times New Roman" w:cs="Times New Roman"/>
                <w:lang w:val="pt-PT"/>
              </w:rPr>
            </w:pPr>
            <w:r w:rsidRPr="002870AE">
              <w:rPr>
                <w:rFonts w:ascii="Times New Roman" w:hAnsi="Times New Roman" w:cs="Times New Roman"/>
                <w:lang w:val="pt-PT"/>
              </w:rPr>
              <w:t>Preços excessivos</w:t>
            </w:r>
          </w:p>
        </w:tc>
        <w:tc>
          <w:tcPr>
            <w:tcW w:w="1701" w:type="dxa"/>
            <w:vAlign w:val="center"/>
          </w:tcPr>
          <w:p w14:paraId="6F28846E"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Não discriminação</w:t>
            </w:r>
          </w:p>
          <w:p w14:paraId="006D74D0" w14:textId="77777777" w:rsidR="00FE6382" w:rsidRPr="002870AE" w:rsidRDefault="00FE6382" w:rsidP="00D361A1">
            <w:pPr>
              <w:pStyle w:val="Default"/>
              <w:rPr>
                <w:rFonts w:ascii="Times New Roman" w:hAnsi="Times New Roman" w:cs="Times New Roman"/>
                <w:lang w:val="pt-PT"/>
              </w:rPr>
            </w:pPr>
          </w:p>
        </w:tc>
        <w:tc>
          <w:tcPr>
            <w:tcW w:w="5670" w:type="dxa"/>
          </w:tcPr>
          <w:p w14:paraId="022704FE"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Exigência que o operador dominante aplique condições equivalentes em circunstâncias equivalentes.</w:t>
            </w:r>
          </w:p>
        </w:tc>
      </w:tr>
      <w:tr w:rsidR="00FE6382" w:rsidRPr="000A51F8" w14:paraId="4ABE8BF7" w14:textId="77777777" w:rsidTr="00D361A1">
        <w:tc>
          <w:tcPr>
            <w:tcW w:w="2694" w:type="dxa"/>
            <w:vAlign w:val="center"/>
          </w:tcPr>
          <w:p w14:paraId="7D511E61" w14:textId="77777777" w:rsidR="00FE6382" w:rsidRPr="002870AE" w:rsidRDefault="00FE6382" w:rsidP="00D361A1">
            <w:pPr>
              <w:pStyle w:val="Default"/>
              <w:numPr>
                <w:ilvl w:val="0"/>
                <w:numId w:val="50"/>
              </w:numPr>
              <w:rPr>
                <w:rFonts w:ascii="Times New Roman" w:hAnsi="Times New Roman" w:cs="Times New Roman"/>
                <w:lang w:val="pt-PT"/>
              </w:rPr>
            </w:pPr>
            <w:r w:rsidRPr="002870AE">
              <w:rPr>
                <w:rFonts w:ascii="Times New Roman" w:hAnsi="Times New Roman" w:cs="Times New Roman"/>
                <w:lang w:val="pt-PT"/>
              </w:rPr>
              <w:t>Discriminação de preços</w:t>
            </w:r>
          </w:p>
          <w:p w14:paraId="2C076537" w14:textId="77777777" w:rsidR="00FE6382" w:rsidRPr="002870AE" w:rsidRDefault="00FE6382" w:rsidP="00D361A1">
            <w:pPr>
              <w:pStyle w:val="Default"/>
              <w:numPr>
                <w:ilvl w:val="0"/>
                <w:numId w:val="50"/>
              </w:numPr>
              <w:rPr>
                <w:rFonts w:ascii="Times New Roman" w:hAnsi="Times New Roman" w:cs="Times New Roman"/>
                <w:lang w:val="pt-PT"/>
              </w:rPr>
            </w:pPr>
            <w:r w:rsidRPr="002870AE">
              <w:rPr>
                <w:rFonts w:ascii="Times New Roman" w:hAnsi="Times New Roman" w:cs="Times New Roman"/>
                <w:lang w:val="pt-PT"/>
              </w:rPr>
              <w:t>Preços excessivos</w:t>
            </w:r>
          </w:p>
        </w:tc>
        <w:tc>
          <w:tcPr>
            <w:tcW w:w="1701" w:type="dxa"/>
            <w:vAlign w:val="center"/>
          </w:tcPr>
          <w:p w14:paraId="32C2B57D"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Separação de contas</w:t>
            </w:r>
          </w:p>
        </w:tc>
        <w:tc>
          <w:tcPr>
            <w:tcW w:w="5670" w:type="dxa"/>
          </w:tcPr>
          <w:p w14:paraId="72B95353" w14:textId="77777777" w:rsidR="00FE6382" w:rsidRPr="002870AE" w:rsidRDefault="00FE6382" w:rsidP="002870AE">
            <w:pPr>
              <w:pStyle w:val="Default"/>
              <w:spacing w:after="120" w:line="276" w:lineRule="auto"/>
              <w:jc w:val="both"/>
              <w:rPr>
                <w:rFonts w:ascii="Times New Roman" w:hAnsi="Times New Roman" w:cs="Times New Roman"/>
                <w:lang w:val="pt-PT"/>
              </w:rPr>
            </w:pPr>
            <w:r w:rsidRPr="002870AE">
              <w:rPr>
                <w:rFonts w:ascii="Times New Roman" w:hAnsi="Times New Roman" w:cs="Times New Roman"/>
                <w:lang w:val="pt-PT"/>
              </w:rPr>
              <w:t>Para permitir que a ARN defina e verifique o preço de acesso grossista correto, o operador deve produzir contas separadas com o nível de detalhe especificado e usando os métodos contabilísticos definidos pela ARN.</w:t>
            </w:r>
          </w:p>
        </w:tc>
      </w:tr>
      <w:tr w:rsidR="00FE6382" w:rsidRPr="000A51F8" w14:paraId="0BBAE5B7" w14:textId="77777777" w:rsidTr="00D361A1">
        <w:tc>
          <w:tcPr>
            <w:tcW w:w="2694" w:type="dxa"/>
            <w:vAlign w:val="center"/>
          </w:tcPr>
          <w:p w14:paraId="0B0C6377" w14:textId="77777777" w:rsidR="00FE6382" w:rsidRPr="002870AE" w:rsidRDefault="00FE6382" w:rsidP="00D361A1">
            <w:pPr>
              <w:pStyle w:val="Default"/>
              <w:numPr>
                <w:ilvl w:val="0"/>
                <w:numId w:val="40"/>
              </w:numPr>
              <w:rPr>
                <w:rFonts w:ascii="Times New Roman" w:hAnsi="Times New Roman" w:cs="Times New Roman"/>
                <w:lang w:val="pt-PT"/>
              </w:rPr>
            </w:pPr>
            <w:r w:rsidRPr="002870AE">
              <w:rPr>
                <w:rFonts w:ascii="Times New Roman" w:hAnsi="Times New Roman" w:cs="Times New Roman"/>
                <w:lang w:val="pt-PT"/>
              </w:rPr>
              <w:t>Discriminação de preços</w:t>
            </w:r>
          </w:p>
          <w:p w14:paraId="755092CF" w14:textId="77777777" w:rsidR="00FE6382" w:rsidRPr="002870AE" w:rsidRDefault="00FE6382" w:rsidP="00D361A1">
            <w:pPr>
              <w:pStyle w:val="Default"/>
              <w:numPr>
                <w:ilvl w:val="0"/>
                <w:numId w:val="40"/>
              </w:numPr>
              <w:rPr>
                <w:rFonts w:ascii="Times New Roman" w:hAnsi="Times New Roman" w:cs="Times New Roman"/>
                <w:lang w:val="pt-PT"/>
              </w:rPr>
            </w:pPr>
            <w:r w:rsidRPr="002870AE">
              <w:rPr>
                <w:rFonts w:ascii="Times New Roman" w:hAnsi="Times New Roman" w:cs="Times New Roman"/>
                <w:lang w:val="pt-PT"/>
              </w:rPr>
              <w:t>Preços excessivos</w:t>
            </w:r>
          </w:p>
        </w:tc>
        <w:tc>
          <w:tcPr>
            <w:tcW w:w="1701" w:type="dxa"/>
            <w:vAlign w:val="center"/>
          </w:tcPr>
          <w:p w14:paraId="2F1D1373"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Controlo de preços e contabilidade analítica</w:t>
            </w:r>
          </w:p>
        </w:tc>
        <w:tc>
          <w:tcPr>
            <w:tcW w:w="5670" w:type="dxa"/>
          </w:tcPr>
          <w:p w14:paraId="097FED2F"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ARN, de acordo com as circunstâncias específicas do mercado, pode definir o preço do serviço grossista, usando diferentes métodos e modelos de contabilidade de custos, a fim de determinar um preço orientado para os custos.</w:t>
            </w:r>
          </w:p>
        </w:tc>
      </w:tr>
    </w:tbl>
    <w:p w14:paraId="1C0B5574" w14:textId="77777777" w:rsidR="00FE6382" w:rsidRPr="002870AE" w:rsidRDefault="00FE6382" w:rsidP="002870AE">
      <w:pPr>
        <w:jc w:val="both"/>
        <w:rPr>
          <w:rFonts w:ascii="Times New Roman" w:hAnsi="Times New Roman" w:cs="Times New Roman"/>
          <w:sz w:val="24"/>
          <w:szCs w:val="24"/>
          <w:lang w:val="pt-PT"/>
        </w:rPr>
      </w:pPr>
    </w:p>
    <w:p w14:paraId="79DA10EA" w14:textId="77777777" w:rsidR="00FE6382" w:rsidRPr="002870AE" w:rsidRDefault="00FE6382" w:rsidP="002870AE">
      <w:pPr>
        <w:pStyle w:val="PYRExhibitChartheader"/>
        <w:rPr>
          <w:rFonts w:ascii="Times New Roman" w:hAnsi="Times New Roman"/>
          <w:sz w:val="24"/>
          <w:szCs w:val="24"/>
          <w:lang w:val="pt-PT"/>
        </w:rPr>
      </w:pPr>
      <w:r w:rsidRPr="002870AE">
        <w:rPr>
          <w:rFonts w:ascii="Times New Roman" w:hAnsi="Times New Roman"/>
          <w:sz w:val="24"/>
          <w:szCs w:val="24"/>
          <w:lang w:val="pt-PT"/>
        </w:rPr>
        <w:lastRenderedPageBreak/>
        <w:t>Tabela 4: Mercados grossistas, obrigações disponíveis para terminação.</w:t>
      </w:r>
    </w:p>
    <w:tbl>
      <w:tblPr>
        <w:tblStyle w:val="TabelacomGrelha"/>
        <w:tblW w:w="9923" w:type="dxa"/>
        <w:tblInd w:w="-289" w:type="dxa"/>
        <w:tblLook w:val="04A0" w:firstRow="1" w:lastRow="0" w:firstColumn="1" w:lastColumn="0" w:noHBand="0" w:noVBand="1"/>
      </w:tblPr>
      <w:tblGrid>
        <w:gridCol w:w="2550"/>
        <w:gridCol w:w="1576"/>
        <w:gridCol w:w="5797"/>
      </w:tblGrid>
      <w:tr w:rsidR="00FE6382" w:rsidRPr="002870AE" w14:paraId="450DEC19" w14:textId="77777777" w:rsidTr="00D361A1">
        <w:tc>
          <w:tcPr>
            <w:tcW w:w="2550" w:type="dxa"/>
            <w:vAlign w:val="center"/>
          </w:tcPr>
          <w:p w14:paraId="3DC7CFAD"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1576" w:type="dxa"/>
            <w:vAlign w:val="center"/>
          </w:tcPr>
          <w:p w14:paraId="357704A1"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Tipo de obrigação</w:t>
            </w:r>
          </w:p>
        </w:tc>
        <w:tc>
          <w:tcPr>
            <w:tcW w:w="5797" w:type="dxa"/>
            <w:vAlign w:val="center"/>
          </w:tcPr>
          <w:p w14:paraId="31F953BB"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Imposição de obrigações</w:t>
            </w:r>
          </w:p>
        </w:tc>
      </w:tr>
      <w:tr w:rsidR="00FE6382" w:rsidRPr="000A51F8" w14:paraId="57FA916C" w14:textId="77777777" w:rsidTr="00D361A1">
        <w:tc>
          <w:tcPr>
            <w:tcW w:w="2550" w:type="dxa"/>
            <w:vAlign w:val="center"/>
          </w:tcPr>
          <w:p w14:paraId="422759A4" w14:textId="77777777" w:rsidR="00FE6382" w:rsidRPr="002870AE" w:rsidRDefault="00FE6382" w:rsidP="00D361A1">
            <w:pPr>
              <w:pStyle w:val="Default"/>
              <w:numPr>
                <w:ilvl w:val="0"/>
                <w:numId w:val="41"/>
              </w:numPr>
              <w:rPr>
                <w:rFonts w:ascii="Times New Roman" w:hAnsi="Times New Roman" w:cs="Times New Roman"/>
                <w:lang w:val="pt-PT"/>
              </w:rPr>
            </w:pPr>
            <w:r w:rsidRPr="002870AE">
              <w:rPr>
                <w:rFonts w:ascii="Times New Roman" w:hAnsi="Times New Roman" w:cs="Times New Roman"/>
                <w:lang w:val="pt-PT"/>
              </w:rPr>
              <w:t>Colusão tácita</w:t>
            </w:r>
          </w:p>
          <w:p w14:paraId="7AA6CB41" w14:textId="77777777" w:rsidR="00FE6382" w:rsidRPr="002870AE" w:rsidRDefault="00FE6382" w:rsidP="00D361A1">
            <w:pPr>
              <w:pStyle w:val="Default"/>
              <w:numPr>
                <w:ilvl w:val="0"/>
                <w:numId w:val="41"/>
              </w:numPr>
              <w:rPr>
                <w:rFonts w:ascii="Times New Roman" w:hAnsi="Times New Roman" w:cs="Times New Roman"/>
                <w:lang w:val="pt-PT"/>
              </w:rPr>
            </w:pPr>
            <w:r w:rsidRPr="002870AE">
              <w:rPr>
                <w:rFonts w:ascii="Times New Roman" w:hAnsi="Times New Roman" w:cs="Times New Roman"/>
                <w:lang w:val="pt-PT"/>
              </w:rPr>
              <w:t>Preços excessivos</w:t>
            </w:r>
          </w:p>
          <w:p w14:paraId="6BD08548" w14:textId="77777777" w:rsidR="00FE6382" w:rsidRPr="002870AE" w:rsidRDefault="00FE6382" w:rsidP="00D361A1">
            <w:pPr>
              <w:pStyle w:val="Default"/>
              <w:numPr>
                <w:ilvl w:val="0"/>
                <w:numId w:val="41"/>
              </w:numPr>
              <w:rPr>
                <w:rFonts w:ascii="Times New Roman" w:hAnsi="Times New Roman" w:cs="Times New Roman"/>
                <w:lang w:val="pt-PT"/>
              </w:rPr>
            </w:pPr>
            <w:r w:rsidRPr="002870AE">
              <w:rPr>
                <w:rFonts w:ascii="Times New Roman" w:hAnsi="Times New Roman" w:cs="Times New Roman"/>
                <w:lang w:val="pt-PT"/>
              </w:rPr>
              <w:t>Discriminação de preços</w:t>
            </w:r>
          </w:p>
          <w:p w14:paraId="399600FC" w14:textId="77777777" w:rsidR="00FE6382" w:rsidRPr="002870AE" w:rsidRDefault="00FE6382" w:rsidP="00D361A1">
            <w:pPr>
              <w:pStyle w:val="Default"/>
              <w:numPr>
                <w:ilvl w:val="0"/>
                <w:numId w:val="41"/>
              </w:numPr>
              <w:rPr>
                <w:rFonts w:ascii="Times New Roman" w:hAnsi="Times New Roman" w:cs="Times New Roman"/>
                <w:lang w:val="pt-PT"/>
              </w:rPr>
            </w:pPr>
            <w:r w:rsidRPr="002870AE">
              <w:rPr>
                <w:rFonts w:ascii="Times New Roman" w:hAnsi="Times New Roman" w:cs="Times New Roman"/>
                <w:lang w:val="pt-PT"/>
              </w:rPr>
              <w:t>Recusa em negociar / negar interconexão</w:t>
            </w:r>
          </w:p>
          <w:p w14:paraId="4AB097B1" w14:textId="77777777" w:rsidR="00FE6382" w:rsidRPr="002870AE" w:rsidRDefault="00FE6382" w:rsidP="00D361A1">
            <w:pPr>
              <w:pStyle w:val="Default"/>
              <w:ind w:left="720"/>
              <w:rPr>
                <w:rFonts w:ascii="Times New Roman" w:hAnsi="Times New Roman" w:cs="Times New Roman"/>
                <w:lang w:val="pt-PT"/>
              </w:rPr>
            </w:pPr>
          </w:p>
        </w:tc>
        <w:tc>
          <w:tcPr>
            <w:tcW w:w="1576" w:type="dxa"/>
            <w:vAlign w:val="center"/>
          </w:tcPr>
          <w:p w14:paraId="73B83A76"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Transparência</w:t>
            </w:r>
          </w:p>
          <w:p w14:paraId="7DA7C6E9" w14:textId="77777777" w:rsidR="00FE6382" w:rsidRPr="002870AE" w:rsidRDefault="00FE6382" w:rsidP="00D361A1">
            <w:pPr>
              <w:pStyle w:val="Default"/>
              <w:rPr>
                <w:rFonts w:ascii="Times New Roman" w:hAnsi="Times New Roman" w:cs="Times New Roman"/>
                <w:lang w:val="pt-PT"/>
              </w:rPr>
            </w:pPr>
          </w:p>
        </w:tc>
        <w:tc>
          <w:tcPr>
            <w:tcW w:w="5797" w:type="dxa"/>
            <w:vAlign w:val="center"/>
          </w:tcPr>
          <w:p w14:paraId="2886D733" w14:textId="77777777" w:rsidR="00FE6382" w:rsidRPr="002870AE" w:rsidRDefault="00FE6382" w:rsidP="00D361A1">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 xml:space="preserve">Oferta de referência: a nível grossista, as características do produto ou os termos do contrato podem ser definidos </w:t>
            </w:r>
            <w:proofErr w:type="spellStart"/>
            <w:r w:rsidRPr="002870AE">
              <w:rPr>
                <w:rFonts w:ascii="Times New Roman" w:hAnsi="Times New Roman" w:cs="Times New Roman"/>
                <w:i/>
                <w:iCs/>
                <w:lang w:val="pt-PT"/>
              </w:rPr>
              <w:t>ex</w:t>
            </w:r>
            <w:proofErr w:type="spellEnd"/>
            <w:r w:rsidRPr="002870AE">
              <w:rPr>
                <w:rFonts w:ascii="Times New Roman" w:hAnsi="Times New Roman" w:cs="Times New Roman"/>
                <w:i/>
                <w:iCs/>
                <w:lang w:val="pt-PT"/>
              </w:rPr>
              <w:t xml:space="preserve"> ante</w:t>
            </w:r>
            <w:r w:rsidRPr="002870AE">
              <w:rPr>
                <w:rFonts w:ascii="Times New Roman" w:hAnsi="Times New Roman" w:cs="Times New Roman"/>
                <w:lang w:val="pt-PT"/>
              </w:rPr>
              <w:t xml:space="preserve"> mediante uma obrigação de publicar uma oferta de referência suficientemente desagregada, sujeita à aprovação da ARN, que também pode impor outros requisitos às características do produto ou aos termos do contrato; quando um operador dominante no mercado a montante obriga uma empresa de retalho a comprar apenas os seus produtos, a ARN pode exigir uma oferta de referência para alterar a exclusividade, pois é uma situação de acesso.</w:t>
            </w:r>
          </w:p>
        </w:tc>
      </w:tr>
      <w:tr w:rsidR="00FE6382" w:rsidRPr="000A51F8" w14:paraId="514641EB" w14:textId="77777777" w:rsidTr="00D361A1">
        <w:tc>
          <w:tcPr>
            <w:tcW w:w="2550" w:type="dxa"/>
            <w:vAlign w:val="center"/>
          </w:tcPr>
          <w:p w14:paraId="42A9CA87" w14:textId="77777777" w:rsidR="00FE6382" w:rsidRPr="002870AE" w:rsidRDefault="00FE6382" w:rsidP="00D361A1">
            <w:pPr>
              <w:pStyle w:val="Default"/>
              <w:numPr>
                <w:ilvl w:val="0"/>
                <w:numId w:val="42"/>
              </w:numPr>
              <w:rPr>
                <w:rFonts w:ascii="Times New Roman" w:hAnsi="Times New Roman" w:cs="Times New Roman"/>
                <w:lang w:val="pt-PT"/>
              </w:rPr>
            </w:pPr>
            <w:r w:rsidRPr="002870AE">
              <w:rPr>
                <w:rFonts w:ascii="Times New Roman" w:hAnsi="Times New Roman" w:cs="Times New Roman"/>
                <w:lang w:val="pt-PT"/>
              </w:rPr>
              <w:t>Colusão tácita</w:t>
            </w:r>
          </w:p>
          <w:p w14:paraId="06CB8546" w14:textId="77777777" w:rsidR="00FE6382" w:rsidRPr="002870AE" w:rsidRDefault="00FE6382" w:rsidP="00D361A1">
            <w:pPr>
              <w:pStyle w:val="Default"/>
              <w:numPr>
                <w:ilvl w:val="0"/>
                <w:numId w:val="42"/>
              </w:numPr>
              <w:rPr>
                <w:rFonts w:ascii="Times New Roman" w:hAnsi="Times New Roman" w:cs="Times New Roman"/>
                <w:lang w:val="pt-PT"/>
              </w:rPr>
            </w:pPr>
            <w:r w:rsidRPr="002870AE">
              <w:rPr>
                <w:rFonts w:ascii="Times New Roman" w:hAnsi="Times New Roman" w:cs="Times New Roman"/>
                <w:lang w:val="pt-PT"/>
              </w:rPr>
              <w:t>Preços excessivos</w:t>
            </w:r>
          </w:p>
          <w:p w14:paraId="48C474F1" w14:textId="77777777" w:rsidR="00FE6382" w:rsidRPr="002870AE" w:rsidRDefault="00FE6382" w:rsidP="00D361A1">
            <w:pPr>
              <w:pStyle w:val="Default"/>
              <w:numPr>
                <w:ilvl w:val="0"/>
                <w:numId w:val="42"/>
              </w:numPr>
              <w:rPr>
                <w:rFonts w:ascii="Times New Roman" w:hAnsi="Times New Roman" w:cs="Times New Roman"/>
                <w:lang w:val="pt-PT"/>
              </w:rPr>
            </w:pPr>
            <w:r w:rsidRPr="002870AE">
              <w:rPr>
                <w:rFonts w:ascii="Times New Roman" w:hAnsi="Times New Roman" w:cs="Times New Roman"/>
                <w:lang w:val="pt-PT"/>
              </w:rPr>
              <w:t>Discriminação de preços</w:t>
            </w:r>
          </w:p>
          <w:p w14:paraId="33C72954" w14:textId="77777777" w:rsidR="00FE6382" w:rsidRPr="002870AE" w:rsidRDefault="00FE6382" w:rsidP="00D361A1">
            <w:pPr>
              <w:pStyle w:val="Default"/>
              <w:numPr>
                <w:ilvl w:val="0"/>
                <w:numId w:val="42"/>
              </w:numPr>
              <w:rPr>
                <w:rFonts w:ascii="Times New Roman" w:hAnsi="Times New Roman" w:cs="Times New Roman"/>
                <w:lang w:val="pt-PT"/>
              </w:rPr>
            </w:pPr>
            <w:r w:rsidRPr="002870AE">
              <w:rPr>
                <w:rFonts w:ascii="Times New Roman" w:hAnsi="Times New Roman" w:cs="Times New Roman"/>
                <w:lang w:val="pt-PT"/>
              </w:rPr>
              <w:t>Recusa em negociar / negar interconexão</w:t>
            </w:r>
          </w:p>
        </w:tc>
        <w:tc>
          <w:tcPr>
            <w:tcW w:w="1576" w:type="dxa"/>
            <w:vAlign w:val="center"/>
          </w:tcPr>
          <w:p w14:paraId="7A8944F1"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Não discriminação</w:t>
            </w:r>
          </w:p>
          <w:p w14:paraId="7F26D20D" w14:textId="77777777" w:rsidR="00FE6382" w:rsidRPr="002870AE" w:rsidRDefault="00FE6382" w:rsidP="00D361A1">
            <w:pPr>
              <w:pStyle w:val="Default"/>
              <w:rPr>
                <w:rFonts w:ascii="Times New Roman" w:hAnsi="Times New Roman" w:cs="Times New Roman"/>
                <w:lang w:val="pt-PT"/>
              </w:rPr>
            </w:pPr>
          </w:p>
        </w:tc>
        <w:tc>
          <w:tcPr>
            <w:tcW w:w="5797" w:type="dxa"/>
            <w:vAlign w:val="center"/>
          </w:tcPr>
          <w:p w14:paraId="0F552A59" w14:textId="77777777" w:rsidR="00FE6382" w:rsidRPr="002870AE" w:rsidRDefault="00FE6382" w:rsidP="00D361A1">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Exigência que o operador dominante aplique condições equivalentes em circunstâncias equivalentes.</w:t>
            </w:r>
          </w:p>
        </w:tc>
      </w:tr>
      <w:tr w:rsidR="00FE6382" w:rsidRPr="000A51F8" w14:paraId="374A7C2B" w14:textId="77777777" w:rsidTr="00D361A1">
        <w:tc>
          <w:tcPr>
            <w:tcW w:w="2550" w:type="dxa"/>
            <w:vAlign w:val="center"/>
          </w:tcPr>
          <w:p w14:paraId="0F5BA6F2" w14:textId="77777777" w:rsidR="00FE6382" w:rsidRPr="002870AE" w:rsidRDefault="00FE6382" w:rsidP="00D361A1">
            <w:pPr>
              <w:pStyle w:val="Default"/>
              <w:numPr>
                <w:ilvl w:val="0"/>
                <w:numId w:val="43"/>
              </w:numPr>
              <w:rPr>
                <w:rFonts w:ascii="Times New Roman" w:hAnsi="Times New Roman" w:cs="Times New Roman"/>
                <w:lang w:val="pt-PT"/>
              </w:rPr>
            </w:pPr>
            <w:r w:rsidRPr="002870AE">
              <w:rPr>
                <w:rFonts w:ascii="Times New Roman" w:hAnsi="Times New Roman" w:cs="Times New Roman"/>
                <w:lang w:val="pt-PT"/>
              </w:rPr>
              <w:t>Colusão tácita</w:t>
            </w:r>
          </w:p>
          <w:p w14:paraId="4A204BD5" w14:textId="77777777" w:rsidR="00FE6382" w:rsidRPr="002870AE" w:rsidRDefault="00FE6382" w:rsidP="00D361A1">
            <w:pPr>
              <w:pStyle w:val="Default"/>
              <w:numPr>
                <w:ilvl w:val="0"/>
                <w:numId w:val="43"/>
              </w:numPr>
              <w:rPr>
                <w:rFonts w:ascii="Times New Roman" w:hAnsi="Times New Roman" w:cs="Times New Roman"/>
                <w:lang w:val="pt-PT"/>
              </w:rPr>
            </w:pPr>
            <w:r w:rsidRPr="002870AE">
              <w:rPr>
                <w:rFonts w:ascii="Times New Roman" w:hAnsi="Times New Roman" w:cs="Times New Roman"/>
                <w:lang w:val="pt-PT"/>
              </w:rPr>
              <w:t>Preços excessivos</w:t>
            </w:r>
          </w:p>
          <w:p w14:paraId="540A13E1" w14:textId="77777777" w:rsidR="00FE6382" w:rsidRPr="002870AE" w:rsidRDefault="00FE6382" w:rsidP="00D361A1">
            <w:pPr>
              <w:pStyle w:val="Default"/>
              <w:numPr>
                <w:ilvl w:val="0"/>
                <w:numId w:val="43"/>
              </w:numPr>
              <w:rPr>
                <w:rFonts w:ascii="Times New Roman" w:hAnsi="Times New Roman" w:cs="Times New Roman"/>
                <w:lang w:val="pt-PT"/>
              </w:rPr>
            </w:pPr>
            <w:r w:rsidRPr="002870AE">
              <w:rPr>
                <w:rFonts w:ascii="Times New Roman" w:hAnsi="Times New Roman" w:cs="Times New Roman"/>
                <w:lang w:val="pt-PT"/>
              </w:rPr>
              <w:t>Discriminação de preços</w:t>
            </w:r>
          </w:p>
          <w:p w14:paraId="21A96EFD" w14:textId="77777777" w:rsidR="00FE6382" w:rsidRPr="002870AE" w:rsidRDefault="00FE6382" w:rsidP="00D361A1">
            <w:pPr>
              <w:pStyle w:val="Default"/>
              <w:numPr>
                <w:ilvl w:val="0"/>
                <w:numId w:val="43"/>
              </w:numPr>
              <w:rPr>
                <w:rFonts w:ascii="Times New Roman" w:hAnsi="Times New Roman" w:cs="Times New Roman"/>
                <w:lang w:val="pt-PT"/>
              </w:rPr>
            </w:pPr>
            <w:r w:rsidRPr="002870AE">
              <w:rPr>
                <w:rFonts w:ascii="Times New Roman" w:hAnsi="Times New Roman" w:cs="Times New Roman"/>
                <w:lang w:val="pt-PT"/>
              </w:rPr>
              <w:t>Recusa em negociar / negar interconexão</w:t>
            </w:r>
          </w:p>
          <w:p w14:paraId="7C13A7FD" w14:textId="77777777" w:rsidR="00FE6382" w:rsidRPr="002870AE" w:rsidRDefault="00FE6382" w:rsidP="00D361A1">
            <w:pPr>
              <w:pStyle w:val="Default"/>
              <w:ind w:left="360"/>
              <w:rPr>
                <w:rFonts w:ascii="Times New Roman" w:hAnsi="Times New Roman" w:cs="Times New Roman"/>
                <w:lang w:val="pt-PT"/>
              </w:rPr>
            </w:pPr>
          </w:p>
        </w:tc>
        <w:tc>
          <w:tcPr>
            <w:tcW w:w="1576" w:type="dxa"/>
            <w:vAlign w:val="center"/>
          </w:tcPr>
          <w:p w14:paraId="19208B13"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Separação de contas</w:t>
            </w:r>
          </w:p>
        </w:tc>
        <w:tc>
          <w:tcPr>
            <w:tcW w:w="5797" w:type="dxa"/>
            <w:vAlign w:val="center"/>
          </w:tcPr>
          <w:p w14:paraId="10841C9D" w14:textId="77777777" w:rsidR="00FE6382" w:rsidRPr="002870AE" w:rsidRDefault="00FE6382" w:rsidP="00D361A1">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Para permitir que a ARN defina e verifique o preço de acesso grossista correto, o operador deve produzir contas separadas com o nível de detalhe especificado e usando os métodos contabilísticos definidos pela ARN.</w:t>
            </w:r>
          </w:p>
        </w:tc>
      </w:tr>
      <w:tr w:rsidR="00FE6382" w:rsidRPr="000A51F8" w14:paraId="08C3D64A" w14:textId="77777777" w:rsidTr="00D361A1">
        <w:tc>
          <w:tcPr>
            <w:tcW w:w="2550" w:type="dxa"/>
            <w:vAlign w:val="center"/>
          </w:tcPr>
          <w:p w14:paraId="3F8A3BE3" w14:textId="77777777" w:rsidR="00FE6382" w:rsidRPr="002870AE" w:rsidRDefault="00FE6382" w:rsidP="00D361A1">
            <w:pPr>
              <w:pStyle w:val="Default"/>
              <w:numPr>
                <w:ilvl w:val="0"/>
                <w:numId w:val="44"/>
              </w:numPr>
              <w:rPr>
                <w:rFonts w:ascii="Times New Roman" w:hAnsi="Times New Roman" w:cs="Times New Roman"/>
                <w:lang w:val="pt-PT"/>
              </w:rPr>
            </w:pPr>
            <w:r w:rsidRPr="002870AE">
              <w:rPr>
                <w:rFonts w:ascii="Times New Roman" w:hAnsi="Times New Roman" w:cs="Times New Roman"/>
                <w:lang w:val="pt-PT"/>
              </w:rPr>
              <w:t xml:space="preserve">Recusa em negociar/negar interconexão </w:t>
            </w:r>
          </w:p>
        </w:tc>
        <w:tc>
          <w:tcPr>
            <w:tcW w:w="1576" w:type="dxa"/>
            <w:vAlign w:val="center"/>
          </w:tcPr>
          <w:p w14:paraId="35284B22"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Obrigação de acesso</w:t>
            </w:r>
          </w:p>
        </w:tc>
        <w:tc>
          <w:tcPr>
            <w:tcW w:w="5797" w:type="dxa"/>
            <w:vAlign w:val="center"/>
          </w:tcPr>
          <w:p w14:paraId="65D71EC2" w14:textId="77777777" w:rsidR="00FE6382" w:rsidRPr="002870AE" w:rsidRDefault="00FE6382" w:rsidP="00D361A1">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O operador que detém PSM deve conceder acesso a qualquer input grossista essencial, a um preço razoável que pode ser negociado ou decidido pela ARN. A ARN pode impor obrigações adicionais em termos de níveis de serviço a cumprir.</w:t>
            </w:r>
          </w:p>
        </w:tc>
      </w:tr>
      <w:tr w:rsidR="00FE6382" w:rsidRPr="000A51F8" w14:paraId="2BA919D9" w14:textId="77777777" w:rsidTr="00D361A1">
        <w:tc>
          <w:tcPr>
            <w:tcW w:w="2550" w:type="dxa"/>
          </w:tcPr>
          <w:p w14:paraId="5C00983E" w14:textId="77777777" w:rsidR="00FE6382" w:rsidRPr="002870AE" w:rsidRDefault="00FE6382" w:rsidP="002870AE">
            <w:pPr>
              <w:pStyle w:val="Default"/>
              <w:numPr>
                <w:ilvl w:val="0"/>
                <w:numId w:val="45"/>
              </w:numPr>
              <w:jc w:val="both"/>
              <w:rPr>
                <w:rFonts w:ascii="Times New Roman" w:hAnsi="Times New Roman" w:cs="Times New Roman"/>
                <w:lang w:val="pt-PT"/>
              </w:rPr>
            </w:pPr>
            <w:r w:rsidRPr="002870AE">
              <w:rPr>
                <w:rFonts w:ascii="Times New Roman" w:hAnsi="Times New Roman" w:cs="Times New Roman"/>
                <w:lang w:val="pt-PT"/>
              </w:rPr>
              <w:t>Colusão tácita</w:t>
            </w:r>
          </w:p>
          <w:p w14:paraId="1DDD67AE" w14:textId="77777777" w:rsidR="00FE6382" w:rsidRPr="002870AE" w:rsidRDefault="00FE6382" w:rsidP="002870AE">
            <w:pPr>
              <w:pStyle w:val="Default"/>
              <w:numPr>
                <w:ilvl w:val="0"/>
                <w:numId w:val="45"/>
              </w:numPr>
              <w:jc w:val="both"/>
              <w:rPr>
                <w:rFonts w:ascii="Times New Roman" w:hAnsi="Times New Roman" w:cs="Times New Roman"/>
                <w:lang w:val="pt-PT"/>
              </w:rPr>
            </w:pPr>
            <w:r w:rsidRPr="002870AE">
              <w:rPr>
                <w:rFonts w:ascii="Times New Roman" w:hAnsi="Times New Roman" w:cs="Times New Roman"/>
                <w:lang w:val="pt-PT"/>
              </w:rPr>
              <w:t>Preços excessivos</w:t>
            </w:r>
          </w:p>
          <w:p w14:paraId="51DF39EE" w14:textId="77777777" w:rsidR="00FE6382" w:rsidRPr="002870AE" w:rsidRDefault="00FE6382" w:rsidP="002870AE">
            <w:pPr>
              <w:pStyle w:val="Default"/>
              <w:numPr>
                <w:ilvl w:val="0"/>
                <w:numId w:val="45"/>
              </w:numPr>
              <w:jc w:val="both"/>
              <w:rPr>
                <w:rFonts w:ascii="Times New Roman" w:hAnsi="Times New Roman" w:cs="Times New Roman"/>
                <w:lang w:val="pt-PT"/>
              </w:rPr>
            </w:pPr>
            <w:r w:rsidRPr="002870AE">
              <w:rPr>
                <w:rFonts w:ascii="Times New Roman" w:hAnsi="Times New Roman" w:cs="Times New Roman"/>
                <w:lang w:val="pt-PT"/>
              </w:rPr>
              <w:t>Discriminação de preços</w:t>
            </w:r>
          </w:p>
          <w:p w14:paraId="7BBE3061" w14:textId="77777777" w:rsidR="00FE6382" w:rsidRPr="002870AE" w:rsidRDefault="00FE6382" w:rsidP="002870AE">
            <w:pPr>
              <w:pStyle w:val="Default"/>
              <w:numPr>
                <w:ilvl w:val="0"/>
                <w:numId w:val="45"/>
              </w:numPr>
              <w:jc w:val="both"/>
              <w:rPr>
                <w:rFonts w:ascii="Times New Roman" w:hAnsi="Times New Roman" w:cs="Times New Roman"/>
                <w:lang w:val="pt-PT"/>
              </w:rPr>
            </w:pPr>
            <w:r w:rsidRPr="002870AE">
              <w:rPr>
                <w:rFonts w:ascii="Times New Roman" w:hAnsi="Times New Roman" w:cs="Times New Roman"/>
                <w:lang w:val="pt-PT"/>
              </w:rPr>
              <w:t>Recusa em negociar / negar interconexão</w:t>
            </w:r>
          </w:p>
        </w:tc>
        <w:tc>
          <w:tcPr>
            <w:tcW w:w="1576" w:type="dxa"/>
          </w:tcPr>
          <w:p w14:paraId="4A530009"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Controlo de preços e contabilidade analítica</w:t>
            </w:r>
          </w:p>
        </w:tc>
        <w:tc>
          <w:tcPr>
            <w:tcW w:w="5797" w:type="dxa"/>
          </w:tcPr>
          <w:p w14:paraId="6D352A6A"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ARN, de acordo com as circunstâncias específicas do mercado, pode definir o preço do serviço grossista, usando diferentes métodos e modelos de contabilidade de custos, a fim de determinar um preço orientado para os custos.</w:t>
            </w:r>
          </w:p>
        </w:tc>
      </w:tr>
    </w:tbl>
    <w:p w14:paraId="11515EB2" w14:textId="77777777" w:rsidR="00FE6382" w:rsidRPr="002870AE" w:rsidRDefault="00FE6382" w:rsidP="002870AE">
      <w:pPr>
        <w:jc w:val="both"/>
        <w:rPr>
          <w:rFonts w:ascii="Times New Roman" w:hAnsi="Times New Roman" w:cs="Times New Roman"/>
          <w:sz w:val="24"/>
          <w:szCs w:val="24"/>
          <w:lang w:val="pt-PT"/>
        </w:rPr>
      </w:pPr>
    </w:p>
    <w:p w14:paraId="79AA835D"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Se, como resultado de uma análise de mercado, a ARN determinar que um determinado mercado de retalho não é efetivamente competitivo, e a ARN concluir que as obrigações impostas no mercado relacionado grossista não resolveriam os possíveis problemas de concorrência identificados, nomeadamente num curto espaço de tempo, a ARN pode impor obrigações regulatórias apropriadas às empresas identificadas como possuindo PSM, com base na natureza do problema identificado. As </w:t>
      </w:r>
      <w:r w:rsidRPr="002870AE">
        <w:rPr>
          <w:rFonts w:ascii="Times New Roman" w:hAnsi="Times New Roman" w:cs="Times New Roman"/>
          <w:sz w:val="24"/>
          <w:szCs w:val="24"/>
          <w:lang w:val="pt-PT"/>
        </w:rPr>
        <w:lastRenderedPageBreak/>
        <w:t>obrigações impostas podem incluir requisitos de que as empresas identificadas não cobram preços excessivos, inibem a entrada no mercado ou restrinjam a concorrência ao estabelecer preços predatórios, demonstrem preferência indevida a utilizadores finais específicos ou criem pacotes serviços de maneira não razoável. A ARN pode aplicar a essas empresas medidas apropriadas de controlo de preços no retalho, preços máximos, orientação para os custos ou prática de preços idênticos aos de mercados comparáveis ​​e seleção e pré-seleção de operadora, a fim de proteger os interesses do utilizador final e promover uma concorrência efetiva. As obrigações mais comuns disponíveis para os mercados de retalho são descritas em maior detalhe na Tabela 5 abaixo apresentada:</w:t>
      </w:r>
    </w:p>
    <w:p w14:paraId="1D7E898A" w14:textId="77777777" w:rsidR="00FE6382" w:rsidRPr="002870AE" w:rsidRDefault="00FE6382" w:rsidP="002870AE">
      <w:pPr>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Tabela 5: Mercados retalhistas, obrigações disponíveis.</w:t>
      </w:r>
    </w:p>
    <w:tbl>
      <w:tblPr>
        <w:tblStyle w:val="TabelacomGrelha"/>
        <w:tblW w:w="9640" w:type="dxa"/>
        <w:tblInd w:w="-289" w:type="dxa"/>
        <w:tblLook w:val="04A0" w:firstRow="1" w:lastRow="0" w:firstColumn="1" w:lastColumn="0" w:noHBand="0" w:noVBand="1"/>
      </w:tblPr>
      <w:tblGrid>
        <w:gridCol w:w="2836"/>
        <w:gridCol w:w="1701"/>
        <w:gridCol w:w="5103"/>
      </w:tblGrid>
      <w:tr w:rsidR="00FE6382" w:rsidRPr="002870AE" w14:paraId="17B93900" w14:textId="77777777" w:rsidTr="00D361A1">
        <w:tc>
          <w:tcPr>
            <w:tcW w:w="2836" w:type="dxa"/>
            <w:vAlign w:val="center"/>
          </w:tcPr>
          <w:p w14:paraId="1A6F2543"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1701" w:type="dxa"/>
            <w:vAlign w:val="center"/>
          </w:tcPr>
          <w:p w14:paraId="34F542AC"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Tipo de obrigação</w:t>
            </w:r>
          </w:p>
        </w:tc>
        <w:tc>
          <w:tcPr>
            <w:tcW w:w="5103" w:type="dxa"/>
            <w:vAlign w:val="center"/>
          </w:tcPr>
          <w:p w14:paraId="400B9754" w14:textId="77777777" w:rsidR="00FE6382" w:rsidRPr="002870AE" w:rsidRDefault="00FE6382" w:rsidP="00D361A1">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Imposição de obrigações</w:t>
            </w:r>
          </w:p>
        </w:tc>
      </w:tr>
      <w:tr w:rsidR="00FE6382" w:rsidRPr="000A51F8" w14:paraId="2C703B4E" w14:textId="77777777" w:rsidTr="00D361A1">
        <w:tc>
          <w:tcPr>
            <w:tcW w:w="2836" w:type="dxa"/>
            <w:vAlign w:val="center"/>
          </w:tcPr>
          <w:p w14:paraId="37CC736B"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Preços predatórios</w:t>
            </w:r>
          </w:p>
          <w:p w14:paraId="39748F1C"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Preços excessivos</w:t>
            </w:r>
          </w:p>
          <w:p w14:paraId="47A30AB3"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Discriminação de preços</w:t>
            </w:r>
          </w:p>
          <w:p w14:paraId="54DE5396"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Custos de mudança</w:t>
            </w:r>
          </w:p>
          <w:p w14:paraId="7039842C"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Pacotes não razoáveis</w:t>
            </w:r>
          </w:p>
          <w:p w14:paraId="69906E4A" w14:textId="77777777" w:rsidR="00FE6382" w:rsidRPr="002870AE" w:rsidRDefault="00FE6382" w:rsidP="00D361A1">
            <w:pPr>
              <w:pStyle w:val="Default"/>
              <w:numPr>
                <w:ilvl w:val="0"/>
                <w:numId w:val="47"/>
              </w:numPr>
              <w:rPr>
                <w:rFonts w:ascii="Times New Roman" w:hAnsi="Times New Roman" w:cs="Times New Roman"/>
                <w:lang w:val="pt-PT"/>
              </w:rPr>
            </w:pPr>
            <w:r w:rsidRPr="002870AE">
              <w:rPr>
                <w:rFonts w:ascii="Times New Roman" w:hAnsi="Times New Roman" w:cs="Times New Roman"/>
                <w:lang w:val="pt-PT"/>
              </w:rPr>
              <w:t>Preferência indevida</w:t>
            </w:r>
          </w:p>
          <w:p w14:paraId="64E3F2B5" w14:textId="77777777" w:rsidR="00FE6382" w:rsidRPr="002870AE" w:rsidRDefault="00FE6382" w:rsidP="00D361A1">
            <w:pPr>
              <w:pStyle w:val="Default"/>
              <w:ind w:left="720"/>
              <w:rPr>
                <w:rFonts w:ascii="Times New Roman" w:hAnsi="Times New Roman" w:cs="Times New Roman"/>
                <w:lang w:val="pt-PT"/>
              </w:rPr>
            </w:pPr>
          </w:p>
        </w:tc>
        <w:tc>
          <w:tcPr>
            <w:tcW w:w="1701" w:type="dxa"/>
            <w:vAlign w:val="center"/>
          </w:tcPr>
          <w:p w14:paraId="17E30431"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 xml:space="preserve"> Transparência</w:t>
            </w:r>
          </w:p>
          <w:p w14:paraId="7B2477A1" w14:textId="77777777" w:rsidR="00FE6382" w:rsidRPr="002870AE" w:rsidRDefault="00FE6382" w:rsidP="00D361A1">
            <w:pPr>
              <w:pStyle w:val="Default"/>
              <w:rPr>
                <w:rFonts w:ascii="Times New Roman" w:hAnsi="Times New Roman" w:cs="Times New Roman"/>
                <w:lang w:val="pt-PT"/>
              </w:rPr>
            </w:pPr>
          </w:p>
        </w:tc>
        <w:tc>
          <w:tcPr>
            <w:tcW w:w="5103" w:type="dxa"/>
          </w:tcPr>
          <w:p w14:paraId="410E65A8"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Notificação dos preços: Exigência de que o operador dominante notifique os seus preços ao mercado dentro de um prazo indicado antes ou após a publicação. Esse remédio normalmente seria aplicado quando o dano da dominância surgisse total ou parcialmente de preços não divulgados ao mercado, para que outros concorrentes e clientes possam não estar cientes das opções de preço que possuem do licenciado dominante.</w:t>
            </w:r>
          </w:p>
          <w:p w14:paraId="605EB5C5"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b) Notificação e aprovação de preços: um requisito de que o operador dominante submeta a aprovação por parte da ARN quaisquer novos preços ou alterações de preços existentes relacionadas com serviços, incluindo pacotes, no mercado em que é dominante e antes da sua implementação.</w:t>
            </w:r>
          </w:p>
        </w:tc>
      </w:tr>
      <w:tr w:rsidR="00FE6382" w:rsidRPr="000A51F8" w14:paraId="6D3C29D9" w14:textId="77777777" w:rsidTr="00D361A1">
        <w:tc>
          <w:tcPr>
            <w:tcW w:w="2836" w:type="dxa"/>
            <w:vAlign w:val="center"/>
          </w:tcPr>
          <w:p w14:paraId="689FF906" w14:textId="77777777" w:rsidR="00FE6382" w:rsidRPr="002870AE" w:rsidRDefault="00FE6382" w:rsidP="00D361A1">
            <w:pPr>
              <w:pStyle w:val="Default"/>
              <w:numPr>
                <w:ilvl w:val="0"/>
                <w:numId w:val="46"/>
              </w:numPr>
              <w:rPr>
                <w:rFonts w:ascii="Times New Roman" w:hAnsi="Times New Roman" w:cs="Times New Roman"/>
                <w:lang w:val="pt-PT"/>
              </w:rPr>
            </w:pPr>
            <w:r w:rsidRPr="002870AE">
              <w:rPr>
                <w:rFonts w:ascii="Times New Roman" w:hAnsi="Times New Roman" w:cs="Times New Roman"/>
                <w:lang w:val="pt-PT"/>
              </w:rPr>
              <w:t>Preços predatórios</w:t>
            </w:r>
          </w:p>
          <w:p w14:paraId="5C214547" w14:textId="77777777" w:rsidR="00FE6382" w:rsidRPr="002870AE" w:rsidRDefault="00FE6382" w:rsidP="00D361A1">
            <w:pPr>
              <w:pStyle w:val="Default"/>
              <w:numPr>
                <w:ilvl w:val="0"/>
                <w:numId w:val="46"/>
              </w:numPr>
              <w:rPr>
                <w:rFonts w:ascii="Times New Roman" w:hAnsi="Times New Roman" w:cs="Times New Roman"/>
                <w:lang w:val="pt-PT"/>
              </w:rPr>
            </w:pPr>
            <w:r w:rsidRPr="002870AE">
              <w:rPr>
                <w:rFonts w:ascii="Times New Roman" w:hAnsi="Times New Roman" w:cs="Times New Roman"/>
                <w:lang w:val="pt-PT"/>
              </w:rPr>
              <w:t>Preços excessivos</w:t>
            </w:r>
          </w:p>
          <w:p w14:paraId="036B966E" w14:textId="77777777" w:rsidR="00FE6382" w:rsidRPr="002870AE" w:rsidRDefault="00FE6382" w:rsidP="00D361A1">
            <w:pPr>
              <w:pStyle w:val="Default"/>
              <w:numPr>
                <w:ilvl w:val="0"/>
                <w:numId w:val="46"/>
              </w:numPr>
              <w:rPr>
                <w:rFonts w:ascii="Times New Roman" w:hAnsi="Times New Roman" w:cs="Times New Roman"/>
                <w:lang w:val="pt-PT"/>
              </w:rPr>
            </w:pPr>
            <w:r w:rsidRPr="002870AE">
              <w:rPr>
                <w:rFonts w:ascii="Times New Roman" w:hAnsi="Times New Roman" w:cs="Times New Roman"/>
                <w:lang w:val="pt-PT"/>
              </w:rPr>
              <w:t>Discriminação de preços</w:t>
            </w:r>
          </w:p>
        </w:tc>
        <w:tc>
          <w:tcPr>
            <w:tcW w:w="1701" w:type="dxa"/>
            <w:vAlign w:val="center"/>
          </w:tcPr>
          <w:p w14:paraId="5176A113" w14:textId="77777777" w:rsidR="00FE6382" w:rsidRPr="002870AE" w:rsidRDefault="00FE6382" w:rsidP="00D361A1">
            <w:pPr>
              <w:pStyle w:val="Default"/>
              <w:rPr>
                <w:rFonts w:ascii="Times New Roman" w:hAnsi="Times New Roman" w:cs="Times New Roman"/>
                <w:lang w:val="pt-PT"/>
              </w:rPr>
            </w:pPr>
            <w:r w:rsidRPr="002870AE">
              <w:rPr>
                <w:rFonts w:ascii="Times New Roman" w:hAnsi="Times New Roman" w:cs="Times New Roman"/>
                <w:lang w:val="pt-PT"/>
              </w:rPr>
              <w:t>Preços máximos (ou mínimos), orientação para os custos</w:t>
            </w:r>
          </w:p>
        </w:tc>
        <w:tc>
          <w:tcPr>
            <w:tcW w:w="5103" w:type="dxa"/>
          </w:tcPr>
          <w:p w14:paraId="4F0E28B3"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(a) Regulação do preço máximo (ou mínimo): um requisito de que o licenciado dominante deva cobrar preços por serviços individuais ou por pacotes de serviços igual ou abaixo de um teto máximo estabelecido ou igual ou acima de um preço mínimo estabelecido. Este remédio seria normalmente aplicado quando o licenciado dominante tem capacidade para cobrar preços que não são relacionados com os custos e, consequentemente, provavelmente predatórios, excessivos ou subsidiados, mas onde alguma margem de manobra é apropriada para permitir que o operador dominante seja inovador e flexível na sua abordagem ao estabelecimento de preços no mercado. </w:t>
            </w:r>
          </w:p>
        </w:tc>
      </w:tr>
      <w:tr w:rsidR="00FE6382" w:rsidRPr="000A51F8" w14:paraId="7E278AE3" w14:textId="77777777" w:rsidTr="00D361A1">
        <w:tc>
          <w:tcPr>
            <w:tcW w:w="2836" w:type="dxa"/>
            <w:vAlign w:val="center"/>
          </w:tcPr>
          <w:p w14:paraId="381E6D55" w14:textId="77777777" w:rsidR="00FE6382" w:rsidRPr="002870AE" w:rsidRDefault="00FE6382" w:rsidP="00D361A1">
            <w:pPr>
              <w:pStyle w:val="Default"/>
              <w:numPr>
                <w:ilvl w:val="0"/>
                <w:numId w:val="48"/>
              </w:numPr>
              <w:rPr>
                <w:rFonts w:ascii="Times New Roman" w:hAnsi="Times New Roman" w:cs="Times New Roman"/>
                <w:lang w:val="pt-PT"/>
              </w:rPr>
            </w:pPr>
            <w:r w:rsidRPr="002870AE">
              <w:rPr>
                <w:rFonts w:ascii="Times New Roman" w:hAnsi="Times New Roman" w:cs="Times New Roman"/>
                <w:lang w:val="pt-PT"/>
              </w:rPr>
              <w:lastRenderedPageBreak/>
              <w:t>Preços predatórios</w:t>
            </w:r>
          </w:p>
          <w:p w14:paraId="02552754" w14:textId="77777777" w:rsidR="00FE6382" w:rsidRPr="002870AE" w:rsidRDefault="00FE6382" w:rsidP="00D361A1">
            <w:pPr>
              <w:pStyle w:val="Default"/>
              <w:numPr>
                <w:ilvl w:val="0"/>
                <w:numId w:val="48"/>
              </w:numPr>
              <w:rPr>
                <w:rFonts w:ascii="Times New Roman" w:hAnsi="Times New Roman" w:cs="Times New Roman"/>
                <w:lang w:val="pt-PT"/>
              </w:rPr>
            </w:pPr>
            <w:r w:rsidRPr="002870AE">
              <w:rPr>
                <w:rFonts w:ascii="Times New Roman" w:hAnsi="Times New Roman" w:cs="Times New Roman"/>
                <w:lang w:val="pt-PT"/>
              </w:rPr>
              <w:t>Preços excessivos</w:t>
            </w:r>
          </w:p>
          <w:p w14:paraId="17D28601" w14:textId="77777777" w:rsidR="00FE6382" w:rsidRPr="002870AE" w:rsidRDefault="00FE6382" w:rsidP="00D361A1">
            <w:pPr>
              <w:pStyle w:val="Default"/>
              <w:numPr>
                <w:ilvl w:val="0"/>
                <w:numId w:val="48"/>
              </w:numPr>
              <w:rPr>
                <w:rFonts w:ascii="Times New Roman" w:hAnsi="Times New Roman" w:cs="Times New Roman"/>
                <w:lang w:val="pt-PT"/>
              </w:rPr>
            </w:pPr>
            <w:r w:rsidRPr="002870AE">
              <w:rPr>
                <w:rFonts w:ascii="Times New Roman" w:hAnsi="Times New Roman" w:cs="Times New Roman"/>
                <w:lang w:val="pt-PT"/>
              </w:rPr>
              <w:t>Discriminação de preços</w:t>
            </w:r>
          </w:p>
        </w:tc>
        <w:tc>
          <w:tcPr>
            <w:tcW w:w="1701" w:type="dxa"/>
            <w:vAlign w:val="center"/>
          </w:tcPr>
          <w:p w14:paraId="026B8898" w14:textId="77777777" w:rsidR="00FE6382" w:rsidRPr="002870AE" w:rsidRDefault="00FE6382" w:rsidP="00D361A1">
            <w:pPr>
              <w:pStyle w:val="Default"/>
              <w:spacing w:after="120"/>
              <w:rPr>
                <w:rFonts w:ascii="Times New Roman" w:hAnsi="Times New Roman" w:cs="Times New Roman"/>
                <w:lang w:val="pt-PT"/>
              </w:rPr>
            </w:pPr>
            <w:r w:rsidRPr="002870AE">
              <w:rPr>
                <w:rFonts w:ascii="Times New Roman" w:hAnsi="Times New Roman" w:cs="Times New Roman"/>
                <w:lang w:val="pt-PT"/>
              </w:rPr>
              <w:t>Contabilidade de custos</w:t>
            </w:r>
          </w:p>
        </w:tc>
        <w:tc>
          <w:tcPr>
            <w:tcW w:w="5103" w:type="dxa"/>
          </w:tcPr>
          <w:p w14:paraId="7263EA7C"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A ARN pode necessitar exigir que os sistemas apropriados de contabilidade de custos estejam implementados para poder impor controlos de preços no retalho.</w:t>
            </w:r>
          </w:p>
        </w:tc>
      </w:tr>
    </w:tbl>
    <w:p w14:paraId="4E081057" w14:textId="77777777" w:rsidR="00FE6382" w:rsidRPr="002870AE" w:rsidRDefault="00FE6382" w:rsidP="002870AE">
      <w:pPr>
        <w:jc w:val="both"/>
        <w:rPr>
          <w:rFonts w:ascii="Times New Roman" w:hAnsi="Times New Roman" w:cs="Times New Roman"/>
          <w:sz w:val="24"/>
          <w:szCs w:val="24"/>
          <w:lang w:val="pt-PT"/>
        </w:rPr>
      </w:pPr>
    </w:p>
    <w:p w14:paraId="2667A669" w14:textId="77777777" w:rsidR="00FE6382" w:rsidRPr="002870AE" w:rsidRDefault="00FE6382" w:rsidP="002870AE">
      <w:pPr>
        <w:pStyle w:val="Ttulo2"/>
        <w:ind w:left="709" w:hanging="709"/>
        <w:jc w:val="both"/>
        <w:rPr>
          <w:rFonts w:ascii="Times New Roman" w:hAnsi="Times New Roman" w:cs="Times New Roman"/>
          <w:lang w:val="pt-PT"/>
        </w:rPr>
      </w:pPr>
      <w:bookmarkStart w:id="43" w:name="_Toc47715053"/>
      <w:bookmarkStart w:id="44" w:name="_Toc52034821"/>
      <w:r w:rsidRPr="002870AE">
        <w:rPr>
          <w:rFonts w:ascii="Times New Roman" w:hAnsi="Times New Roman" w:cs="Times New Roman"/>
          <w:lang w:val="pt-PT"/>
        </w:rPr>
        <w:t>Imposição de Obrigações na Guiné Bissau</w:t>
      </w:r>
      <w:bookmarkEnd w:id="43"/>
      <w:bookmarkEnd w:id="44"/>
      <w:r w:rsidRPr="002870AE">
        <w:rPr>
          <w:rFonts w:ascii="Times New Roman" w:hAnsi="Times New Roman" w:cs="Times New Roman"/>
          <w:lang w:val="pt-PT"/>
        </w:rPr>
        <w:t xml:space="preserve"> </w:t>
      </w:r>
    </w:p>
    <w:p w14:paraId="7167C496"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Ao estabelecer obrigações, uma decisão importante por parte da ARN é decidir se uma intervenção deve incidir no mercado grossista ou no mercado retalhista relacionado (ou em ambos). As obrigações disponíveis, por vezes, não devem ser aplicadas aos operadores que detêm PSM em todos os mercados relevantes identificados. A nota explicativa</w:t>
      </w:r>
      <w:r w:rsidRPr="002870AE">
        <w:rPr>
          <w:rStyle w:val="Refdenotaderodap"/>
          <w:rFonts w:ascii="Times New Roman" w:hAnsi="Times New Roman"/>
          <w:sz w:val="24"/>
          <w:szCs w:val="24"/>
          <w:lang w:val="pt-PT"/>
        </w:rPr>
        <w:footnoteReference w:id="35"/>
      </w:r>
      <w:r w:rsidRPr="002870AE">
        <w:rPr>
          <w:rFonts w:ascii="Times New Roman" w:hAnsi="Times New Roman" w:cs="Times New Roman"/>
          <w:sz w:val="24"/>
          <w:szCs w:val="24"/>
          <w:lang w:val="pt-PT"/>
        </w:rPr>
        <w:t xml:space="preserve"> da Comissão Europeia numa das suas recomendações sobre os mercados do setor de comunicações eletrônicas suscetíveis de regulamentação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afirma:</w:t>
      </w:r>
    </w:p>
    <w:p w14:paraId="34EDA268" w14:textId="795248A6"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“Em princípio, a falta de concorrência efetiva pode ocorrer no retalho ou no mercado grossista ou em ambos. Isso significa que as Autoridades Reguladoras Nacionais podem precisar examinar o grau geral de poder de mercado das empresas e o impacto na concorrência efetiva. A identificação de um mercado de retalho (como parte da cadeia de valor) para fins de análise </w:t>
      </w:r>
      <w:proofErr w:type="spellStart"/>
      <w:r w:rsidRPr="002870AE">
        <w:rPr>
          <w:rFonts w:ascii="Times New Roman" w:hAnsi="Times New Roman" w:cs="Times New Roman"/>
          <w:sz w:val="24"/>
          <w:szCs w:val="24"/>
          <w:lang w:val="pt-PT"/>
        </w:rPr>
        <w:t>ex</w:t>
      </w:r>
      <w:proofErr w:type="spellEnd"/>
      <w:r w:rsidRPr="002870AE">
        <w:rPr>
          <w:rFonts w:ascii="Times New Roman" w:hAnsi="Times New Roman" w:cs="Times New Roman"/>
          <w:sz w:val="24"/>
          <w:szCs w:val="24"/>
          <w:lang w:val="pt-PT"/>
        </w:rPr>
        <w:t xml:space="preserve"> ante do mercado, onde há uma constatação de falta de concorrência efetiva por parte de uma Autoridade Reguladora Nacional, não implica, por si só, que os remédios regulatórios sejam aplicados nesse mercado retalhista. A imposição de obrigações nos mercados de retalho só deve acontecer quando se prevê que a imposição de obrigações nos mercados grossistas relevantes não conseguirão atingir o objetivo de garantir uma concorrência efetiva no respetivo mercado retalhista.”.</w:t>
      </w:r>
    </w:p>
    <w:p w14:paraId="1B7C499F"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Diretiva de Serviço Universal também chama a atenção para este aspeto:</w:t>
      </w:r>
    </w:p>
    <w:p w14:paraId="0A212A70"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“No entanto, os controles regulatórios dos serviços de retalho só devem ser impostos quando as autoridades reguladoras nacionais consideram que as medidas nos mercados grossistas relevantes ou medidas relativas à seleção ou pré-seleção de operadora não alcançariam o objetivo de garantir uma concorrência efetiva e interesse público.”</w:t>
      </w:r>
    </w:p>
    <w:p w14:paraId="3565BDB7" w14:textId="77173439"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A Guiné Bissau é uma jurisdição relativamente pequena quando comparada com a maioria dos países europeus onde é aplicada a abordagem regulatória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acima mencionada. No entanto, alguns países europeus que aplicam o quadro regulamentar da UE, como Malta, Luxemburgo ou Chipre, são menores que a Guiné Bissau em área e/ou população. A literatura</w:t>
      </w:r>
      <w:r w:rsidRPr="002870AE">
        <w:rPr>
          <w:rStyle w:val="Refdenotaderodap"/>
          <w:rFonts w:ascii="Times New Roman" w:hAnsi="Times New Roman"/>
          <w:sz w:val="24"/>
          <w:szCs w:val="24"/>
          <w:lang w:val="pt-PT"/>
        </w:rPr>
        <w:footnoteReference w:id="36"/>
      </w:r>
      <w:r w:rsidRPr="002870AE">
        <w:rPr>
          <w:rFonts w:ascii="Times New Roman" w:hAnsi="Times New Roman" w:cs="Times New Roman"/>
          <w:sz w:val="24"/>
          <w:szCs w:val="24"/>
          <w:lang w:val="pt-PT"/>
        </w:rPr>
        <w:t xml:space="preserve"> sobre a aplicação da regulação em pequenos países reconhece a necessidade de algumas precauções. Uma preocupação particular é a necessidade de equilibrar a eficiência produtiva com o nível de concorrência. Em muitos setores, </w:t>
      </w:r>
      <w:r w:rsidRPr="002870AE">
        <w:rPr>
          <w:rFonts w:ascii="Times New Roman" w:hAnsi="Times New Roman" w:cs="Times New Roman"/>
          <w:sz w:val="24"/>
          <w:szCs w:val="24"/>
          <w:lang w:val="pt-PT"/>
        </w:rPr>
        <w:lastRenderedPageBreak/>
        <w:t xml:space="preserve">como é o caso do setor de comunicações eletrónicas, a necessidade de eficiência produtiva pode exigir um monopólio ou duopólio no fornecimento de serviços, enquanto o mesmo setor em economias maiores pode efetivamente ser competitivo e saudável com um maior número de operadores. Os mercados grossistas e retalhistas de comunicações eletrónicas na Guiné Bissau são altamente concentrados. Abordar e resolver os problemas decorrentes de altos níveis de concentração no sector, onde as empresas podem ter que operar numa escala económica menor que a mínima, pode passar por admitir um nível mais baixo de concorrência para por outro lado assegurar uma adequada eficiência produtiva. Assumindo que o objetivo geral da política do regulador (e do governo) é maximizar o bem-estar econômico e social, em vez de maximizar a concorrência (a competição é um meio de alcançar o aumento do bem-estar social e não um objetivo em si), a ARN, na presente Análise de Mercado, tem consideração que o sector na Guiné Bissau é relativamente restrito (em particular o mercado de serviços fixos é atualmente quase inexistente) e as obrigações que podem ter sido apropriadas noutros países seriam desproporcionais se aplicadas na Guiné Bissau - ou seja, os custos dessas obrigações podem ser superiores aos benefícios conseguidos. É com estes aspetos em mente que </w:t>
      </w:r>
      <w:r w:rsidR="0007543A" w:rsidRPr="002870AE">
        <w:rPr>
          <w:rFonts w:ascii="Times New Roman" w:hAnsi="Times New Roman" w:cs="Times New Roman"/>
          <w:sz w:val="24"/>
          <w:szCs w:val="24"/>
          <w:lang w:val="pt-PT"/>
        </w:rPr>
        <w:t>a ARN delineou</w:t>
      </w:r>
      <w:r w:rsidRPr="002870AE">
        <w:rPr>
          <w:rFonts w:ascii="Times New Roman" w:hAnsi="Times New Roman" w:cs="Times New Roman"/>
          <w:sz w:val="24"/>
          <w:szCs w:val="24"/>
          <w:lang w:val="pt-PT"/>
        </w:rPr>
        <w:t xml:space="preserve"> a abordagem para o estabelecimento de obrigações, conforme se descreve na próxima seção </w:t>
      </w:r>
      <w:r w:rsidR="0007543A" w:rsidRPr="002870AE">
        <w:rPr>
          <w:rFonts w:ascii="Times New Roman" w:hAnsi="Times New Roman" w:cs="Times New Roman"/>
          <w:sz w:val="24"/>
          <w:szCs w:val="24"/>
          <w:lang w:val="pt-PT"/>
        </w:rPr>
        <w:t>desta Consulta Pública</w:t>
      </w:r>
      <w:r w:rsidRPr="002870AE">
        <w:rPr>
          <w:rFonts w:ascii="Times New Roman" w:hAnsi="Times New Roman" w:cs="Times New Roman"/>
          <w:sz w:val="24"/>
          <w:szCs w:val="24"/>
          <w:lang w:val="pt-PT"/>
        </w:rPr>
        <w:t>.</w:t>
      </w:r>
    </w:p>
    <w:p w14:paraId="1B2BE3B5" w14:textId="39A632F4"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aumento do bem-estar pode ser alcançado de várias maneiras. Reduzir os preços para mais perto dos custos, através do aumento da concorrência ou do controle de preços no retalho. Mais concorrência também pode obrigar um operador a reduzir os seus custos através do uso de novas tecnologias mais eficientes ou do aumento da eficiência operacional. No entanto, mais concorrência num mercado pequeno pode reduzir o potencial em obter maiores economias de escala e, portanto, custos unitários mais baixos. Uma redução de preço também muda a curva de procura para quantidades maiores compradas a um preço menor, o que aumenta o bem-estar do consumidor. Em resumo, uma A</w:t>
      </w:r>
      <w:r w:rsidR="0007543A" w:rsidRPr="002870AE">
        <w:rPr>
          <w:rFonts w:ascii="Times New Roman" w:hAnsi="Times New Roman" w:cs="Times New Roman"/>
          <w:sz w:val="24"/>
          <w:szCs w:val="24"/>
          <w:lang w:val="pt-PT"/>
        </w:rPr>
        <w:t xml:space="preserve">utoridade </w:t>
      </w:r>
      <w:r w:rsidRPr="002870AE">
        <w:rPr>
          <w:rFonts w:ascii="Times New Roman" w:hAnsi="Times New Roman" w:cs="Times New Roman"/>
          <w:sz w:val="24"/>
          <w:szCs w:val="24"/>
          <w:lang w:val="pt-PT"/>
        </w:rPr>
        <w:t>R</w:t>
      </w:r>
      <w:r w:rsidR="0007543A" w:rsidRPr="002870AE">
        <w:rPr>
          <w:rFonts w:ascii="Times New Roman" w:hAnsi="Times New Roman" w:cs="Times New Roman"/>
          <w:sz w:val="24"/>
          <w:szCs w:val="24"/>
          <w:lang w:val="pt-PT"/>
        </w:rPr>
        <w:t xml:space="preserve">eguladora </w:t>
      </w:r>
      <w:r w:rsidRPr="002870AE">
        <w:rPr>
          <w:rFonts w:ascii="Times New Roman" w:hAnsi="Times New Roman" w:cs="Times New Roman"/>
          <w:sz w:val="24"/>
          <w:szCs w:val="24"/>
          <w:lang w:val="pt-PT"/>
        </w:rPr>
        <w:t>N</w:t>
      </w:r>
      <w:r w:rsidR="0007543A" w:rsidRPr="002870AE">
        <w:rPr>
          <w:rFonts w:ascii="Times New Roman" w:hAnsi="Times New Roman" w:cs="Times New Roman"/>
          <w:sz w:val="24"/>
          <w:szCs w:val="24"/>
          <w:lang w:val="pt-PT"/>
        </w:rPr>
        <w:t>acional</w:t>
      </w:r>
      <w:r w:rsidRPr="002870AE">
        <w:rPr>
          <w:rFonts w:ascii="Times New Roman" w:hAnsi="Times New Roman" w:cs="Times New Roman"/>
          <w:sz w:val="24"/>
          <w:szCs w:val="24"/>
          <w:lang w:val="pt-PT"/>
        </w:rPr>
        <w:t xml:space="preserve"> deve fazer uma série de considerações cuidadosas e ponderadas antes de decidir regular no mercado grossista ou no retalho em mercados verticalmente integrados (ou em ambos simultaneamente), para aumentar o bem-estar económico e social:</w:t>
      </w:r>
    </w:p>
    <w:p w14:paraId="7DCB6281" w14:textId="7B5400A2" w:rsidR="00FE6382" w:rsidRPr="002870AE" w:rsidRDefault="00FE6382" w:rsidP="002870AE">
      <w:pPr>
        <w:pStyle w:val="PargrafodaLista"/>
        <w:numPr>
          <w:ilvl w:val="0"/>
          <w:numId w:val="5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Medidas para proteger os consumidores podem exigir que as A</w:t>
      </w:r>
      <w:r w:rsidR="0007543A" w:rsidRPr="002870AE">
        <w:rPr>
          <w:rFonts w:ascii="Times New Roman" w:hAnsi="Times New Roman" w:cs="Times New Roman"/>
          <w:sz w:val="24"/>
          <w:szCs w:val="24"/>
          <w:lang w:val="pt-PT"/>
        </w:rPr>
        <w:t xml:space="preserve">utoridades </w:t>
      </w:r>
      <w:r w:rsidRPr="002870AE">
        <w:rPr>
          <w:rFonts w:ascii="Times New Roman" w:hAnsi="Times New Roman" w:cs="Times New Roman"/>
          <w:sz w:val="24"/>
          <w:szCs w:val="24"/>
          <w:lang w:val="pt-PT"/>
        </w:rPr>
        <w:t>R</w:t>
      </w:r>
      <w:r w:rsidR="0007543A" w:rsidRPr="002870AE">
        <w:rPr>
          <w:rFonts w:ascii="Times New Roman" w:hAnsi="Times New Roman" w:cs="Times New Roman"/>
          <w:sz w:val="24"/>
          <w:szCs w:val="24"/>
          <w:lang w:val="pt-PT"/>
        </w:rPr>
        <w:t xml:space="preserve">eguladoras </w:t>
      </w:r>
      <w:r w:rsidRPr="002870AE">
        <w:rPr>
          <w:rFonts w:ascii="Times New Roman" w:hAnsi="Times New Roman" w:cs="Times New Roman"/>
          <w:sz w:val="24"/>
          <w:szCs w:val="24"/>
          <w:lang w:val="pt-PT"/>
        </w:rPr>
        <w:t>N</w:t>
      </w:r>
      <w:r w:rsidR="0007543A" w:rsidRPr="002870AE">
        <w:rPr>
          <w:rFonts w:ascii="Times New Roman" w:hAnsi="Times New Roman" w:cs="Times New Roman"/>
          <w:sz w:val="24"/>
          <w:szCs w:val="24"/>
          <w:lang w:val="pt-PT"/>
        </w:rPr>
        <w:t>acionais</w:t>
      </w:r>
      <w:r w:rsidRPr="002870AE">
        <w:rPr>
          <w:rFonts w:ascii="Times New Roman" w:hAnsi="Times New Roman" w:cs="Times New Roman"/>
          <w:sz w:val="24"/>
          <w:szCs w:val="24"/>
          <w:lang w:val="pt-PT"/>
        </w:rPr>
        <w:t xml:space="preserve"> imponham controlos de preços no setor;</w:t>
      </w:r>
    </w:p>
    <w:p w14:paraId="7E8EE133" w14:textId="77777777" w:rsidR="00FE6382" w:rsidRPr="002870AE" w:rsidRDefault="00FE6382" w:rsidP="002870AE">
      <w:pPr>
        <w:pStyle w:val="PargrafodaLista"/>
        <w:numPr>
          <w:ilvl w:val="0"/>
          <w:numId w:val="5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compromisso entre concorrência e eficiência produtiva deve ser avaliado;</w:t>
      </w:r>
    </w:p>
    <w:p w14:paraId="4A6268EC" w14:textId="77777777" w:rsidR="00FE6382" w:rsidRPr="002870AE" w:rsidRDefault="00FE6382" w:rsidP="002870AE">
      <w:pPr>
        <w:pStyle w:val="PargrafodaLista"/>
        <w:numPr>
          <w:ilvl w:val="0"/>
          <w:numId w:val="5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Em muitos mercados é necessário fazer uma escolha entre medidas para promover a concorrência baseada em infraestrutura e medidas que promovam a concorrência baseada em serviços;</w:t>
      </w:r>
    </w:p>
    <w:p w14:paraId="3C600844" w14:textId="77777777" w:rsidR="00FE6382" w:rsidRPr="002870AE" w:rsidRDefault="00FE6382" w:rsidP="002870AE">
      <w:pPr>
        <w:pStyle w:val="PargrafodaLista"/>
        <w:numPr>
          <w:ilvl w:val="0"/>
          <w:numId w:val="5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impacto nos incentivos ao investimento em infraestrutura por parte de operadores históricos e participantes no sector deve também ser tido em consideração.</w:t>
      </w:r>
    </w:p>
    <w:p w14:paraId="4B29ED12"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Todos esses fatores podem influenciar em que nível se deve (ou não) intervir na cadeia de valor (grossista ou retalho).</w:t>
      </w:r>
    </w:p>
    <w:p w14:paraId="2278B99C" w14:textId="67E5A395"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Outra preocupação é o custo de regular o setor de telecomunicações de um país pequeno. Os custos de desenvolvimento e implementação da regulação reduzem relativamente pouco, em proporção ao tamanho do mercado a ser regulado, enquanto os benefícios são geralmente proporcionais ao tamanho do mercado. Dada a relação de custos e benefícios com o tamanho do mercado, é possível que abordagens e soluções regulatórias apropriadas em grandes países possam levar a perdas económicas em jurisdições de muito menor dimensão. Dito isto, com base nas melhores práticas internacionais, </w:t>
      </w:r>
      <w:r w:rsidR="0007543A" w:rsidRPr="002870AE">
        <w:rPr>
          <w:rFonts w:ascii="Times New Roman" w:hAnsi="Times New Roman" w:cs="Times New Roman"/>
          <w:sz w:val="24"/>
          <w:szCs w:val="24"/>
          <w:lang w:val="pt-PT"/>
        </w:rPr>
        <w:t xml:space="preserve">a </w:t>
      </w:r>
      <w:r w:rsidR="0007543A" w:rsidRPr="002870AE">
        <w:rPr>
          <w:rFonts w:ascii="Times New Roman" w:hAnsi="Times New Roman" w:cs="Times New Roman"/>
          <w:sz w:val="24"/>
          <w:szCs w:val="24"/>
          <w:lang w:val="pt-PT"/>
        </w:rPr>
        <w:lastRenderedPageBreak/>
        <w:t>ARN procedeu</w:t>
      </w:r>
      <w:r w:rsidRPr="002870AE">
        <w:rPr>
          <w:rFonts w:ascii="Times New Roman" w:hAnsi="Times New Roman" w:cs="Times New Roman"/>
          <w:sz w:val="24"/>
          <w:szCs w:val="24"/>
          <w:lang w:val="pt-PT"/>
        </w:rPr>
        <w:t xml:space="preserve"> à análise dos mercados grossista e retalhista em simultâneo, com base nas ligações existentes entre eles</w:t>
      </w:r>
      <w:r w:rsidRPr="002870AE">
        <w:rPr>
          <w:rStyle w:val="Refdenotaderodap"/>
          <w:rFonts w:ascii="Times New Roman" w:hAnsi="Times New Roman"/>
          <w:sz w:val="24"/>
          <w:szCs w:val="24"/>
          <w:lang w:val="pt-PT"/>
        </w:rPr>
        <w:footnoteReference w:id="37"/>
      </w:r>
      <w:r w:rsidRPr="002870AE">
        <w:rPr>
          <w:rFonts w:ascii="Times New Roman" w:hAnsi="Times New Roman" w:cs="Times New Roman"/>
          <w:sz w:val="24"/>
          <w:szCs w:val="24"/>
          <w:lang w:val="pt-PT"/>
        </w:rPr>
        <w:t xml:space="preserve">. </w:t>
      </w:r>
    </w:p>
    <w:p w14:paraId="0C7568FF"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Dado o estado atual de desenvolvimento do sector das comunicações eletrónicas na Guiné Bissau (alta concentração nos mercados grossistas e retalhistas), a expectativa é que a maioria das obrigações iniciais sejam impostas nos mercados de retalho.</w:t>
      </w:r>
    </w:p>
    <w:p w14:paraId="0F49B184"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Neste momento, podem definir-se vários princípios a ser seguidos na definição de obrigações. A ARN pode aplicar os seguintes princípios, na medida em que as circunstâncias de dominância e o mercado relevante o aconselharem:</w:t>
      </w:r>
    </w:p>
    <w:p w14:paraId="192BD53F" w14:textId="77777777" w:rsidR="00FE6382" w:rsidRPr="002870AE" w:rsidRDefault="00FE6382" w:rsidP="002870AE">
      <w:pPr>
        <w:pStyle w:val="PargrafodaLista"/>
        <w:numPr>
          <w:ilvl w:val="0"/>
          <w:numId w:val="5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ARN implementará obrigações primeiro nos mercados grossistas e somente então considerará se é necessário aplicar remédios nos mercados retalhistas relacionados, tendo em mente que os remédios no mercado grossista podem eliminar a necessidade de remédios no mercado retalhista.</w:t>
      </w:r>
    </w:p>
    <w:p w14:paraId="41A07F85" w14:textId="77777777" w:rsidR="00FE6382" w:rsidRPr="002870AE" w:rsidRDefault="00FE6382" w:rsidP="002870AE">
      <w:pPr>
        <w:pStyle w:val="PargrafodaLista"/>
        <w:numPr>
          <w:ilvl w:val="0"/>
          <w:numId w:val="5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ARN imporá a obrigação (ou conjunto de obrigações) menos invasivo que, no seu julgamento, será suficiente para solucionar a falha de mercado e proteger a concorrência e os interesses dos consumidores associados a esse mercado.</w:t>
      </w:r>
    </w:p>
    <w:p w14:paraId="4548DC8B" w14:textId="77777777" w:rsidR="00FE6382" w:rsidRPr="002870AE" w:rsidRDefault="00FE6382" w:rsidP="002870AE">
      <w:pPr>
        <w:pStyle w:val="PargrafodaLista"/>
        <w:numPr>
          <w:ilvl w:val="0"/>
          <w:numId w:val="5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ARN moldará as obrigações e determinará a sua intensidade de aplicação para garantir que a obrigação escolhida seja apropriada, razoável e proporcional ao risco de dano que possa ser causado pela dominância encontrada no mercado relevante.</w:t>
      </w:r>
    </w:p>
    <w:p w14:paraId="1741A86D" w14:textId="77777777" w:rsidR="00FE6382" w:rsidRPr="002870AE" w:rsidRDefault="00FE6382" w:rsidP="002870AE">
      <w:pPr>
        <w:pStyle w:val="PargrafodaLista"/>
        <w:numPr>
          <w:ilvl w:val="0"/>
          <w:numId w:val="5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Como princípio geral, as obrigações aplicadas aos operadores que são considerados dominantes em conjunto devem ser as mesmas.</w:t>
      </w:r>
    </w:p>
    <w:p w14:paraId="4CE70E9A" w14:textId="77777777" w:rsidR="00FE6382" w:rsidRPr="002870AE" w:rsidRDefault="00FE6382" w:rsidP="002870AE">
      <w:pPr>
        <w:pStyle w:val="PargrafodaLista"/>
        <w:numPr>
          <w:ilvl w:val="0"/>
          <w:numId w:val="5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Como princípio geral, as obrigações aplicadas aos operadores dominantes em mercados semelhantes (como o mercado para terminação de chamadas em que cada rede constitui um mercado separado) devem ser semelhantes, levando em conta a natureza onerosa que a obrigação representa para cada licenciado dominante.</w:t>
      </w:r>
    </w:p>
    <w:p w14:paraId="5727FBD7"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Quando determinar que um operador licenciado é dominante num mercado relevante, a ARN avaliará a natureza do dano potencial que a posição de dominância pode acarretar para a concorrência e os interesses do consumidor. Ao fazer essa avaliação, a ARN considerará:</w:t>
      </w:r>
    </w:p>
    <w:p w14:paraId="33F55567" w14:textId="77777777" w:rsidR="00FE6382" w:rsidRPr="002870AE" w:rsidRDefault="00FE6382" w:rsidP="002870AE">
      <w:pPr>
        <w:pStyle w:val="PargrafodaLista"/>
        <w:numPr>
          <w:ilvl w:val="0"/>
          <w:numId w:val="5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Os tipos de dano que estão razoavelmente associados à dominância nas circunstâncias do mercado relevante;</w:t>
      </w:r>
    </w:p>
    <w:p w14:paraId="65DA1247" w14:textId="77777777" w:rsidR="00FE6382" w:rsidRPr="002870AE" w:rsidRDefault="00FE6382" w:rsidP="002870AE">
      <w:pPr>
        <w:pStyle w:val="PargrafodaLista"/>
        <w:numPr>
          <w:ilvl w:val="0"/>
          <w:numId w:val="5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As obrigações ou soluções específicas que abordariam diretamente os danos que possam resultar; e</w:t>
      </w:r>
    </w:p>
    <w:p w14:paraId="79FC2108" w14:textId="77777777" w:rsidR="00FE6382" w:rsidRPr="002870AE" w:rsidRDefault="00FE6382" w:rsidP="002870AE">
      <w:pPr>
        <w:pStyle w:val="PargrafodaLista"/>
        <w:numPr>
          <w:ilvl w:val="0"/>
          <w:numId w:val="56"/>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De que forma podem as obrigações ser melhor configuradas para serem o menos invasivas possíveis, enquanto continuam sendo eficazes na redução do risco de danos a um nível aceitável.</w:t>
      </w:r>
    </w:p>
    <w:p w14:paraId="588C17AE"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Quando um remédio pode ser moldado ou for possível variar a sua intensidade, a ARN considerará a melhor forma de escolher a obrigação, considerando:</w:t>
      </w:r>
    </w:p>
    <w:p w14:paraId="11755E15" w14:textId="77777777" w:rsidR="00FE6382" w:rsidRPr="002870AE" w:rsidRDefault="00FE6382" w:rsidP="002870AE">
      <w:pPr>
        <w:pStyle w:val="PargrafodaLista"/>
        <w:numPr>
          <w:ilvl w:val="0"/>
          <w:numId w:val="5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dano potencial resultante da dominância identificada na análise;</w:t>
      </w:r>
    </w:p>
    <w:p w14:paraId="5EA7065F" w14:textId="77777777" w:rsidR="00FE6382" w:rsidRPr="002870AE" w:rsidRDefault="00FE6382" w:rsidP="002870AE">
      <w:pPr>
        <w:pStyle w:val="PargrafodaLista"/>
        <w:numPr>
          <w:ilvl w:val="0"/>
          <w:numId w:val="5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probabilidade de a dominância ser reduzida ou neutralizada pelo desenvolvimento iminente do mercado; e</w:t>
      </w:r>
    </w:p>
    <w:p w14:paraId="48AC53F0" w14:textId="77777777" w:rsidR="00FE6382" w:rsidRPr="002870AE" w:rsidRDefault="00FE6382" w:rsidP="002870AE">
      <w:pPr>
        <w:pStyle w:val="PargrafodaLista"/>
        <w:numPr>
          <w:ilvl w:val="0"/>
          <w:numId w:val="57"/>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O risco da obrigação, inadvertidamente, reduzir a concorrência genuína no mercado relevante.</w:t>
      </w:r>
    </w:p>
    <w:p w14:paraId="161CE778" w14:textId="69D075D9" w:rsidR="00FE6382" w:rsidRPr="002870AE" w:rsidRDefault="0007543A"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ARN analisou sete mercados</w:t>
      </w:r>
      <w:r w:rsidR="00FE6382" w:rsidRPr="002870AE">
        <w:rPr>
          <w:rFonts w:ascii="Times New Roman" w:hAnsi="Times New Roman" w:cs="Times New Roman"/>
          <w:sz w:val="24"/>
          <w:szCs w:val="24"/>
          <w:lang w:val="pt-PT"/>
        </w:rPr>
        <w:t xml:space="preserve">, mas </w:t>
      </w:r>
      <w:r w:rsidRPr="002870AE">
        <w:rPr>
          <w:rFonts w:ascii="Times New Roman" w:hAnsi="Times New Roman" w:cs="Times New Roman"/>
          <w:sz w:val="24"/>
          <w:szCs w:val="24"/>
          <w:lang w:val="pt-PT"/>
        </w:rPr>
        <w:t>excluiu</w:t>
      </w:r>
      <w:r w:rsidR="00FE6382" w:rsidRPr="002870AE">
        <w:rPr>
          <w:rFonts w:ascii="Times New Roman" w:hAnsi="Times New Roman" w:cs="Times New Roman"/>
          <w:sz w:val="24"/>
          <w:szCs w:val="24"/>
          <w:lang w:val="pt-PT"/>
        </w:rPr>
        <w:t xml:space="preserve"> os Mercados Grossistas 6 e 7 (acesso a redes móveis e acesso internacional), pois a regulamentação </w:t>
      </w:r>
      <w:proofErr w:type="spellStart"/>
      <w:r w:rsidR="00FE6382" w:rsidRPr="002870AE">
        <w:rPr>
          <w:rFonts w:ascii="Times New Roman" w:hAnsi="Times New Roman" w:cs="Times New Roman"/>
          <w:i/>
          <w:iCs/>
          <w:sz w:val="24"/>
          <w:szCs w:val="24"/>
          <w:lang w:val="pt-PT"/>
        </w:rPr>
        <w:t>ex</w:t>
      </w:r>
      <w:proofErr w:type="spellEnd"/>
      <w:r w:rsidR="00FE6382" w:rsidRPr="002870AE">
        <w:rPr>
          <w:rFonts w:ascii="Times New Roman" w:hAnsi="Times New Roman" w:cs="Times New Roman"/>
          <w:i/>
          <w:iCs/>
          <w:sz w:val="24"/>
          <w:szCs w:val="24"/>
          <w:lang w:val="pt-PT"/>
        </w:rPr>
        <w:t xml:space="preserve"> ante</w:t>
      </w:r>
      <w:r w:rsidR="00FE6382" w:rsidRPr="002870AE">
        <w:rPr>
          <w:rFonts w:ascii="Times New Roman" w:hAnsi="Times New Roman" w:cs="Times New Roman"/>
          <w:sz w:val="24"/>
          <w:szCs w:val="24"/>
          <w:lang w:val="pt-PT"/>
        </w:rPr>
        <w:t xml:space="preserve"> não é apropriada nestes mercados dado que são mercados hipotéticos que ainda não se materializaram na Guiné Bissau, e os Mercados Retalhistas 1, 3 e 4, pois nenhum dos operadores de rede móvel parece possuir PMS nesses mercados. Definem-se seguidamente as obrigações recomendadas para cada um dos restantes mercados em função dos riscos de comportamento anti concorrencial.</w:t>
      </w:r>
    </w:p>
    <w:p w14:paraId="6DE8B2CB" w14:textId="77777777" w:rsidR="00FE6382" w:rsidRPr="002870AE" w:rsidRDefault="00FE6382" w:rsidP="002870AE">
      <w:pPr>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Mercado 2 (retalhista): Chamadas de voz e SMS internacional</w:t>
      </w:r>
    </w:p>
    <w:p w14:paraId="13200B8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O risco de comportamento anti concorrencial e prejuízo para o consumidor</w:t>
      </w:r>
    </w:p>
    <w:p w14:paraId="4F674EED" w14:textId="0BA59B16"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Orange tem cerca de </w:t>
      </w:r>
      <w:proofErr w:type="spellStart"/>
      <w:r w:rsidR="008F0402">
        <w:rPr>
          <w:rFonts w:ascii="Times New Roman" w:hAnsi="Times New Roman" w:cs="Times New Roman"/>
          <w:sz w:val="24"/>
          <w:szCs w:val="24"/>
          <w:lang w:val="pt-PT"/>
        </w:rPr>
        <w:t>xx</w:t>
      </w:r>
      <w:proofErr w:type="spellEnd"/>
      <w:r w:rsidRPr="002870AE">
        <w:rPr>
          <w:rFonts w:ascii="Times New Roman" w:hAnsi="Times New Roman" w:cs="Times New Roman"/>
          <w:sz w:val="24"/>
          <w:szCs w:val="24"/>
          <w:lang w:val="pt-PT"/>
        </w:rPr>
        <w:t>%</w:t>
      </w:r>
      <w:r w:rsidR="00C05612" w:rsidRPr="002870AE">
        <w:rPr>
          <w:rStyle w:val="Refdenotaderodap"/>
          <w:rFonts w:ascii="Times New Roman" w:hAnsi="Times New Roman"/>
          <w:sz w:val="24"/>
          <w:szCs w:val="24"/>
          <w:lang w:val="pt-PT"/>
        </w:rPr>
        <w:footnoteReference w:id="38"/>
      </w:r>
      <w:r w:rsidRPr="002870AE">
        <w:rPr>
          <w:rFonts w:ascii="Times New Roman" w:hAnsi="Times New Roman" w:cs="Times New Roman"/>
          <w:sz w:val="24"/>
          <w:szCs w:val="24"/>
          <w:lang w:val="pt-PT"/>
        </w:rPr>
        <w:t xml:space="preserve"> de quota de mercado do tráfego e </w:t>
      </w:r>
      <w:r w:rsidR="00CD7E7A">
        <w:rPr>
          <w:rFonts w:ascii="Times New Roman" w:hAnsi="Times New Roman" w:cs="Times New Roman"/>
          <w:sz w:val="24"/>
          <w:szCs w:val="24"/>
          <w:lang w:val="pt-PT"/>
        </w:rPr>
        <w:t>quase o</w:t>
      </w:r>
      <w:r w:rsidRPr="002870AE">
        <w:rPr>
          <w:rFonts w:ascii="Times New Roman" w:hAnsi="Times New Roman" w:cs="Times New Roman"/>
          <w:sz w:val="24"/>
          <w:szCs w:val="24"/>
          <w:lang w:val="pt-PT"/>
        </w:rPr>
        <w:t xml:space="preserve"> mesmo valor de quota de mercado por receita no segmento internacional. Não é claro o motivo pelo qual a Orange detém uma quota assinalável deste mercado, mas podem existir razões que expliquem a discrepância verificada: base de assinantes com maior poder de compra, melhor cobertura da rede ou melhor qualidade de serviço. A comparação de preços entre as ofertas da MTN e Orange é difícil na medida em que os pacotes apresentam características distintas, mas os preços da Orange parecem ser mais elevados. No entanto em 2019 a quota de mercado em termos de tráfego e receita é semelhante. Com base nisso, pode-se determinar que a Orange possui PSM neste mercado apesar da posição de mercado comparável de sua rival MTN em termos de outros indicadores, como custos irrecuperáveis, economias de escala e âmbito, integração vertical e barreiras à expansão do mercado.</w:t>
      </w:r>
    </w:p>
    <w:p w14:paraId="494BB0DD"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Tendo em conta todos os fatores que causam o seu domínio e o potencial de abuso de uma posição de PSM nas circunstâncias do mercado, a Orange poderia obter vantagem decorrente da sua posição dominante no mercado 2 da seguinte maneira:</w:t>
      </w:r>
    </w:p>
    <w:p w14:paraId="77CCF52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Preço excessivo: a posição dominante da Orange no mercado de serviços móveis de retalho de chamadas de voz e SMS internacional da Guiné Bissau oferece incentivo e capacidade de definir preços significativamente acima dos custos, sem o risco de perda de um número substancial de clientes.</w:t>
      </w:r>
    </w:p>
    <w:p w14:paraId="0CE60ECC"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(b) Opções para obrigações e avaliação de adequação</w:t>
      </w:r>
    </w:p>
    <w:p w14:paraId="70D266F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tabela abaixo identifica e avalia as possíveis obrigações capazes de lidar com os problemas de concorrência expostos acima:</w:t>
      </w:r>
    </w:p>
    <w:tbl>
      <w:tblPr>
        <w:tblStyle w:val="TabelacomGrelha"/>
        <w:tblW w:w="0" w:type="auto"/>
        <w:tblLook w:val="04A0" w:firstRow="1" w:lastRow="0" w:firstColumn="1" w:lastColumn="0" w:noHBand="0" w:noVBand="1"/>
      </w:tblPr>
      <w:tblGrid>
        <w:gridCol w:w="1980"/>
        <w:gridCol w:w="2551"/>
        <w:gridCol w:w="4678"/>
      </w:tblGrid>
      <w:tr w:rsidR="00FE6382" w:rsidRPr="002870AE" w14:paraId="78B7222D" w14:textId="77777777" w:rsidTr="008F0402">
        <w:tc>
          <w:tcPr>
            <w:tcW w:w="1980" w:type="dxa"/>
            <w:vAlign w:val="center"/>
          </w:tcPr>
          <w:p w14:paraId="52C54781" w14:textId="77777777" w:rsidR="00FE6382" w:rsidRPr="002870AE" w:rsidRDefault="00FE6382" w:rsidP="008F0402">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2551" w:type="dxa"/>
            <w:vAlign w:val="center"/>
          </w:tcPr>
          <w:p w14:paraId="7555132D" w14:textId="77777777" w:rsidR="00FE6382" w:rsidRPr="002870AE" w:rsidRDefault="00FE6382" w:rsidP="008F0402">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Potencial obrigação</w:t>
            </w:r>
          </w:p>
        </w:tc>
        <w:tc>
          <w:tcPr>
            <w:tcW w:w="4678" w:type="dxa"/>
            <w:vAlign w:val="center"/>
          </w:tcPr>
          <w:p w14:paraId="5BCD9417" w14:textId="77777777" w:rsidR="00FE6382" w:rsidRPr="002870AE" w:rsidRDefault="00FE6382" w:rsidP="008F0402">
            <w:pPr>
              <w:pStyle w:val="Default"/>
              <w:spacing w:before="120" w:after="120"/>
              <w:jc w:val="center"/>
              <w:rPr>
                <w:rFonts w:ascii="Times New Roman" w:hAnsi="Times New Roman" w:cs="Times New Roman"/>
                <w:b/>
                <w:lang w:val="pt-PT"/>
              </w:rPr>
            </w:pPr>
            <w:r w:rsidRPr="002870AE">
              <w:rPr>
                <w:rFonts w:ascii="Times New Roman" w:hAnsi="Times New Roman" w:cs="Times New Roman"/>
                <w:b/>
                <w:lang w:val="pt-PT"/>
              </w:rPr>
              <w:t>Avaliação</w:t>
            </w:r>
          </w:p>
        </w:tc>
      </w:tr>
      <w:tr w:rsidR="00FE6382" w:rsidRPr="000A51F8" w14:paraId="658EF0CE" w14:textId="77777777" w:rsidTr="008F0402">
        <w:tc>
          <w:tcPr>
            <w:tcW w:w="1980" w:type="dxa"/>
            <w:vAlign w:val="center"/>
          </w:tcPr>
          <w:p w14:paraId="24A700CD"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 xml:space="preserve">Preços excessivos </w:t>
            </w:r>
          </w:p>
        </w:tc>
        <w:tc>
          <w:tcPr>
            <w:tcW w:w="2551" w:type="dxa"/>
            <w:vAlign w:val="center"/>
          </w:tcPr>
          <w:p w14:paraId="35D6740B"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 xml:space="preserve">Notificação tarifária e obrigações de aprovação e transparência </w:t>
            </w:r>
          </w:p>
          <w:p w14:paraId="7F2E8CFA"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Controlo de preços</w:t>
            </w:r>
          </w:p>
        </w:tc>
        <w:tc>
          <w:tcPr>
            <w:tcW w:w="4678" w:type="dxa"/>
            <w:vAlign w:val="center"/>
          </w:tcPr>
          <w:p w14:paraId="37E361DC" w14:textId="77777777" w:rsidR="00FE6382" w:rsidRPr="002870AE" w:rsidRDefault="00FE6382" w:rsidP="008F0402">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 xml:space="preserve">a) Notificação e aprovação de preços: um requisito de que o operador dominante submeta a aprovação por parte da ARN quaisquer novos preços ou alterações de preços existentes relacionadas com serviços, </w:t>
            </w:r>
            <w:r w:rsidRPr="002870AE">
              <w:rPr>
                <w:rFonts w:ascii="Times New Roman" w:hAnsi="Times New Roman" w:cs="Times New Roman"/>
                <w:lang w:val="pt-PT"/>
              </w:rPr>
              <w:lastRenderedPageBreak/>
              <w:t>incluindo pacotes, no mercado em que é dominante e antes da sua implementação.</w:t>
            </w:r>
          </w:p>
          <w:p w14:paraId="292E0552" w14:textId="77777777" w:rsidR="00FE6382" w:rsidRPr="002870AE" w:rsidRDefault="00FE6382" w:rsidP="008F0402">
            <w:pPr>
              <w:pStyle w:val="Default"/>
              <w:spacing w:before="120" w:after="120" w:line="276" w:lineRule="auto"/>
              <w:rPr>
                <w:rFonts w:ascii="Times New Roman" w:hAnsi="Times New Roman" w:cs="Times New Roman"/>
                <w:lang w:val="pt-PT"/>
              </w:rPr>
            </w:pPr>
            <w:r w:rsidRPr="002870AE">
              <w:rPr>
                <w:rFonts w:ascii="Times New Roman" w:hAnsi="Times New Roman" w:cs="Times New Roman"/>
                <w:lang w:val="pt-PT"/>
              </w:rPr>
              <w:t>b) Orientação para os custos.</w:t>
            </w:r>
          </w:p>
        </w:tc>
      </w:tr>
    </w:tbl>
    <w:p w14:paraId="37B8FCC2" w14:textId="77777777" w:rsidR="00FE6382" w:rsidRPr="002870AE" w:rsidRDefault="00FE6382" w:rsidP="002870AE">
      <w:pPr>
        <w:jc w:val="both"/>
        <w:rPr>
          <w:rFonts w:ascii="Times New Roman" w:hAnsi="Times New Roman" w:cs="Times New Roman"/>
          <w:sz w:val="24"/>
          <w:szCs w:val="24"/>
          <w:lang w:val="pt-PT"/>
        </w:rPr>
      </w:pPr>
    </w:p>
    <w:p w14:paraId="4EC563DC" w14:textId="77777777" w:rsidR="00FE6382" w:rsidRPr="002870AE" w:rsidRDefault="00FE6382" w:rsidP="002870AE">
      <w:pPr>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Mercado 5 (grossista): Terminação de chamadas de voz em redes móveis individuais</w:t>
      </w:r>
    </w:p>
    <w:p w14:paraId="0594D068" w14:textId="61524335" w:rsidR="00FE6382" w:rsidRPr="008F0402" w:rsidRDefault="00FE6382" w:rsidP="008F0402">
      <w:pPr>
        <w:pStyle w:val="PargrafodaLista"/>
        <w:numPr>
          <w:ilvl w:val="0"/>
          <w:numId w:val="63"/>
        </w:numPr>
        <w:jc w:val="both"/>
        <w:rPr>
          <w:rFonts w:ascii="Times New Roman" w:hAnsi="Times New Roman" w:cs="Times New Roman"/>
          <w:sz w:val="24"/>
          <w:szCs w:val="24"/>
          <w:lang w:val="pt-PT"/>
        </w:rPr>
      </w:pPr>
      <w:r w:rsidRPr="008F0402">
        <w:rPr>
          <w:rFonts w:ascii="Times New Roman" w:hAnsi="Times New Roman" w:cs="Times New Roman"/>
          <w:sz w:val="24"/>
          <w:szCs w:val="24"/>
          <w:lang w:val="pt-PT"/>
        </w:rPr>
        <w:t>O risco de comportamento anti concorrencial e prejuízo para o consumidor</w:t>
      </w:r>
    </w:p>
    <w:p w14:paraId="390BE552"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O poder de mercado detido pelos operadores de rede móvel na terminação das chamadas decorre do facto de que qualquer operador que queira terminar chamadas num utilizador final de uma outra rede móvel ter obrigatoriamente que utilizar os serviços daquele operador de rede móvel. Adicionalmente, os consumidores apresentam uma reduzida sensibilidade face ao preço das chamadas que lhe são dirigidas. Esta situação decorre da aplicação do princípio do chamador-pagador</w:t>
      </w:r>
      <w:r w:rsidRPr="002870AE">
        <w:rPr>
          <w:rFonts w:ascii="Times New Roman" w:hAnsi="Times New Roman" w:cs="Times New Roman"/>
          <w:color w:val="000000"/>
          <w:position w:val="10"/>
          <w:sz w:val="24"/>
          <w:szCs w:val="24"/>
          <w:vertAlign w:val="superscript"/>
          <w:lang w:val="pt-PT"/>
        </w:rPr>
        <w:t xml:space="preserve"> </w:t>
      </w:r>
      <w:r w:rsidRPr="002870AE">
        <w:rPr>
          <w:rFonts w:ascii="Times New Roman" w:hAnsi="Times New Roman" w:cs="Times New Roman"/>
          <w:color w:val="000000"/>
          <w:sz w:val="24"/>
          <w:szCs w:val="24"/>
          <w:lang w:val="pt-PT"/>
        </w:rPr>
        <w:t xml:space="preserve">– que implica uma dissociação entre a pessoa que paga as chamadas (o chamador) e a pessoa que efetua a escolha da rede de terminação - contribuindo para reforçar a ausência de incentivos para a redução dos preços de terminação. </w:t>
      </w:r>
    </w:p>
    <w:p w14:paraId="186955D4"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O poder de mercado que os operadores de rede móvel têm na fixação dos preços de terminação de chamadas vocais nas suas redes só poderia ser atenuado se existissem meios alternativos, suficientemente generalizados, para terminar as chamadas vocais e se existisse um importante contrapoder negocial dos compradores. </w:t>
      </w:r>
    </w:p>
    <w:p w14:paraId="1C0E7418"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É também geralmente aceite que por si só a imposição de obrigações de dar resposta aos pedidos razoáveis de acesso, de transparência e de não discriminação, se bem que fundamental, não é suficiente para conduzir a preços eficientes nos mercados grossistas da terminação de chamadas vocais em redes móveis individuais. </w:t>
      </w:r>
    </w:p>
    <w:p w14:paraId="71887A88"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Face ao problema de concorrência identificado no mercado movel da Guiné Bissau, só a fixação de preços de terminação</w:t>
      </w:r>
      <w:r w:rsidRPr="002870AE">
        <w:rPr>
          <w:rStyle w:val="Refdenotaderodap"/>
          <w:rFonts w:ascii="Times New Roman" w:hAnsi="Times New Roman"/>
          <w:color w:val="000000"/>
          <w:sz w:val="24"/>
          <w:szCs w:val="24"/>
          <w:lang w:val="pt-PT"/>
        </w:rPr>
        <w:footnoteReference w:id="39"/>
      </w:r>
      <w:r w:rsidRPr="002870AE">
        <w:rPr>
          <w:rFonts w:ascii="Times New Roman" w:hAnsi="Times New Roman" w:cs="Times New Roman"/>
          <w:color w:val="000000"/>
          <w:sz w:val="24"/>
          <w:szCs w:val="24"/>
          <w:lang w:val="pt-PT"/>
        </w:rPr>
        <w:t xml:space="preserve"> orientados para os custos, através duma aproximação gradual dos preços ao nível eficiente, poderá contribuir para a promoção e salvaguarda da concorrência e uma adequada defesa dos interesses dos consumidores finais das redes móveis. </w:t>
      </w:r>
    </w:p>
    <w:p w14:paraId="1BD1ADFE"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Para além da falha de mercado que resulta da prática de preços de terminação excessivos, existe uma outra potencial falha de mercado que importa ter em conta no contexto dos mercados de comunicações móveis. </w:t>
      </w:r>
    </w:p>
    <w:p w14:paraId="560CA30B"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É uma situação comum em muitos países os operadores móveis de maior dimensão cobrarem preços de terminação elevados (acima dos custos) aos outros operadores, enquanto que implicitamente praticam preços transferência interna (terminação) muito baixos. Desta situação resultam preços de retalho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elevados e preços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baixos que colocam os operadores com uma menor base de clientes em desvantagem devido às “externalidades de rede”. A desvantagem é tanto maior quanto maior for o preço de terminação, e, portanto, quanto maior a diferença entre o preço duma chamada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e o de uma chamada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-net</w:t>
      </w:r>
      <w:r w:rsidRPr="002870AE">
        <w:rPr>
          <w:rFonts w:ascii="Times New Roman" w:hAnsi="Times New Roman" w:cs="Times New Roman"/>
          <w:color w:val="000000"/>
          <w:sz w:val="24"/>
          <w:szCs w:val="24"/>
          <w:lang w:val="pt-PT"/>
        </w:rPr>
        <w:t xml:space="preserve">. Em muitas jurisdições a autoridade reguladora interveio no sentido de mitigar esta falha de mercado, em que é comum os operadores discriminarem entre preços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lastRenderedPageBreak/>
        <w:t xml:space="preserve">e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no retalho. Muitas das vezes existe a perceção que os preços médios de retalho das chamadas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são, em média, inferiores ao preço de terminação.</w:t>
      </w:r>
    </w:p>
    <w:p w14:paraId="3DD7B88F"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As “externalidades de rede” existentes nos serviços móveis devem ser consideradas neste contexto. Quanto maior for o número de clientes pertencentes a uma dada rede móvel, maior se torna o valor de pertencer a essa mesma rede, dado que se poderá contactar um maior número de pessoas. Se os tarifários forem uniformes – sem diferenciação entre chamadas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e chamadas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 a externalidade de rede aplica-se à totalidade das redes móveis existentes, ou seja quanto maior o número de clientes de todas as redes móveis, maior o valor de se possuir um telefone móvel, independentemente de qual o operador a que se adere. </w:t>
      </w:r>
    </w:p>
    <w:p w14:paraId="17D01E71" w14:textId="77777777" w:rsidR="00FE6382" w:rsidRPr="002870AE" w:rsidRDefault="00FE6382" w:rsidP="002870AE">
      <w:pPr>
        <w:autoSpaceDE w:val="0"/>
        <w:autoSpaceDN w:val="0"/>
        <w:adjustRightInd w:val="0"/>
        <w:spacing w:line="240" w:lineRule="auto"/>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Esta externalidade de rede torna-se benéfica para um operador, através da prática de preços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diferentes dos preços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-net</w:t>
      </w:r>
      <w:r w:rsidRPr="002870AE">
        <w:rPr>
          <w:rFonts w:ascii="Times New Roman" w:hAnsi="Times New Roman" w:cs="Times New Roman"/>
          <w:color w:val="000000"/>
          <w:sz w:val="24"/>
          <w:szCs w:val="24"/>
          <w:lang w:val="pt-PT"/>
        </w:rPr>
        <w:t xml:space="preserve">. Ao diferenciar desta forma os preços de retalho, um operador aumenta o valor económico relativo que um consumidor retira de pertencer à rede específica desse operador. Esta prática, associada a preços de terminação elevados, torna-se assim um instrumento que pode ser utilizado pelos operadores de maior dimensão para afastar os operadores de menor dimensão. </w:t>
      </w:r>
    </w:p>
    <w:p w14:paraId="262C9C62"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De salientar também que esta questão se torna ainda mais importante em mercados com níveis de penetração elevados, ou próximo da saturação. Numa situação em que ainda existe um grande mercado potencial (ou seja, em que a taxa de penetração é reduzida), os operadores mais pequenos também beneficiam. A estratégia de preços diferenciados servirá para conquistar grupos de novos clientes para o serviço móvel, que adiram conjuntamente para beneficiar de preços mais baixos nas comunicações entre eles. </w:t>
      </w:r>
    </w:p>
    <w:p w14:paraId="18783272"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Por outro lado, numa situação de saturação do mercado, com uma taxa de penetração elevada se existir um desequilíbrio significativo de quotas de mercado (em termos de assinantes) entre os operadores, as externalidades de rede beneficiam extraordinariamente o operador de maior dimensão, dado que existem poucos clientes que poderão aderir pela primeira vez ao serviço móvel.</w:t>
      </w:r>
    </w:p>
    <w:p w14:paraId="563406E5"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Assim para concorrer com o operador de maior dimensão, o operador de menor dimensão é conduzido a praticar preços de retalho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que se aproximem dos preços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do seu concorrente</w:t>
      </w:r>
      <w:r w:rsidRPr="002870AE">
        <w:rPr>
          <w:rStyle w:val="Refdenotaderodap"/>
          <w:rFonts w:ascii="Times New Roman" w:hAnsi="Times New Roman"/>
          <w:color w:val="000000"/>
          <w:sz w:val="24"/>
          <w:szCs w:val="24"/>
          <w:lang w:val="pt-PT"/>
        </w:rPr>
        <w:footnoteReference w:id="40"/>
      </w:r>
      <w:r w:rsidRPr="002870AE">
        <w:rPr>
          <w:rFonts w:ascii="Times New Roman" w:hAnsi="Times New Roman" w:cs="Times New Roman"/>
          <w:color w:val="000000"/>
          <w:sz w:val="24"/>
          <w:szCs w:val="24"/>
          <w:lang w:val="pt-PT"/>
        </w:rPr>
        <w:t>.</w:t>
      </w:r>
    </w:p>
    <w:p w14:paraId="24F963F9"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No entanto a estratégia de baixar os preços de retalho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por parte do operador de menor dimensão, tem um outro efeito que é o de agravar o desequilíbrio do tráfego a favor do maior operador. Se o operador de menor dimensão tem preços de retalho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para os operadores de maior dimensão mais baixos que os preços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destes últimos para si, isso cria um incentivo para os clientes do operador de menor dimensão efetuarem mais chamadas do que as que recebem, aumentado ainda mais o desequilíbrio do tráfego a favor dos operadores de maior dimensão. </w:t>
      </w:r>
    </w:p>
    <w:p w14:paraId="0E7D06B3"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Conforme descrito anteriormente, o sector das comunicações móveis na Guiné Bissau defronta-se presentemente com uma potencial falha de mercado, com preços de terminação móvel-móvel elevados e também associada à prática de preços de retalho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e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diferenciados. Existem dois possíveis remédios para a corrigir. O primeiro consiste na imposição de uma obrigação de </w:t>
      </w:r>
      <w:r w:rsidRPr="002870AE">
        <w:rPr>
          <w:rFonts w:ascii="Times New Roman" w:hAnsi="Times New Roman" w:cs="Times New Roman"/>
          <w:color w:val="000000"/>
          <w:sz w:val="24"/>
          <w:szCs w:val="24"/>
          <w:lang w:val="pt-PT"/>
        </w:rPr>
        <w:lastRenderedPageBreak/>
        <w:t xml:space="preserve">controlo de preços. Entende-se que preços de terminação orientados para os custos deverão contribuir para resolver esta falha de mercado. </w:t>
      </w:r>
    </w:p>
    <w:p w14:paraId="6D76C030"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Outra possibilidade complementar que é comum as autoridades reguladoras considerarem consiste na imposição de um diferencial máximo entre preços de retalho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 xml:space="preserve">e </w:t>
      </w:r>
      <w:proofErr w:type="spellStart"/>
      <w:r w:rsidRPr="002870AE">
        <w:rPr>
          <w:rFonts w:ascii="Times New Roman" w:hAnsi="Times New Roman" w:cs="Times New Roman"/>
          <w:i/>
          <w:iCs/>
          <w:color w:val="000000"/>
          <w:sz w:val="24"/>
          <w:szCs w:val="24"/>
          <w:lang w:val="pt-PT"/>
        </w:rPr>
        <w:t>off</w:t>
      </w:r>
      <w:proofErr w:type="spellEnd"/>
      <w:r w:rsidRPr="002870AE">
        <w:rPr>
          <w:rFonts w:ascii="Times New Roman" w:hAnsi="Times New Roman" w:cs="Times New Roman"/>
          <w:i/>
          <w:iCs/>
          <w:color w:val="000000"/>
          <w:sz w:val="24"/>
          <w:szCs w:val="24"/>
          <w:lang w:val="pt-PT"/>
        </w:rPr>
        <w:t>-net</w:t>
      </w:r>
      <w:r w:rsidRPr="002870AE">
        <w:rPr>
          <w:rFonts w:ascii="Times New Roman" w:hAnsi="Times New Roman" w:cs="Times New Roman"/>
          <w:color w:val="000000"/>
          <w:sz w:val="24"/>
          <w:szCs w:val="24"/>
          <w:lang w:val="pt-PT"/>
        </w:rPr>
        <w:t xml:space="preserve">, em que o operador com PSM fica também impedido de praticar preços de retalho </w:t>
      </w:r>
      <w:proofErr w:type="spellStart"/>
      <w:r w:rsidRPr="002870AE">
        <w:rPr>
          <w:rFonts w:ascii="Times New Roman" w:hAnsi="Times New Roman" w:cs="Times New Roman"/>
          <w:i/>
          <w:iCs/>
          <w:color w:val="000000"/>
          <w:sz w:val="24"/>
          <w:szCs w:val="24"/>
          <w:lang w:val="pt-PT"/>
        </w:rPr>
        <w:t>on</w:t>
      </w:r>
      <w:proofErr w:type="spellEnd"/>
      <w:r w:rsidRPr="002870AE">
        <w:rPr>
          <w:rFonts w:ascii="Times New Roman" w:hAnsi="Times New Roman" w:cs="Times New Roman"/>
          <w:i/>
          <w:iCs/>
          <w:color w:val="000000"/>
          <w:sz w:val="24"/>
          <w:szCs w:val="24"/>
          <w:lang w:val="pt-PT"/>
        </w:rPr>
        <w:t xml:space="preserve">-net </w:t>
      </w:r>
      <w:r w:rsidRPr="002870AE">
        <w:rPr>
          <w:rFonts w:ascii="Times New Roman" w:hAnsi="Times New Roman" w:cs="Times New Roman"/>
          <w:color w:val="000000"/>
          <w:sz w:val="24"/>
          <w:szCs w:val="24"/>
          <w:lang w:val="pt-PT"/>
        </w:rPr>
        <w:t>mais baixos do que os preços de terminação, atendendo a que estes últimos devem ser orientados para os custos. No entanto dado que nenhum dos operadores possui PSM no mercado de retalho a autoridade reguladora não tem base legal para impor um controlo de preços.</w:t>
      </w:r>
    </w:p>
    <w:p w14:paraId="7FB7F65B" w14:textId="77777777" w:rsidR="00FE6382" w:rsidRPr="002870AE" w:rsidRDefault="00FE6382" w:rsidP="002870AE">
      <w:pPr>
        <w:autoSpaceDE w:val="0"/>
        <w:autoSpaceDN w:val="0"/>
        <w:adjustRightInd w:val="0"/>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Nos casos de elevada assimetria de dimensão entre operadores foi comum na UE, no passado recente, a introdução de preços grossistas de terminação assimétricos</w:t>
      </w:r>
      <w:r w:rsidRPr="002870AE">
        <w:rPr>
          <w:rStyle w:val="Refdenotaderodap"/>
          <w:rFonts w:ascii="Times New Roman" w:hAnsi="Times New Roman"/>
          <w:color w:val="000000"/>
          <w:sz w:val="24"/>
          <w:szCs w:val="24"/>
          <w:lang w:val="pt-PT"/>
        </w:rPr>
        <w:footnoteReference w:id="41"/>
      </w:r>
      <w:r w:rsidRPr="002870AE">
        <w:rPr>
          <w:rFonts w:ascii="Times New Roman" w:hAnsi="Times New Roman" w:cs="Times New Roman"/>
          <w:color w:val="000000"/>
          <w:sz w:val="24"/>
          <w:szCs w:val="24"/>
          <w:lang w:val="pt-PT"/>
        </w:rPr>
        <w:t xml:space="preserve">. No entanto a introdução de uma assimetria nas taxas de terminação pode não contribuir para a resolução do problema em causa, antes poderá agravá-lo. No caso da Guiné Bissau esta situação só seria relevante por exemplo no caso da entrada de um terceiro operador. </w:t>
      </w:r>
    </w:p>
    <w:p w14:paraId="4F730A40"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Recorde-se que em 2005, o regulador português, na altura o ICP (agora ANACOM) ponderou várias soluções para resolver este tipo de falha de mercado. De entre as várias alternativas, optou por apenas implementar uma redução substancial do preço de terminação móvel-móvel, na expectativa que esta medida fosse suficiente para resolver ou atenuar a falha de mercado identificada. </w:t>
      </w:r>
    </w:p>
    <w:p w14:paraId="0B5D2992" w14:textId="77777777" w:rsidR="00FE6382" w:rsidRPr="002870AE" w:rsidRDefault="00FE6382" w:rsidP="002870AE">
      <w:pPr>
        <w:jc w:val="both"/>
        <w:rPr>
          <w:rFonts w:ascii="Times New Roman" w:hAnsi="Times New Roman" w:cs="Times New Roman"/>
          <w:color w:val="000000"/>
          <w:sz w:val="24"/>
          <w:szCs w:val="24"/>
          <w:lang w:val="pt-PT"/>
        </w:rPr>
      </w:pPr>
      <w:r w:rsidRPr="002870AE">
        <w:rPr>
          <w:rFonts w:ascii="Times New Roman" w:hAnsi="Times New Roman" w:cs="Times New Roman"/>
          <w:color w:val="000000"/>
          <w:sz w:val="24"/>
          <w:szCs w:val="24"/>
          <w:lang w:val="pt-PT"/>
        </w:rPr>
        <w:t xml:space="preserve">No entanto, passados mais de três anos sobre essa decisão, verificou que tal não aconteceu. Mantendo-se por resolver o mesmo problema concorrencial já identificado em 2005, o ICP-ANACOM interveio no sentido de permitir à Optimus, na altura o operador de menor dimensão e que mais tarde entrara no mercado, uma situação de concorrência em igualdade de circunstâncias com os seus concorrentes (Vodafone e TMN) na aquisição e manutenção de clientes. Assim sendo aplicou por um período de tempo limitado preços de terminação diferenciados entre a Optimus e os dois maiores operadores. Acrescente-se que o carácter necessariamente transitório da assimetria procurou minimizar o risco de se induzir ineficiências nesse operador. </w:t>
      </w:r>
    </w:p>
    <w:p w14:paraId="1010843C"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Cada fornecedor de serviços que opera uma rede móvel possui 100% do mercado de terminação de chamadas na sua própria rede, independentemente da sua participação em outros mercados, inclusive no retalho. A única maneira de aceder a um cliente de um serviço diretamente conectado à rede da operadora é através da rede da operadora. A Orange e a MTN são dominantes no mercado de terminação de chamadas de voz nas suas respetivas redes móveis individuais. Descrevem-se seguidamente os tipos de problemas de concorrência que podem surgir neste mercado:</w:t>
      </w:r>
    </w:p>
    <w:p w14:paraId="64AD9C21" w14:textId="3C8E1B18" w:rsidR="00FE6382" w:rsidRPr="008F0402" w:rsidRDefault="00FE6382" w:rsidP="008F0402">
      <w:pPr>
        <w:pStyle w:val="PargrafodaLista"/>
        <w:numPr>
          <w:ilvl w:val="0"/>
          <w:numId w:val="61"/>
        </w:numPr>
        <w:jc w:val="both"/>
        <w:rPr>
          <w:rFonts w:ascii="Times New Roman" w:hAnsi="Times New Roman" w:cs="Times New Roman"/>
          <w:sz w:val="24"/>
          <w:szCs w:val="24"/>
          <w:lang w:val="pt-PT"/>
        </w:rPr>
      </w:pPr>
      <w:r w:rsidRPr="008F0402">
        <w:rPr>
          <w:rFonts w:ascii="Times New Roman" w:hAnsi="Times New Roman" w:cs="Times New Roman"/>
          <w:sz w:val="24"/>
          <w:szCs w:val="24"/>
          <w:lang w:val="pt-PT"/>
        </w:rPr>
        <w:t>Recusa de fornecimento: quando um operador verticalmente integrado tem PSM a um nível na cadeia de produção ou distribuição (por exemplo, o mercado de terminação móvel) pode potencialmente transferir esse poder de mercado para mercados a jusante (e potencialmente competitivos) onde também está ativo ou em mercados relacionados e se envolver em conduta excludente ou outra que tenha como objetivo reduzir ou distorcer a concorrência nesses mercados. Isso significaria que um prestador de serviços móveis verticalmente integrado que tenha PSM no mercado de terminação pode ter o incentivo para usar esse poder de mercado para afetar as condições competitivas nos mercados de retalho relacionados, onde os seus concorrentes necessitam desse serviço grossista para que os seus clientes consigam aceder aos clientes de outros operadores de serviços móveis ou fixos. Isso pode resultar em distorção ou redução da concorrência nesses mercados de retalho, resultando em danos aos consumidores, potencialmente na forma de preços mais altos, menor produção / venda, qualidade reduzida ou menor escolha para o consumidor. Um exemplo de conduta excludente pode incluir a recusa de fornecer acesso à terminação de chamada de voz móvel. Uma recusa em negociar / negar acesso à terminação de chamada de voz móvel pode se manifestar como uma negação disfarçada e não necessariamente como uma recusa total em fornecer. Isso pode incluir táticas de atraso, como negociações prolongadas com relação ao fornecimento de acesso à terminação de chamada de voz móvel ou instalações associadas, oferecendo termos e condições pouco razoáveis associados a esse tipo de acesso.</w:t>
      </w:r>
    </w:p>
    <w:p w14:paraId="734B8FE0" w14:textId="453FD2EE" w:rsidR="00FE6382" w:rsidRPr="002870AE" w:rsidRDefault="00FE6382" w:rsidP="008F0402">
      <w:pPr>
        <w:pStyle w:val="PargrafodaLista"/>
        <w:numPr>
          <w:ilvl w:val="0"/>
          <w:numId w:val="6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Discriminação indevida: na ausência de regulação, outros possíveis problemas de concorrência podem surgir com relação ao uso discriminatório ou retenção de informações e discriminação de parâmetros de qualidade e preço. Nesse sentido, para facilitar a interconexão com o provedor de serviços móveis dominante e o acesso aos serviços de terminação, os compradores também devem fornecer informações sobre questões como sua própria configuração de rede e / ou padrões de tráfego de chamadas. Nessas situações, o provedor de serviços dominante de serviços de terminação pode ter o poder de usar essas informações sobre as redes dos concorrentes a jusante e / ou padrões de tráfego no design de seus próprios serviços de retalho. Os fornecedores de serviços móveis dominantes também podem discriminar o nível de qualidade do tráfego de um concorrente que termina em sua rede em relação ao tratamento de seu próprio tráfego na rede. Os prestadores dominantes também podem discriminar por razões de preço, pelo que, na falta de justificativas objetivas, podem ser cobrados preços de terminação diferentes a empresas que operam em circunstâncias equivalentes. Este poderia ser o caso, em particular, dos preços de terminação cobrados a novos concorrentes de menor dimensão, tanto por fornecedores de serviços fixos quanto de serviços móveis.</w:t>
      </w:r>
    </w:p>
    <w:p w14:paraId="34DB882D" w14:textId="21E11014" w:rsidR="00FE6382" w:rsidRPr="002870AE" w:rsidRDefault="00FE6382" w:rsidP="008F0402">
      <w:pPr>
        <w:pStyle w:val="PargrafodaLista"/>
        <w:numPr>
          <w:ilvl w:val="0"/>
          <w:numId w:val="6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Preços excessivos: a teoria econômica sugere que, quando uma empresa possui poder de mercado, está em posição de aumentar os preços acima e / ou reduzir a produção abaixo dos níveis competitivos, permitindo assim obter lucros acima do normal. Esses lucros mais altos </w:t>
      </w:r>
      <w:r w:rsidRPr="002870AE">
        <w:rPr>
          <w:rFonts w:ascii="Times New Roman" w:hAnsi="Times New Roman" w:cs="Times New Roman"/>
          <w:sz w:val="24"/>
          <w:szCs w:val="24"/>
          <w:lang w:val="pt-PT"/>
        </w:rPr>
        <w:lastRenderedPageBreak/>
        <w:t xml:space="preserve">efetivamente criam uma transferência de riqueza do consumidor para a empresa com poder de mercado. Os mercados de terminação de chamada de voz móvel são caracterizados por 100% de quota de mercado, ausência de concorrência, barreiras altas e não transitórias à entrada associadas ao controle da infraestrutura que não é facilmente replicável e nenhuma possibilidade de concorrência potencial. Portanto, não há pressão suficiente para impedir que uma operadora de telefonia móvel se possa comportar de </w:t>
      </w:r>
      <w:proofErr w:type="spellStart"/>
      <w:r w:rsidRPr="002870AE">
        <w:rPr>
          <w:rFonts w:ascii="Times New Roman" w:hAnsi="Times New Roman" w:cs="Times New Roman"/>
          <w:sz w:val="24"/>
          <w:szCs w:val="24"/>
          <w:lang w:val="pt-PT"/>
        </w:rPr>
        <w:t>de</w:t>
      </w:r>
      <w:proofErr w:type="spellEnd"/>
      <w:r w:rsidRPr="002870AE">
        <w:rPr>
          <w:rFonts w:ascii="Times New Roman" w:hAnsi="Times New Roman" w:cs="Times New Roman"/>
          <w:sz w:val="24"/>
          <w:szCs w:val="24"/>
          <w:lang w:val="pt-PT"/>
        </w:rPr>
        <w:t xml:space="preserve"> forma independente dos seus clientes ou concorrentes, nomeadamente na definição dos preços de terminação. Tanto a Orange quanto a MTN teriam, se quisessem, a capacidade e os incentivos para se envolver em práticas de exploração, como sejam os preços excessivos. Na ausência de regulação, cada uma das operadoras teria a capacidade de cobrar preços excessivos pelos serviços de terminação e, portanto, aumentaria os custos de entrada para outros provedores de serviços fixos e móveis (e também aumentaria os custos entre si dependendo o saldo do balanceamento de tráfego entre os dois operadores) e poderia resultar em aumento de preços para os consumidores por fazerem chamadas para outra redes e potencialmente restringir prestadores de serviços fixos nas vendas de chamadas para assinantes da rede móvel final (chamadas de voz de redes fixas para móveis). Esse preço excessivo, portanto, não apenas “exploraria” os consumidores que telefonavam para os números móveis, mas também poderia prejudicar ou distorcer a concorrência, quando os dados de terminação com preços excessivos distorcem a concorrência nos mercados a jusante relacionados, por exemplo. nos mercados de retalho em que os fornecedores de serviços móveis ou fixos dependem do serviço grossista de terminação de chamadas. Preços excessivos também podem reduzir o incentivo à eficiência produtiva ou impedir a inovação. A ausência de pressões competitivas no mercado de terminação de chamadas de voz móvel elimina parcialmente os incentivos para minimizar custos, principalmente considerando que esses custos podem ser recuperados por meio de preços de terminação móvel excessivos. Os incentivos à inovação também podem ser reduzidos, pois podem potencialmente consumir os lucros excessivos obtidos por meio de formas menos eficientes de acesso.</w:t>
      </w:r>
    </w:p>
    <w:p w14:paraId="6503ED4E" w14:textId="70FE328F" w:rsidR="00FE6382" w:rsidRDefault="00FE6382" w:rsidP="008F0402">
      <w:pPr>
        <w:pStyle w:val="PargrafodaLista"/>
        <w:numPr>
          <w:ilvl w:val="0"/>
          <w:numId w:val="61"/>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Redução de margem: conduta excludente também pode ser evidente no uso de outros comportamentos de definição de preços. Um operador verticalmente integrado que tenha poder de mercado significativo no grosso e que ofereça inputs grossistas dos quais outros operadores dependem para conseguir competir num mercado a jusante pode estabelecer os preços dos seus serviços a montante e a jusante de modo a impedir a concorrência efetiva a jusante devido a uma inviabilidade económica criada pela insuficiência de margem entre os preços por grosso e no retalho, ou seja, pode haver uma compressão deliberada da margem. Na falta de regulação, o preço de terminação cobrado por um fornecedor de serviços móveis a outra empresa pode ser tal que a margem entre o preço de terminação móvel cobrada a essa empresa e o preço de retalho do fornecedor de serviços móveis para uma chamada na rede possa, não tendo em conta eventuais diferenças de custo, ser insuficiente para cobrir os custos de retalho do fornecedor de serviços móveis. No entanto, esse problema de concorrência pode ser atenuado na presença de uma obrigação de controle de preços apropriada, como a orientação para os custos.</w:t>
      </w:r>
    </w:p>
    <w:p w14:paraId="62E692D4" w14:textId="429BCB06" w:rsidR="008F0402" w:rsidRDefault="008F0402" w:rsidP="008F0402">
      <w:pPr>
        <w:pStyle w:val="PargrafodaLista"/>
        <w:ind w:left="720"/>
        <w:jc w:val="both"/>
        <w:rPr>
          <w:rFonts w:ascii="Times New Roman" w:hAnsi="Times New Roman" w:cs="Times New Roman"/>
          <w:sz w:val="24"/>
          <w:szCs w:val="24"/>
          <w:lang w:val="pt-PT"/>
        </w:rPr>
      </w:pPr>
    </w:p>
    <w:p w14:paraId="6DC87041" w14:textId="3D876DF7" w:rsidR="008F0402" w:rsidRDefault="008F0402" w:rsidP="008F0402">
      <w:pPr>
        <w:pStyle w:val="PargrafodaLista"/>
        <w:ind w:left="720"/>
        <w:jc w:val="both"/>
        <w:rPr>
          <w:rFonts w:ascii="Times New Roman" w:hAnsi="Times New Roman" w:cs="Times New Roman"/>
          <w:sz w:val="24"/>
          <w:szCs w:val="24"/>
          <w:lang w:val="pt-PT"/>
        </w:rPr>
      </w:pPr>
    </w:p>
    <w:p w14:paraId="0F927C6B" w14:textId="01BBC6A1" w:rsidR="008F0402" w:rsidRDefault="008F0402" w:rsidP="008F0402">
      <w:pPr>
        <w:pStyle w:val="PargrafodaLista"/>
        <w:ind w:left="720"/>
        <w:jc w:val="both"/>
        <w:rPr>
          <w:rFonts w:ascii="Times New Roman" w:hAnsi="Times New Roman" w:cs="Times New Roman"/>
          <w:sz w:val="24"/>
          <w:szCs w:val="24"/>
          <w:lang w:val="pt-PT"/>
        </w:rPr>
      </w:pPr>
    </w:p>
    <w:p w14:paraId="1BBFB2FB" w14:textId="77777777" w:rsidR="008F0402" w:rsidRPr="002870AE" w:rsidRDefault="008F0402" w:rsidP="008F0402">
      <w:pPr>
        <w:pStyle w:val="PargrafodaLista"/>
        <w:ind w:left="720"/>
        <w:jc w:val="both"/>
        <w:rPr>
          <w:rFonts w:ascii="Times New Roman" w:hAnsi="Times New Roman" w:cs="Times New Roman"/>
          <w:sz w:val="24"/>
          <w:szCs w:val="24"/>
          <w:lang w:val="pt-PT"/>
        </w:rPr>
      </w:pPr>
    </w:p>
    <w:p w14:paraId="62B3A3B3" w14:textId="24420C46" w:rsidR="00FE6382" w:rsidRDefault="00FE6382" w:rsidP="008F0402">
      <w:pPr>
        <w:pStyle w:val="PargrafodaLista"/>
        <w:numPr>
          <w:ilvl w:val="0"/>
          <w:numId w:val="63"/>
        </w:numPr>
        <w:jc w:val="both"/>
        <w:rPr>
          <w:rFonts w:ascii="Times New Roman" w:hAnsi="Times New Roman" w:cs="Times New Roman"/>
          <w:sz w:val="24"/>
          <w:szCs w:val="24"/>
          <w:lang w:val="pt-PT"/>
        </w:rPr>
      </w:pPr>
      <w:r w:rsidRPr="008F0402">
        <w:rPr>
          <w:rFonts w:ascii="Times New Roman" w:hAnsi="Times New Roman" w:cs="Times New Roman"/>
          <w:sz w:val="24"/>
          <w:szCs w:val="24"/>
          <w:lang w:val="pt-PT"/>
        </w:rPr>
        <w:lastRenderedPageBreak/>
        <w:t xml:space="preserve"> Opções para obrigações e avaliação de adequação</w:t>
      </w:r>
    </w:p>
    <w:p w14:paraId="14DD8FAE" w14:textId="77777777" w:rsidR="008F0402" w:rsidRPr="008F0402" w:rsidRDefault="008F0402" w:rsidP="008F0402">
      <w:pPr>
        <w:pStyle w:val="PargrafodaLista"/>
        <w:ind w:left="720"/>
        <w:jc w:val="both"/>
        <w:rPr>
          <w:rFonts w:ascii="Times New Roman" w:hAnsi="Times New Roman" w:cs="Times New Roman"/>
          <w:sz w:val="24"/>
          <w:szCs w:val="24"/>
          <w:lang w:val="pt-PT"/>
        </w:rPr>
      </w:pPr>
    </w:p>
    <w:p w14:paraId="209BE61E"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tabela abaixo identifica e avalia as possíveis obrigações capazes de lidar com os problemas de concorrência expostos acima:</w:t>
      </w:r>
    </w:p>
    <w:tbl>
      <w:tblPr>
        <w:tblStyle w:val="TabelacomGrelha"/>
        <w:tblW w:w="0" w:type="auto"/>
        <w:tblLook w:val="04A0" w:firstRow="1" w:lastRow="0" w:firstColumn="1" w:lastColumn="0" w:noHBand="0" w:noVBand="1"/>
      </w:tblPr>
      <w:tblGrid>
        <w:gridCol w:w="2881"/>
        <w:gridCol w:w="2881"/>
        <w:gridCol w:w="2882"/>
      </w:tblGrid>
      <w:tr w:rsidR="00FE6382" w:rsidRPr="002870AE" w14:paraId="79E0E602" w14:textId="77777777" w:rsidTr="00FE6382">
        <w:tc>
          <w:tcPr>
            <w:tcW w:w="2881" w:type="dxa"/>
          </w:tcPr>
          <w:p w14:paraId="17D7C971"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2881" w:type="dxa"/>
          </w:tcPr>
          <w:p w14:paraId="4C57C4E6"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Potencial obrigação</w:t>
            </w:r>
          </w:p>
        </w:tc>
        <w:tc>
          <w:tcPr>
            <w:tcW w:w="2882" w:type="dxa"/>
          </w:tcPr>
          <w:p w14:paraId="5E298504"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Avaliação</w:t>
            </w:r>
          </w:p>
        </w:tc>
      </w:tr>
      <w:tr w:rsidR="00FE6382" w:rsidRPr="000A51F8" w14:paraId="7C545E68" w14:textId="77777777" w:rsidTr="008F0402">
        <w:tc>
          <w:tcPr>
            <w:tcW w:w="2881" w:type="dxa"/>
            <w:vAlign w:val="center"/>
          </w:tcPr>
          <w:p w14:paraId="43E4C8B9"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 xml:space="preserve">Recusa em fornecer acesso </w:t>
            </w:r>
          </w:p>
        </w:tc>
        <w:tc>
          <w:tcPr>
            <w:tcW w:w="2881" w:type="dxa"/>
            <w:vAlign w:val="center"/>
          </w:tcPr>
          <w:p w14:paraId="3AF52D8F"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Obrigação de fornecer e publicar uma Oferta de Referência de Interconexão</w:t>
            </w:r>
          </w:p>
        </w:tc>
        <w:tc>
          <w:tcPr>
            <w:tcW w:w="2882" w:type="dxa"/>
            <w:vMerge w:val="restart"/>
          </w:tcPr>
          <w:p w14:paraId="59D44485" w14:textId="77777777" w:rsidR="001504F4"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Como o operador de rede que origina não tem opção de escolha da rede onde terminar, cada operador é dominante, independentemente da sua dimensão, no mercado de retalho. Recomenda-se</w:t>
            </w:r>
            <w:r w:rsidR="001504F4" w:rsidRPr="002870AE">
              <w:rPr>
                <w:rFonts w:ascii="Times New Roman" w:hAnsi="Times New Roman" w:cs="Times New Roman"/>
                <w:lang w:val="pt-PT"/>
              </w:rPr>
              <w:t>:</w:t>
            </w:r>
          </w:p>
          <w:p w14:paraId="3755ECF1" w14:textId="77777777" w:rsidR="001504F4" w:rsidRPr="002870AE" w:rsidRDefault="001504F4"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a) </w:t>
            </w:r>
            <w:r w:rsidR="00FE6382" w:rsidRPr="002870AE">
              <w:rPr>
                <w:rFonts w:ascii="Times New Roman" w:hAnsi="Times New Roman" w:cs="Times New Roman"/>
                <w:lang w:val="pt-PT"/>
              </w:rPr>
              <w:t xml:space="preserve"> </w:t>
            </w:r>
            <w:r w:rsidRPr="002870AE">
              <w:rPr>
                <w:rFonts w:ascii="Times New Roman" w:hAnsi="Times New Roman" w:cs="Times New Roman"/>
                <w:lang w:val="pt-PT"/>
              </w:rPr>
              <w:t xml:space="preserve">dar resposta aos pedidos razoáveis de fornecimento de serviços de terminação de chamadas de voz nas respetivas redes, devendo os termos e condições subjacentes a essa resposta ser razoáveis. </w:t>
            </w:r>
          </w:p>
          <w:p w14:paraId="12342354" w14:textId="7EE9AECD" w:rsidR="001504F4" w:rsidRPr="002870AE" w:rsidRDefault="001504F4"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b) não discriminar</w:t>
            </w:r>
          </w:p>
          <w:p w14:paraId="654ECD1D" w14:textId="77777777" w:rsidR="001504F4" w:rsidRPr="002870AE" w:rsidRDefault="001504F4"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entre diferentes compradores de serviços de terminação de chamadas vocais em redes </w:t>
            </w:r>
          </w:p>
          <w:p w14:paraId="2C28EF14" w14:textId="77777777" w:rsidR="001504F4" w:rsidRPr="002870AE" w:rsidRDefault="001504F4" w:rsidP="002870AE">
            <w:pPr>
              <w:pStyle w:val="Default"/>
              <w:spacing w:before="120" w:after="120" w:line="276" w:lineRule="auto"/>
              <w:jc w:val="both"/>
              <w:rPr>
                <w:rFonts w:ascii="Times New Roman" w:hAnsi="Times New Roman" w:cs="Times New Roman"/>
                <w:lang w:val="pt-PT"/>
              </w:rPr>
            </w:pPr>
          </w:p>
          <w:p w14:paraId="52CE7530" w14:textId="77777777" w:rsidR="001504F4" w:rsidRPr="002870AE" w:rsidRDefault="001504F4"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c) remeter à ARN uma cópia de todos os acordos de interligação que celebraram e que vierem a celebrar, em detrimento da imposição de uma obrigação de publicação de uma oferta de referência. que deverá ser feita no prazo máximo de 10 dias após a celebração e/ou alteração dos referidos acordos. Desse modo, a ARN poderá monitorizar a </w:t>
            </w:r>
            <w:r w:rsidRPr="002870AE">
              <w:rPr>
                <w:rFonts w:ascii="Times New Roman" w:hAnsi="Times New Roman" w:cs="Times New Roman"/>
                <w:lang w:val="pt-PT"/>
              </w:rPr>
              <w:lastRenderedPageBreak/>
              <w:t xml:space="preserve">obrigação de não discriminação na oferta de acesso e interligação sem, com isso, colocar em causa a segurança da rede e o modelo de negócio dos operadores que se encontrem em circunstâncias equivalentes. </w:t>
            </w:r>
          </w:p>
          <w:p w14:paraId="28CF56B2" w14:textId="77777777" w:rsidR="001504F4" w:rsidRPr="002870AE" w:rsidRDefault="001504F4" w:rsidP="002870AE">
            <w:pPr>
              <w:pStyle w:val="Default"/>
              <w:spacing w:before="120" w:after="120" w:line="276" w:lineRule="auto"/>
              <w:jc w:val="both"/>
              <w:rPr>
                <w:rFonts w:ascii="Times New Roman" w:hAnsi="Times New Roman" w:cs="Times New Roman"/>
                <w:lang w:val="pt-PT"/>
              </w:rPr>
            </w:pPr>
          </w:p>
          <w:p w14:paraId="6AE1A44F" w14:textId="10A6CB28" w:rsidR="00FE6382" w:rsidRPr="002870AE" w:rsidRDefault="001504F4"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 xml:space="preserve">d) </w:t>
            </w:r>
            <w:r w:rsidR="00FE6382" w:rsidRPr="002870AE">
              <w:rPr>
                <w:rFonts w:ascii="Times New Roman" w:hAnsi="Times New Roman" w:cs="Times New Roman"/>
                <w:lang w:val="pt-PT"/>
              </w:rPr>
              <w:t>um controlo de preço de terminação com base no custo incremental de longo prazo e determinado pela ARN.</w:t>
            </w:r>
          </w:p>
          <w:p w14:paraId="6D6950F9" w14:textId="77777777" w:rsidR="00FE6382" w:rsidRPr="002870AE" w:rsidRDefault="00FE6382" w:rsidP="002870AE">
            <w:pPr>
              <w:pStyle w:val="Default"/>
              <w:jc w:val="both"/>
              <w:rPr>
                <w:rFonts w:ascii="Times New Roman" w:hAnsi="Times New Roman" w:cs="Times New Roman"/>
                <w:lang w:val="pt-PT"/>
              </w:rPr>
            </w:pPr>
          </w:p>
        </w:tc>
      </w:tr>
      <w:tr w:rsidR="00FE6382" w:rsidRPr="000A51F8" w14:paraId="0074B4B3" w14:textId="77777777" w:rsidTr="008F0402">
        <w:tc>
          <w:tcPr>
            <w:tcW w:w="2881" w:type="dxa"/>
            <w:vAlign w:val="center"/>
          </w:tcPr>
          <w:p w14:paraId="4BB6C905"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Discriminação indevida</w:t>
            </w:r>
          </w:p>
        </w:tc>
        <w:tc>
          <w:tcPr>
            <w:tcW w:w="2881" w:type="dxa"/>
            <w:vAlign w:val="center"/>
          </w:tcPr>
          <w:p w14:paraId="3E4AADCB"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Obrigações de não discriminação e transparência</w:t>
            </w:r>
          </w:p>
        </w:tc>
        <w:tc>
          <w:tcPr>
            <w:tcW w:w="2882" w:type="dxa"/>
            <w:vMerge/>
          </w:tcPr>
          <w:p w14:paraId="51FA0A94" w14:textId="77777777" w:rsidR="00FE6382" w:rsidRPr="002870AE" w:rsidRDefault="00FE6382" w:rsidP="002870AE">
            <w:pPr>
              <w:pStyle w:val="Default"/>
              <w:spacing w:before="120" w:after="120"/>
              <w:jc w:val="both"/>
              <w:rPr>
                <w:rFonts w:ascii="Times New Roman" w:hAnsi="Times New Roman" w:cs="Times New Roman"/>
                <w:lang w:val="pt-PT"/>
              </w:rPr>
            </w:pPr>
          </w:p>
        </w:tc>
      </w:tr>
      <w:tr w:rsidR="00FE6382" w:rsidRPr="000A51F8" w14:paraId="4F65E200" w14:textId="77777777" w:rsidTr="008F0402">
        <w:tc>
          <w:tcPr>
            <w:tcW w:w="2881" w:type="dxa"/>
            <w:vAlign w:val="center"/>
          </w:tcPr>
          <w:p w14:paraId="1844DDD8"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 xml:space="preserve">Discriminação de preço </w:t>
            </w:r>
          </w:p>
        </w:tc>
        <w:tc>
          <w:tcPr>
            <w:tcW w:w="2881" w:type="dxa"/>
            <w:vAlign w:val="center"/>
          </w:tcPr>
          <w:p w14:paraId="24FF5E65" w14:textId="77777777" w:rsidR="00FE6382" w:rsidRPr="002870AE" w:rsidRDefault="00FE6382" w:rsidP="008F0402">
            <w:pPr>
              <w:pStyle w:val="Default"/>
              <w:rPr>
                <w:rFonts w:ascii="Times New Roman" w:hAnsi="Times New Roman" w:cs="Times New Roman"/>
                <w:lang w:val="pt-PT"/>
              </w:rPr>
            </w:pPr>
            <w:r w:rsidRPr="002870AE">
              <w:rPr>
                <w:rFonts w:ascii="Times New Roman" w:hAnsi="Times New Roman" w:cs="Times New Roman"/>
                <w:lang w:val="pt-PT"/>
              </w:rPr>
              <w:t>Notificação tarifária e obrigações de aprovação e transparência</w:t>
            </w:r>
          </w:p>
        </w:tc>
        <w:tc>
          <w:tcPr>
            <w:tcW w:w="2882" w:type="dxa"/>
            <w:vMerge/>
          </w:tcPr>
          <w:p w14:paraId="73D50D23" w14:textId="77777777" w:rsidR="00FE6382" w:rsidRPr="002870AE" w:rsidRDefault="00FE6382" w:rsidP="002870AE">
            <w:pPr>
              <w:pStyle w:val="Default"/>
              <w:spacing w:before="120" w:after="120"/>
              <w:jc w:val="both"/>
              <w:rPr>
                <w:rFonts w:ascii="Times New Roman" w:hAnsi="Times New Roman" w:cs="Times New Roman"/>
                <w:lang w:val="pt-PT"/>
              </w:rPr>
            </w:pPr>
          </w:p>
        </w:tc>
      </w:tr>
      <w:tr w:rsidR="00FE6382" w:rsidRPr="002870AE" w14:paraId="265FA76E" w14:textId="77777777" w:rsidTr="008F0402">
        <w:tc>
          <w:tcPr>
            <w:tcW w:w="2881" w:type="dxa"/>
            <w:vAlign w:val="center"/>
          </w:tcPr>
          <w:p w14:paraId="129BF9FC" w14:textId="77777777" w:rsidR="00FE6382" w:rsidRPr="002870AE" w:rsidRDefault="00FE6382" w:rsidP="008F0402">
            <w:pPr>
              <w:pStyle w:val="Default"/>
              <w:spacing w:after="120"/>
              <w:rPr>
                <w:rFonts w:ascii="Times New Roman" w:hAnsi="Times New Roman" w:cs="Times New Roman"/>
                <w:lang w:val="pt-PT"/>
              </w:rPr>
            </w:pPr>
            <w:r w:rsidRPr="002870AE">
              <w:rPr>
                <w:rFonts w:ascii="Times New Roman" w:hAnsi="Times New Roman" w:cs="Times New Roman"/>
                <w:lang w:val="pt-PT"/>
              </w:rPr>
              <w:t>Preço excessivo</w:t>
            </w:r>
          </w:p>
        </w:tc>
        <w:tc>
          <w:tcPr>
            <w:tcW w:w="2881" w:type="dxa"/>
            <w:vAlign w:val="center"/>
          </w:tcPr>
          <w:p w14:paraId="04D2062D" w14:textId="77777777" w:rsidR="00FE6382" w:rsidRPr="002870AE" w:rsidRDefault="00FE6382" w:rsidP="008F0402">
            <w:pPr>
              <w:pStyle w:val="Default"/>
              <w:spacing w:after="120"/>
              <w:rPr>
                <w:rFonts w:ascii="Times New Roman" w:hAnsi="Times New Roman" w:cs="Times New Roman"/>
                <w:lang w:val="pt-PT"/>
              </w:rPr>
            </w:pPr>
            <w:r w:rsidRPr="002870AE">
              <w:rPr>
                <w:rFonts w:ascii="Times New Roman" w:hAnsi="Times New Roman" w:cs="Times New Roman"/>
                <w:lang w:val="pt-PT"/>
              </w:rPr>
              <w:t>Controlo de preços</w:t>
            </w:r>
          </w:p>
        </w:tc>
        <w:tc>
          <w:tcPr>
            <w:tcW w:w="2882" w:type="dxa"/>
            <w:vMerge/>
          </w:tcPr>
          <w:p w14:paraId="0843A6B8" w14:textId="77777777" w:rsidR="00FE6382" w:rsidRPr="002870AE" w:rsidRDefault="00FE6382" w:rsidP="002870AE">
            <w:pPr>
              <w:pStyle w:val="Default"/>
              <w:spacing w:before="120" w:after="120"/>
              <w:jc w:val="both"/>
              <w:rPr>
                <w:rFonts w:ascii="Times New Roman" w:hAnsi="Times New Roman" w:cs="Times New Roman"/>
                <w:lang w:val="en-US"/>
              </w:rPr>
            </w:pPr>
          </w:p>
        </w:tc>
      </w:tr>
      <w:tr w:rsidR="00FE6382" w:rsidRPr="002870AE" w14:paraId="667FEABC" w14:textId="77777777" w:rsidTr="008F0402">
        <w:tc>
          <w:tcPr>
            <w:tcW w:w="2881" w:type="dxa"/>
            <w:vAlign w:val="center"/>
          </w:tcPr>
          <w:p w14:paraId="3EA6DE7C" w14:textId="77777777" w:rsidR="00FE6382" w:rsidRPr="002870AE" w:rsidRDefault="00FE6382" w:rsidP="008F0402">
            <w:pPr>
              <w:pStyle w:val="Default"/>
              <w:spacing w:after="120"/>
              <w:rPr>
                <w:rFonts w:ascii="Times New Roman" w:hAnsi="Times New Roman" w:cs="Times New Roman"/>
                <w:lang w:val="pt-PT"/>
              </w:rPr>
            </w:pPr>
            <w:r w:rsidRPr="002870AE">
              <w:rPr>
                <w:rFonts w:ascii="Times New Roman" w:hAnsi="Times New Roman" w:cs="Times New Roman"/>
                <w:lang w:val="pt-PT"/>
              </w:rPr>
              <w:t>Compressão das margens</w:t>
            </w:r>
          </w:p>
        </w:tc>
        <w:tc>
          <w:tcPr>
            <w:tcW w:w="2881" w:type="dxa"/>
            <w:vAlign w:val="center"/>
          </w:tcPr>
          <w:p w14:paraId="22B20561" w14:textId="77777777" w:rsidR="00FE6382" w:rsidRPr="002870AE" w:rsidRDefault="00FE6382" w:rsidP="008F0402">
            <w:pPr>
              <w:pStyle w:val="Default"/>
              <w:spacing w:after="120"/>
              <w:rPr>
                <w:rFonts w:ascii="Times New Roman" w:hAnsi="Times New Roman" w:cs="Times New Roman"/>
                <w:lang w:val="pt-PT"/>
              </w:rPr>
            </w:pPr>
            <w:r w:rsidRPr="002870AE">
              <w:rPr>
                <w:rFonts w:ascii="Times New Roman" w:hAnsi="Times New Roman" w:cs="Times New Roman"/>
                <w:lang w:val="pt-PT"/>
              </w:rPr>
              <w:t>Orientação para os custos</w:t>
            </w:r>
          </w:p>
        </w:tc>
        <w:tc>
          <w:tcPr>
            <w:tcW w:w="2882" w:type="dxa"/>
            <w:vMerge/>
          </w:tcPr>
          <w:p w14:paraId="228514E9" w14:textId="77777777" w:rsidR="00FE6382" w:rsidRPr="002870AE" w:rsidRDefault="00FE6382" w:rsidP="002870AE">
            <w:pPr>
              <w:pStyle w:val="Default"/>
              <w:spacing w:before="120" w:after="120"/>
              <w:jc w:val="both"/>
              <w:rPr>
                <w:rFonts w:ascii="Times New Roman" w:hAnsi="Times New Roman" w:cs="Times New Roman"/>
                <w:lang w:val="en-US"/>
              </w:rPr>
            </w:pPr>
          </w:p>
        </w:tc>
      </w:tr>
    </w:tbl>
    <w:p w14:paraId="545D220F" w14:textId="13FE6089" w:rsidR="00FE6382" w:rsidRPr="002870AE" w:rsidRDefault="00FE6382" w:rsidP="002870AE">
      <w:pPr>
        <w:jc w:val="both"/>
        <w:rPr>
          <w:rFonts w:ascii="Times New Roman" w:hAnsi="Times New Roman" w:cs="Times New Roman"/>
          <w:sz w:val="24"/>
          <w:szCs w:val="24"/>
          <w:lang w:val="pt-PT"/>
        </w:rPr>
      </w:pPr>
    </w:p>
    <w:p w14:paraId="20CA23F0" w14:textId="535B3F1C" w:rsidR="00556CD9" w:rsidRPr="002870AE" w:rsidRDefault="00556CD9"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ARN entende que, para melhor concretizar a obrigação de orientação para os custos, é necessário impor o desenvolvimento de um modelo de custeio, ou seja, uma obrigação de adotar um sistema de contabilização de custos, o qual permitirá verificar o cumprimento daquela obrigação de orientação para os custos. O sistema de contabilização de custos e as metodologias de custeio a serem aplicadas para este efeito serão estabelecidas tendo em conta a evolução a nível das melhores práticas internacionais nesta matéria, devendo nomeadamente ser considerada a utilização de modelos de custos prospetivos de longo prazo.</w:t>
      </w:r>
    </w:p>
    <w:p w14:paraId="13F08BA5" w14:textId="77777777" w:rsidR="00FE6382" w:rsidRPr="002870AE" w:rsidRDefault="00FE6382" w:rsidP="002870AE">
      <w:pPr>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 xml:space="preserve">Mercado 6 (grossista): Acesso e </w:t>
      </w:r>
      <w:proofErr w:type="spellStart"/>
      <w:r w:rsidRPr="002870AE">
        <w:rPr>
          <w:rFonts w:ascii="Times New Roman" w:hAnsi="Times New Roman" w:cs="Times New Roman"/>
          <w:b/>
          <w:bCs/>
          <w:sz w:val="24"/>
          <w:szCs w:val="24"/>
          <w:lang w:val="pt-PT"/>
        </w:rPr>
        <w:t>originação</w:t>
      </w:r>
      <w:proofErr w:type="spellEnd"/>
      <w:r w:rsidRPr="002870AE">
        <w:rPr>
          <w:rFonts w:ascii="Times New Roman" w:hAnsi="Times New Roman" w:cs="Times New Roman"/>
          <w:b/>
          <w:bCs/>
          <w:sz w:val="24"/>
          <w:szCs w:val="24"/>
          <w:lang w:val="pt-PT"/>
        </w:rPr>
        <w:t xml:space="preserve"> em redes móveis</w:t>
      </w:r>
    </w:p>
    <w:p w14:paraId="0E29E587"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Este mercado não existe atualmente na Guiné Bissau. Os operadores existentes utilizam os inputs grossistas nos seus próprios negócios de retalho. Enquanto este mercado não se materializar não seria boa prática impor obrigações aos operadores. Se por exemplo uma terceira entidade desejar ter acesso às infraestruturas passivas ou assumir o modelo de negócio de operador virtual (MVNO) ou requerer o roaming nacional então coloca-se a questão do acesso e em que termos. A ARN pode preferir que os operadores atuais e um ou mais potenciais entrem em acordos comerciais sem ter que intervir. Apenas no caso de os operadores não chegarem a um acordo em tempo e termos razoáveis poderá então a ARN ter necessidade de intervir. O mesmo se aplica no caso do acesso a infraestrutura passiva entre os atuais operadores. Em termos de política setorial e por vezes até de acordo com os termos definidos nas licenças pode a ARN preferir um investimento contínuo e de atualização tecnológica por parte de cada um dos operadores estabelecendo apenas condições particulares em zonas rurais de muito baixa densidade populacional onde possam não existir condições de rentabilidade para a duplicação de infraestrutura. Embora sem efetividade prática atual enumeram-se seguidamente os riscos de comportamento anti concorrencial que poderiam ocorrer neste mercado caso este se materializasse.</w:t>
      </w:r>
    </w:p>
    <w:p w14:paraId="78572270" w14:textId="08F0D7FC" w:rsidR="00FE6382" w:rsidRPr="002870AE" w:rsidRDefault="00FE6382" w:rsidP="00EC341F">
      <w:pPr>
        <w:pStyle w:val="PargrafodaLista"/>
        <w:numPr>
          <w:ilvl w:val="0"/>
          <w:numId w:val="6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risco de comportamento anti concorrencial e prejuízo para o consumidor</w:t>
      </w:r>
    </w:p>
    <w:p w14:paraId="41D11DF2" w14:textId="1E2427D8" w:rsidR="00FE6382" w:rsidRPr="002870AE"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lastRenderedPageBreak/>
        <w:t xml:space="preserve">Recusa de fornecimento: sem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seria improvável que a Orange ou a MTN oferecessem acesso </w:t>
      </w:r>
      <w:r w:rsidR="00B053C2" w:rsidRPr="002870AE">
        <w:rPr>
          <w:rFonts w:ascii="Times New Roman" w:hAnsi="Times New Roman" w:cs="Times New Roman"/>
          <w:sz w:val="24"/>
          <w:szCs w:val="24"/>
          <w:lang w:val="pt-PT"/>
        </w:rPr>
        <w:t>grossista</w:t>
      </w:r>
      <w:r w:rsidRPr="002870AE">
        <w:rPr>
          <w:rFonts w:ascii="Times New Roman" w:hAnsi="Times New Roman" w:cs="Times New Roman"/>
          <w:sz w:val="24"/>
          <w:szCs w:val="24"/>
          <w:lang w:val="pt-PT"/>
        </w:rPr>
        <w:t xml:space="preserve"> a terceiros em termos justos e razoáveis ​​em resposta a uma solicitação de outros fornecedores de serviços licenciados.</w:t>
      </w:r>
    </w:p>
    <w:p w14:paraId="0E769F1D" w14:textId="77777777" w:rsidR="00FE6382" w:rsidRPr="002870AE"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Discriminação na prestação de serviços de acesso a entidades que buscam acesso externo em favor de seu próprio negócio de retalho: a discriminação pode assumir a forma de discriminação não relacionada a preços, por exemplo, de diferentes qualidades de serviço, requisitos indevidos que não são justificados pelo custo ou outros fatores objetivos e preferência em todos os assuntos às suas próprias operações de retalho em comparação com as operações de retalho de um concorrente.</w:t>
      </w:r>
    </w:p>
    <w:p w14:paraId="77C2D8F9" w14:textId="0800C361" w:rsidR="00FE6382"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Discriminação anticompetitiva de preços: diferenciando preços em favor de operações de retalho próprias ou aplicando uma estratégia de compressão de margem a fim de impedir ou excluir um concorrente eficiente de competir.</w:t>
      </w:r>
    </w:p>
    <w:p w14:paraId="20541D9B" w14:textId="77777777" w:rsidR="00EC341F" w:rsidRPr="002870AE" w:rsidRDefault="00EC341F" w:rsidP="00EC341F">
      <w:pPr>
        <w:pStyle w:val="PargrafodaLista"/>
        <w:ind w:left="360"/>
        <w:jc w:val="both"/>
        <w:rPr>
          <w:rFonts w:ascii="Times New Roman" w:hAnsi="Times New Roman" w:cs="Times New Roman"/>
          <w:sz w:val="24"/>
          <w:szCs w:val="24"/>
          <w:lang w:val="pt-PT"/>
        </w:rPr>
      </w:pPr>
    </w:p>
    <w:p w14:paraId="090AC691" w14:textId="79C4A527" w:rsidR="00FE6382" w:rsidRPr="002870AE" w:rsidRDefault="00FE6382" w:rsidP="00EC341F">
      <w:pPr>
        <w:pStyle w:val="PargrafodaLista"/>
        <w:numPr>
          <w:ilvl w:val="0"/>
          <w:numId w:val="64"/>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Opções para remédios e avaliação de adequação</w:t>
      </w:r>
    </w:p>
    <w:p w14:paraId="7D7050C2"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tabela abaixo indica os possíveis remédios que seriam de aplicar, capazes de lidar com os riscos de danos aos consumidores e os problemas de concorrência descritos acima:</w:t>
      </w:r>
    </w:p>
    <w:tbl>
      <w:tblPr>
        <w:tblStyle w:val="TabelacomGrelha"/>
        <w:tblW w:w="0" w:type="auto"/>
        <w:tblLook w:val="04A0" w:firstRow="1" w:lastRow="0" w:firstColumn="1" w:lastColumn="0" w:noHBand="0" w:noVBand="1"/>
      </w:tblPr>
      <w:tblGrid>
        <w:gridCol w:w="2881"/>
        <w:gridCol w:w="2881"/>
        <w:gridCol w:w="2882"/>
      </w:tblGrid>
      <w:tr w:rsidR="00FE6382" w:rsidRPr="002870AE" w14:paraId="6B902F3B" w14:textId="77777777" w:rsidTr="00FE6382">
        <w:tc>
          <w:tcPr>
            <w:tcW w:w="2881" w:type="dxa"/>
          </w:tcPr>
          <w:p w14:paraId="58D7297F"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2881" w:type="dxa"/>
          </w:tcPr>
          <w:p w14:paraId="515FD343"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Potencial obrigação</w:t>
            </w:r>
          </w:p>
        </w:tc>
        <w:tc>
          <w:tcPr>
            <w:tcW w:w="2882" w:type="dxa"/>
          </w:tcPr>
          <w:p w14:paraId="6438A148"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Avaliação</w:t>
            </w:r>
          </w:p>
        </w:tc>
      </w:tr>
      <w:tr w:rsidR="00FE6382" w:rsidRPr="000A51F8" w14:paraId="323D6D4E" w14:textId="77777777" w:rsidTr="00FE6382">
        <w:tc>
          <w:tcPr>
            <w:tcW w:w="2881" w:type="dxa"/>
          </w:tcPr>
          <w:p w14:paraId="1570CFBD"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 xml:space="preserve">Recusa em fornecer acesso </w:t>
            </w:r>
          </w:p>
        </w:tc>
        <w:tc>
          <w:tcPr>
            <w:tcW w:w="2881" w:type="dxa"/>
          </w:tcPr>
          <w:p w14:paraId="23DE4F51"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Obrigação de fornecer e publicar uma Oferta de Referência de Interconexão</w:t>
            </w:r>
          </w:p>
        </w:tc>
        <w:tc>
          <w:tcPr>
            <w:tcW w:w="2882" w:type="dxa"/>
            <w:vMerge w:val="restart"/>
          </w:tcPr>
          <w:p w14:paraId="22959F1C"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r w:rsidRPr="002870AE">
              <w:rPr>
                <w:rFonts w:ascii="Times New Roman" w:hAnsi="Times New Roman" w:cs="Times New Roman"/>
                <w:lang w:val="pt-PT"/>
              </w:rPr>
              <w:t>Não se aplicam atualmente porque este mercado é um mercado hipotético na Guiné Bissau.</w:t>
            </w:r>
          </w:p>
          <w:p w14:paraId="6105AFFD" w14:textId="77777777" w:rsidR="00FE6382" w:rsidRPr="002870AE" w:rsidRDefault="00FE6382" w:rsidP="002870AE">
            <w:pPr>
              <w:pStyle w:val="Default"/>
              <w:spacing w:before="120" w:after="120" w:line="276" w:lineRule="auto"/>
              <w:jc w:val="both"/>
              <w:rPr>
                <w:rFonts w:ascii="Times New Roman" w:hAnsi="Times New Roman" w:cs="Times New Roman"/>
                <w:lang w:val="pt-PT"/>
              </w:rPr>
            </w:pPr>
          </w:p>
        </w:tc>
      </w:tr>
      <w:tr w:rsidR="00FE6382" w:rsidRPr="000A51F8" w14:paraId="55725B42" w14:textId="77777777" w:rsidTr="00FE6382">
        <w:tc>
          <w:tcPr>
            <w:tcW w:w="2881" w:type="dxa"/>
          </w:tcPr>
          <w:p w14:paraId="79970E7E"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 xml:space="preserve">Discriminação de preço </w:t>
            </w:r>
          </w:p>
        </w:tc>
        <w:tc>
          <w:tcPr>
            <w:tcW w:w="2881" w:type="dxa"/>
          </w:tcPr>
          <w:p w14:paraId="3313EAB7"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Notificação tarifária e obrigações de aprovação e transparência</w:t>
            </w:r>
          </w:p>
        </w:tc>
        <w:tc>
          <w:tcPr>
            <w:tcW w:w="2882" w:type="dxa"/>
            <w:vMerge/>
          </w:tcPr>
          <w:p w14:paraId="1E203A89" w14:textId="77777777" w:rsidR="00FE6382" w:rsidRPr="002870AE" w:rsidRDefault="00FE6382" w:rsidP="002870AE">
            <w:pPr>
              <w:pStyle w:val="Default"/>
              <w:spacing w:before="120" w:after="120"/>
              <w:jc w:val="both"/>
              <w:rPr>
                <w:rFonts w:ascii="Times New Roman" w:hAnsi="Times New Roman" w:cs="Times New Roman"/>
                <w:lang w:val="pt-PT"/>
              </w:rPr>
            </w:pPr>
          </w:p>
        </w:tc>
      </w:tr>
      <w:tr w:rsidR="00FE6382" w:rsidRPr="002870AE" w14:paraId="66970A22" w14:textId="77777777" w:rsidTr="00FE6382">
        <w:tc>
          <w:tcPr>
            <w:tcW w:w="2881" w:type="dxa"/>
          </w:tcPr>
          <w:p w14:paraId="1F23C360"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Preço excessivo</w:t>
            </w:r>
          </w:p>
        </w:tc>
        <w:tc>
          <w:tcPr>
            <w:tcW w:w="2881" w:type="dxa"/>
          </w:tcPr>
          <w:p w14:paraId="3A0B0FE5"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Controlo de preços</w:t>
            </w:r>
          </w:p>
        </w:tc>
        <w:tc>
          <w:tcPr>
            <w:tcW w:w="2882" w:type="dxa"/>
            <w:vMerge/>
          </w:tcPr>
          <w:p w14:paraId="556D8BBF" w14:textId="77777777" w:rsidR="00FE6382" w:rsidRPr="002870AE" w:rsidRDefault="00FE6382" w:rsidP="002870AE">
            <w:pPr>
              <w:pStyle w:val="Default"/>
              <w:spacing w:before="120" w:after="120"/>
              <w:jc w:val="both"/>
              <w:rPr>
                <w:rFonts w:ascii="Times New Roman" w:hAnsi="Times New Roman" w:cs="Times New Roman"/>
                <w:lang w:val="en-US"/>
              </w:rPr>
            </w:pPr>
          </w:p>
        </w:tc>
      </w:tr>
      <w:tr w:rsidR="00FE6382" w:rsidRPr="002870AE" w14:paraId="63DD5D3D" w14:textId="77777777" w:rsidTr="00FE6382">
        <w:tc>
          <w:tcPr>
            <w:tcW w:w="2881" w:type="dxa"/>
          </w:tcPr>
          <w:p w14:paraId="4B6C9BD5"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Compressão das margens</w:t>
            </w:r>
          </w:p>
        </w:tc>
        <w:tc>
          <w:tcPr>
            <w:tcW w:w="2881" w:type="dxa"/>
          </w:tcPr>
          <w:p w14:paraId="20A32049"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Orientação para os custos</w:t>
            </w:r>
          </w:p>
        </w:tc>
        <w:tc>
          <w:tcPr>
            <w:tcW w:w="2882" w:type="dxa"/>
            <w:vMerge/>
          </w:tcPr>
          <w:p w14:paraId="2D1A4532" w14:textId="77777777" w:rsidR="00FE6382" w:rsidRPr="002870AE" w:rsidRDefault="00FE6382" w:rsidP="002870AE">
            <w:pPr>
              <w:pStyle w:val="Default"/>
              <w:spacing w:before="120" w:after="120"/>
              <w:jc w:val="both"/>
              <w:rPr>
                <w:rFonts w:ascii="Times New Roman" w:hAnsi="Times New Roman" w:cs="Times New Roman"/>
                <w:lang w:val="en-US"/>
              </w:rPr>
            </w:pPr>
          </w:p>
        </w:tc>
      </w:tr>
    </w:tbl>
    <w:p w14:paraId="3E4ED157" w14:textId="77777777" w:rsidR="00FE6382" w:rsidRPr="002870AE" w:rsidRDefault="00FE6382" w:rsidP="002870AE">
      <w:pPr>
        <w:jc w:val="both"/>
        <w:rPr>
          <w:rFonts w:ascii="Times New Roman" w:hAnsi="Times New Roman" w:cs="Times New Roman"/>
          <w:sz w:val="24"/>
          <w:szCs w:val="24"/>
          <w:lang w:val="pt-PT"/>
        </w:rPr>
      </w:pPr>
    </w:p>
    <w:p w14:paraId="70C1CAD2" w14:textId="77777777" w:rsidR="00FE6382" w:rsidRPr="002870AE" w:rsidRDefault="00FE6382" w:rsidP="002870AE">
      <w:pPr>
        <w:jc w:val="both"/>
        <w:rPr>
          <w:rFonts w:ascii="Times New Roman" w:hAnsi="Times New Roman" w:cs="Times New Roman"/>
          <w:b/>
          <w:bCs/>
          <w:sz w:val="24"/>
          <w:szCs w:val="24"/>
          <w:lang w:val="pt-PT"/>
        </w:rPr>
      </w:pPr>
      <w:r w:rsidRPr="002870AE">
        <w:rPr>
          <w:rFonts w:ascii="Times New Roman" w:hAnsi="Times New Roman" w:cs="Times New Roman"/>
          <w:b/>
          <w:bCs/>
          <w:sz w:val="24"/>
          <w:szCs w:val="24"/>
          <w:lang w:val="pt-PT"/>
        </w:rPr>
        <w:t>Mercado 7 (grossista): Acesso a capacidade internacional</w:t>
      </w:r>
    </w:p>
    <w:p w14:paraId="558EE0C9"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Este mercado não existe atualmente na Guiné Bissau. Os operadores existentes realizam o acesso internacional através de infraestruturas próprias. Apenas quando existirem operadores adicionais no mercado este poderá materializar-se. Nesse caso a ARN deverá ter em conta que os dois operadores existentes podem em conjunto desencorajar a entrada no mercado, recusar acesso em termos razoáveis ou praticar preços excessivos. Embora sem efetividade prática atual enumeram-se seguidamente os riscos de comportamento anti concorrencial que poderiam ocorrer neste mercado caso este passasse a existir.</w:t>
      </w:r>
    </w:p>
    <w:p w14:paraId="65525AA8" w14:textId="337F0846" w:rsidR="00FE6382" w:rsidRDefault="00FE6382" w:rsidP="00EC341F">
      <w:pPr>
        <w:pStyle w:val="PargrafodaLista"/>
        <w:numPr>
          <w:ilvl w:val="0"/>
          <w:numId w:val="6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 risco de comportamento anti concorrencial e prejuízo para o consumidor</w:t>
      </w:r>
    </w:p>
    <w:p w14:paraId="2B6D2558" w14:textId="77777777" w:rsidR="00EC341F" w:rsidRPr="002870AE" w:rsidRDefault="00EC341F" w:rsidP="00EC341F">
      <w:pPr>
        <w:pStyle w:val="PargrafodaLista"/>
        <w:ind w:left="720"/>
        <w:jc w:val="both"/>
        <w:rPr>
          <w:rFonts w:ascii="Times New Roman" w:hAnsi="Times New Roman" w:cs="Times New Roman"/>
          <w:sz w:val="24"/>
          <w:szCs w:val="24"/>
          <w:lang w:val="pt-PT"/>
        </w:rPr>
      </w:pPr>
    </w:p>
    <w:p w14:paraId="236CBE7E" w14:textId="57F8D73B" w:rsidR="00FE6382" w:rsidRPr="002870AE"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Recusa de fornecimento: sem regulação </w:t>
      </w:r>
      <w:proofErr w:type="spellStart"/>
      <w:r w:rsidRPr="002870AE">
        <w:rPr>
          <w:rFonts w:ascii="Times New Roman" w:hAnsi="Times New Roman" w:cs="Times New Roman"/>
          <w:i/>
          <w:iCs/>
          <w:sz w:val="24"/>
          <w:szCs w:val="24"/>
          <w:lang w:val="pt-PT"/>
        </w:rPr>
        <w:t>ex</w:t>
      </w:r>
      <w:proofErr w:type="spellEnd"/>
      <w:r w:rsidRPr="002870AE">
        <w:rPr>
          <w:rFonts w:ascii="Times New Roman" w:hAnsi="Times New Roman" w:cs="Times New Roman"/>
          <w:i/>
          <w:iCs/>
          <w:sz w:val="24"/>
          <w:szCs w:val="24"/>
          <w:lang w:val="pt-PT"/>
        </w:rPr>
        <w:t xml:space="preserve"> ante</w:t>
      </w:r>
      <w:r w:rsidRPr="002870AE">
        <w:rPr>
          <w:rFonts w:ascii="Times New Roman" w:hAnsi="Times New Roman" w:cs="Times New Roman"/>
          <w:sz w:val="24"/>
          <w:szCs w:val="24"/>
          <w:lang w:val="pt-PT"/>
        </w:rPr>
        <w:t xml:space="preserve">, seria improvável que a Orange ou a MTN oferecessem acesso </w:t>
      </w:r>
      <w:r w:rsidR="00B053C2" w:rsidRPr="002870AE">
        <w:rPr>
          <w:rFonts w:ascii="Times New Roman" w:hAnsi="Times New Roman" w:cs="Times New Roman"/>
          <w:sz w:val="24"/>
          <w:szCs w:val="24"/>
          <w:lang w:val="pt-PT"/>
        </w:rPr>
        <w:t>grossista</w:t>
      </w:r>
      <w:r w:rsidRPr="002870AE">
        <w:rPr>
          <w:rFonts w:ascii="Times New Roman" w:hAnsi="Times New Roman" w:cs="Times New Roman"/>
          <w:sz w:val="24"/>
          <w:szCs w:val="24"/>
          <w:lang w:val="pt-PT"/>
        </w:rPr>
        <w:t xml:space="preserve"> a terceiros em termos justos e razoáveis ​​em resposta a uma solicitação de outros fornecedores de serviços licenciados.</w:t>
      </w:r>
    </w:p>
    <w:p w14:paraId="1DD4AAFD" w14:textId="77777777" w:rsidR="00FE6382" w:rsidRPr="002870AE"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 xml:space="preserve">Discriminação na prestação de serviços de acesso a entidades que buscam acesso externo em favor de seu próprio negócio de retalho: a discriminação pode assumir a forma de discriminação não relacionada a preços, por exemplo, de diferentes qualidades de serviço, requisitos indevidos que </w:t>
      </w:r>
      <w:r w:rsidRPr="002870AE">
        <w:rPr>
          <w:rFonts w:ascii="Times New Roman" w:hAnsi="Times New Roman" w:cs="Times New Roman"/>
          <w:sz w:val="24"/>
          <w:szCs w:val="24"/>
          <w:lang w:val="pt-PT"/>
        </w:rPr>
        <w:lastRenderedPageBreak/>
        <w:t>não são justificados pelo custo ou outros fatores objetivos e preferência em todos os assuntos às suas próprias operações de retalho em comparação com as operações de retalho de um concorrente.</w:t>
      </w:r>
    </w:p>
    <w:p w14:paraId="02B05CC4" w14:textId="6A70858C" w:rsidR="00FE6382" w:rsidRDefault="00FE6382" w:rsidP="002870AE">
      <w:pPr>
        <w:pStyle w:val="PargrafodaLista"/>
        <w:numPr>
          <w:ilvl w:val="0"/>
          <w:numId w:val="59"/>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Discriminação anticompetitiva de preços: diferenciando preços em favor de operações de retalho próprias ou aplicando uma estratégia de compressão de margem a fim de impedir ou excluir um concorrente eficiente de competir.</w:t>
      </w:r>
    </w:p>
    <w:p w14:paraId="79C04A56" w14:textId="77777777" w:rsidR="00EC341F" w:rsidRPr="002870AE" w:rsidRDefault="00EC341F" w:rsidP="00EC341F">
      <w:pPr>
        <w:pStyle w:val="PargrafodaLista"/>
        <w:ind w:left="360"/>
        <w:jc w:val="both"/>
        <w:rPr>
          <w:rFonts w:ascii="Times New Roman" w:hAnsi="Times New Roman" w:cs="Times New Roman"/>
          <w:sz w:val="24"/>
          <w:szCs w:val="24"/>
          <w:lang w:val="pt-PT"/>
        </w:rPr>
      </w:pPr>
    </w:p>
    <w:p w14:paraId="42E38F2A" w14:textId="42AC6376" w:rsidR="00FE6382" w:rsidRPr="002870AE" w:rsidRDefault="00FE6382" w:rsidP="00EC341F">
      <w:pPr>
        <w:pStyle w:val="PargrafodaLista"/>
        <w:numPr>
          <w:ilvl w:val="0"/>
          <w:numId w:val="65"/>
        </w:num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Opções para remédios e avaliação de adequação</w:t>
      </w:r>
    </w:p>
    <w:p w14:paraId="2EF80E6F" w14:textId="77777777" w:rsidR="00FE6382" w:rsidRPr="002870AE" w:rsidRDefault="00FE6382" w:rsidP="002870AE">
      <w:pPr>
        <w:jc w:val="both"/>
        <w:rPr>
          <w:rFonts w:ascii="Times New Roman" w:hAnsi="Times New Roman" w:cs="Times New Roman"/>
          <w:sz w:val="24"/>
          <w:szCs w:val="24"/>
          <w:lang w:val="pt-PT"/>
        </w:rPr>
      </w:pPr>
      <w:r w:rsidRPr="002870AE">
        <w:rPr>
          <w:rFonts w:ascii="Times New Roman" w:hAnsi="Times New Roman" w:cs="Times New Roman"/>
          <w:sz w:val="24"/>
          <w:szCs w:val="24"/>
          <w:lang w:val="pt-PT"/>
        </w:rPr>
        <w:t>A tabela abaixo indica os possíveis remédios que seriam de aplicar, capazes de lidar com os riscos de danos aos consumidores e os problemas de concorrência descritos acima:</w:t>
      </w:r>
    </w:p>
    <w:tbl>
      <w:tblPr>
        <w:tblStyle w:val="TabelacomGrelha"/>
        <w:tblW w:w="0" w:type="auto"/>
        <w:tblLook w:val="04A0" w:firstRow="1" w:lastRow="0" w:firstColumn="1" w:lastColumn="0" w:noHBand="0" w:noVBand="1"/>
      </w:tblPr>
      <w:tblGrid>
        <w:gridCol w:w="2881"/>
        <w:gridCol w:w="2881"/>
        <w:gridCol w:w="2882"/>
      </w:tblGrid>
      <w:tr w:rsidR="00FE6382" w:rsidRPr="002870AE" w14:paraId="4FAC91A0" w14:textId="77777777" w:rsidTr="00FE6382">
        <w:tc>
          <w:tcPr>
            <w:tcW w:w="2881" w:type="dxa"/>
          </w:tcPr>
          <w:p w14:paraId="7D4E9070"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Problema de concorrência</w:t>
            </w:r>
          </w:p>
        </w:tc>
        <w:tc>
          <w:tcPr>
            <w:tcW w:w="2881" w:type="dxa"/>
          </w:tcPr>
          <w:p w14:paraId="4A0809E7"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Potencial obrigação</w:t>
            </w:r>
          </w:p>
        </w:tc>
        <w:tc>
          <w:tcPr>
            <w:tcW w:w="2882" w:type="dxa"/>
          </w:tcPr>
          <w:p w14:paraId="3170CE71" w14:textId="77777777" w:rsidR="00FE6382" w:rsidRPr="002870AE" w:rsidRDefault="00FE6382" w:rsidP="002870AE">
            <w:pPr>
              <w:pStyle w:val="Default"/>
              <w:spacing w:before="120" w:after="120"/>
              <w:jc w:val="both"/>
              <w:rPr>
                <w:rFonts w:ascii="Times New Roman" w:hAnsi="Times New Roman" w:cs="Times New Roman"/>
                <w:b/>
                <w:lang w:val="pt-PT"/>
              </w:rPr>
            </w:pPr>
            <w:r w:rsidRPr="002870AE">
              <w:rPr>
                <w:rFonts w:ascii="Times New Roman" w:hAnsi="Times New Roman" w:cs="Times New Roman"/>
                <w:b/>
                <w:lang w:val="pt-PT"/>
              </w:rPr>
              <w:t>Avaliação</w:t>
            </w:r>
          </w:p>
        </w:tc>
      </w:tr>
      <w:tr w:rsidR="00FE6382" w:rsidRPr="000A51F8" w14:paraId="391E3BA5" w14:textId="77777777" w:rsidTr="00FE6382">
        <w:tc>
          <w:tcPr>
            <w:tcW w:w="2881" w:type="dxa"/>
          </w:tcPr>
          <w:p w14:paraId="2A5B9964"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 xml:space="preserve">Recusa em fornecer acesso </w:t>
            </w:r>
          </w:p>
        </w:tc>
        <w:tc>
          <w:tcPr>
            <w:tcW w:w="2881" w:type="dxa"/>
          </w:tcPr>
          <w:p w14:paraId="17186B3F"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Obrigação de fornecer e publicar uma Oferta de Referência de Interconexão</w:t>
            </w:r>
          </w:p>
        </w:tc>
        <w:tc>
          <w:tcPr>
            <w:tcW w:w="2882" w:type="dxa"/>
            <w:vMerge w:val="restart"/>
          </w:tcPr>
          <w:p w14:paraId="1ED7022A" w14:textId="77777777" w:rsidR="00FE6382" w:rsidRPr="002870AE" w:rsidRDefault="00FE6382" w:rsidP="002870AE">
            <w:pPr>
              <w:pStyle w:val="Default"/>
              <w:spacing w:line="276" w:lineRule="auto"/>
              <w:jc w:val="both"/>
              <w:rPr>
                <w:rFonts w:ascii="Times New Roman" w:hAnsi="Times New Roman" w:cs="Times New Roman"/>
                <w:lang w:val="pt-PT"/>
              </w:rPr>
            </w:pPr>
            <w:r w:rsidRPr="002870AE">
              <w:rPr>
                <w:rFonts w:ascii="Times New Roman" w:hAnsi="Times New Roman" w:cs="Times New Roman"/>
                <w:lang w:val="pt-PT"/>
              </w:rPr>
              <w:t>Não se aplicam atualmente porque este mercado é um mercado hipotético na Guiné Bissau.</w:t>
            </w:r>
          </w:p>
          <w:p w14:paraId="397ADA87" w14:textId="77777777" w:rsidR="00FE6382" w:rsidRPr="002870AE" w:rsidRDefault="00FE6382" w:rsidP="002870AE">
            <w:pPr>
              <w:pStyle w:val="Default"/>
              <w:jc w:val="both"/>
              <w:rPr>
                <w:rFonts w:ascii="Times New Roman" w:hAnsi="Times New Roman" w:cs="Times New Roman"/>
                <w:lang w:val="pt-PT"/>
              </w:rPr>
            </w:pPr>
          </w:p>
        </w:tc>
      </w:tr>
      <w:tr w:rsidR="00FE6382" w:rsidRPr="000A51F8" w14:paraId="0B92E9DC" w14:textId="77777777" w:rsidTr="00FE6382">
        <w:tc>
          <w:tcPr>
            <w:tcW w:w="2881" w:type="dxa"/>
          </w:tcPr>
          <w:p w14:paraId="57E2F12C"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 xml:space="preserve">Discriminação de preço </w:t>
            </w:r>
          </w:p>
        </w:tc>
        <w:tc>
          <w:tcPr>
            <w:tcW w:w="2881" w:type="dxa"/>
          </w:tcPr>
          <w:p w14:paraId="384B02B8" w14:textId="77777777" w:rsidR="00FE6382" w:rsidRPr="002870AE" w:rsidRDefault="00FE6382" w:rsidP="002870AE">
            <w:pPr>
              <w:pStyle w:val="Default"/>
              <w:jc w:val="both"/>
              <w:rPr>
                <w:rFonts w:ascii="Times New Roman" w:hAnsi="Times New Roman" w:cs="Times New Roman"/>
                <w:lang w:val="pt-PT"/>
              </w:rPr>
            </w:pPr>
            <w:r w:rsidRPr="002870AE">
              <w:rPr>
                <w:rFonts w:ascii="Times New Roman" w:hAnsi="Times New Roman" w:cs="Times New Roman"/>
                <w:lang w:val="pt-PT"/>
              </w:rPr>
              <w:t>Notificação tarifária e obrigações de aprovação e transparência</w:t>
            </w:r>
          </w:p>
        </w:tc>
        <w:tc>
          <w:tcPr>
            <w:tcW w:w="2882" w:type="dxa"/>
            <w:vMerge/>
          </w:tcPr>
          <w:p w14:paraId="30B42F9A" w14:textId="77777777" w:rsidR="00FE6382" w:rsidRPr="002870AE" w:rsidRDefault="00FE6382" w:rsidP="002870AE">
            <w:pPr>
              <w:pStyle w:val="Default"/>
              <w:spacing w:before="120" w:after="120"/>
              <w:jc w:val="both"/>
              <w:rPr>
                <w:rFonts w:ascii="Times New Roman" w:hAnsi="Times New Roman" w:cs="Times New Roman"/>
                <w:lang w:val="pt-PT"/>
              </w:rPr>
            </w:pPr>
          </w:p>
        </w:tc>
      </w:tr>
      <w:tr w:rsidR="00FE6382" w:rsidRPr="002870AE" w14:paraId="220762E3" w14:textId="77777777" w:rsidTr="00FE6382">
        <w:tc>
          <w:tcPr>
            <w:tcW w:w="2881" w:type="dxa"/>
          </w:tcPr>
          <w:p w14:paraId="1E225844"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Preço excessivo</w:t>
            </w:r>
          </w:p>
        </w:tc>
        <w:tc>
          <w:tcPr>
            <w:tcW w:w="2881" w:type="dxa"/>
          </w:tcPr>
          <w:p w14:paraId="26A0FD26"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Controlo de preços</w:t>
            </w:r>
          </w:p>
        </w:tc>
        <w:tc>
          <w:tcPr>
            <w:tcW w:w="2882" w:type="dxa"/>
            <w:vMerge/>
          </w:tcPr>
          <w:p w14:paraId="091C697C" w14:textId="77777777" w:rsidR="00FE6382" w:rsidRPr="002870AE" w:rsidRDefault="00FE6382" w:rsidP="002870AE">
            <w:pPr>
              <w:pStyle w:val="Default"/>
              <w:spacing w:before="120" w:after="120"/>
              <w:jc w:val="both"/>
              <w:rPr>
                <w:rFonts w:ascii="Times New Roman" w:hAnsi="Times New Roman" w:cs="Times New Roman"/>
                <w:lang w:val="en-US"/>
              </w:rPr>
            </w:pPr>
          </w:p>
        </w:tc>
      </w:tr>
      <w:tr w:rsidR="00FE6382" w:rsidRPr="002870AE" w14:paraId="3BFE2CB3" w14:textId="77777777" w:rsidTr="00FE6382">
        <w:tc>
          <w:tcPr>
            <w:tcW w:w="2881" w:type="dxa"/>
          </w:tcPr>
          <w:p w14:paraId="106951B8"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Compressão das margens</w:t>
            </w:r>
          </w:p>
        </w:tc>
        <w:tc>
          <w:tcPr>
            <w:tcW w:w="2881" w:type="dxa"/>
          </w:tcPr>
          <w:p w14:paraId="3370BC9D" w14:textId="77777777" w:rsidR="00FE6382" w:rsidRPr="002870AE" w:rsidRDefault="00FE6382" w:rsidP="002870AE">
            <w:pPr>
              <w:pStyle w:val="Default"/>
              <w:spacing w:after="120"/>
              <w:jc w:val="both"/>
              <w:rPr>
                <w:rFonts w:ascii="Times New Roman" w:hAnsi="Times New Roman" w:cs="Times New Roman"/>
                <w:lang w:val="pt-PT"/>
              </w:rPr>
            </w:pPr>
            <w:r w:rsidRPr="002870AE">
              <w:rPr>
                <w:rFonts w:ascii="Times New Roman" w:hAnsi="Times New Roman" w:cs="Times New Roman"/>
                <w:lang w:val="pt-PT"/>
              </w:rPr>
              <w:t>Orientação para os custos</w:t>
            </w:r>
          </w:p>
        </w:tc>
        <w:tc>
          <w:tcPr>
            <w:tcW w:w="2882" w:type="dxa"/>
            <w:vMerge/>
          </w:tcPr>
          <w:p w14:paraId="0700926E" w14:textId="77777777" w:rsidR="00FE6382" w:rsidRPr="002870AE" w:rsidRDefault="00FE6382" w:rsidP="002870AE">
            <w:pPr>
              <w:pStyle w:val="Default"/>
              <w:spacing w:before="120" w:after="120"/>
              <w:jc w:val="both"/>
              <w:rPr>
                <w:rFonts w:ascii="Times New Roman" w:hAnsi="Times New Roman" w:cs="Times New Roman"/>
                <w:lang w:val="en-US"/>
              </w:rPr>
            </w:pPr>
          </w:p>
        </w:tc>
      </w:tr>
    </w:tbl>
    <w:p w14:paraId="2105A559" w14:textId="77777777" w:rsidR="00FE6382" w:rsidRPr="002870AE" w:rsidRDefault="00FE6382" w:rsidP="002870AE">
      <w:pPr>
        <w:jc w:val="both"/>
        <w:rPr>
          <w:rFonts w:ascii="Times New Roman" w:hAnsi="Times New Roman" w:cs="Times New Roman"/>
          <w:sz w:val="24"/>
          <w:szCs w:val="24"/>
        </w:rPr>
      </w:pPr>
    </w:p>
    <w:p w14:paraId="70A50465" w14:textId="77777777" w:rsidR="00FE6382" w:rsidRPr="002870AE" w:rsidRDefault="00FE6382" w:rsidP="002870AE">
      <w:pPr>
        <w:jc w:val="both"/>
        <w:rPr>
          <w:rFonts w:ascii="Times New Roman" w:hAnsi="Times New Roman" w:cs="Times New Roman"/>
          <w:sz w:val="24"/>
          <w:szCs w:val="24"/>
          <w:lang w:val="pt-PT"/>
        </w:rPr>
      </w:pPr>
    </w:p>
    <w:p w14:paraId="05A69852" w14:textId="77777777" w:rsidR="00FE6382" w:rsidRPr="002870AE" w:rsidRDefault="00FE6382" w:rsidP="002870AE">
      <w:pPr>
        <w:jc w:val="both"/>
        <w:rPr>
          <w:rFonts w:ascii="Times New Roman" w:hAnsi="Times New Roman" w:cs="Times New Roman"/>
          <w:sz w:val="24"/>
          <w:szCs w:val="24"/>
        </w:rPr>
      </w:pPr>
    </w:p>
    <w:sectPr w:rsidR="00FE6382" w:rsidRPr="002870AE" w:rsidSect="00D361A1">
      <w:headerReference w:type="default" r:id="rId38"/>
      <w:footerReference w:type="default" r:id="rId39"/>
      <w:pgSz w:w="11907" w:h="16840" w:code="9"/>
      <w:pgMar w:top="1134" w:right="1134" w:bottom="1134" w:left="1134" w:header="34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C1C8" w14:textId="77777777" w:rsidR="002870AE" w:rsidRDefault="002870AE" w:rsidP="000B3AE0">
      <w:r>
        <w:separator/>
      </w:r>
    </w:p>
    <w:p w14:paraId="30BCEEE6" w14:textId="77777777" w:rsidR="002870AE" w:rsidRDefault="002870AE" w:rsidP="000B3AE0"/>
  </w:endnote>
  <w:endnote w:type="continuationSeparator" w:id="0">
    <w:p w14:paraId="4F8B0B76" w14:textId="77777777" w:rsidR="002870AE" w:rsidRDefault="002870AE" w:rsidP="000B3AE0">
      <w:r>
        <w:continuationSeparator/>
      </w:r>
    </w:p>
    <w:p w14:paraId="24439F76" w14:textId="77777777" w:rsidR="002870AE" w:rsidRDefault="002870AE" w:rsidP="000B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tarSymbol">
    <w:altName w:val="Calibri"/>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altName w:val="Times New Roman"/>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New Roman Bold">
    <w:altName w:val="Times New Roman"/>
    <w:charset w:val="00"/>
    <w:family w:val="auto"/>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BEA" w14:textId="77777777" w:rsidR="002870AE" w:rsidRDefault="002870AE" w:rsidP="000B3AE0">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14:paraId="3C2FA02F" w14:textId="77777777" w:rsidR="002870AE" w:rsidRDefault="002870AE" w:rsidP="000B3A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124E" w14:textId="3D537358" w:rsidR="002870AE" w:rsidRPr="0023642F" w:rsidRDefault="002870AE" w:rsidP="00C32669">
    <w:pPr>
      <w:pStyle w:val="Rodap"/>
      <w:spacing w:before="0" w:after="0"/>
      <w:rPr>
        <w:rStyle w:val="Nmerodepgina"/>
      </w:rPr>
    </w:pPr>
    <w:r w:rsidRPr="008B1E07">
      <w:rPr>
        <w:rStyle w:val="Nmerodepgina"/>
        <w:sz w:val="20"/>
      </w:rPr>
      <w:t>© Incyte Consulting 20</w:t>
    </w:r>
    <w:r>
      <w:rPr>
        <w:rStyle w:val="Nmerodepgina"/>
        <w:sz w:val="20"/>
      </w:rPr>
      <w:t>20</w:t>
    </w:r>
    <w:r>
      <w:rPr>
        <w:rStyle w:val="Nmerodepgina"/>
      </w:rPr>
      <w:tab/>
    </w:r>
    <w:r>
      <w:rPr>
        <w:rStyle w:val="Nmerodepgina"/>
      </w:rPr>
      <w:tab/>
    </w:r>
    <w:r w:rsidRPr="0023642F">
      <w:rPr>
        <w:rStyle w:val="Nmerodepgina"/>
      </w:rPr>
      <w:fldChar w:fldCharType="begin"/>
    </w:r>
    <w:r w:rsidRPr="0023642F">
      <w:rPr>
        <w:rStyle w:val="Nmerodepgina"/>
      </w:rPr>
      <w:instrText xml:space="preserve">PAGE  </w:instrText>
    </w:r>
    <w:r w:rsidRPr="0023642F">
      <w:rPr>
        <w:rStyle w:val="Nmerodepgina"/>
      </w:rPr>
      <w:fldChar w:fldCharType="separate"/>
    </w:r>
    <w:r>
      <w:rPr>
        <w:rStyle w:val="Nmerodepgina"/>
        <w:noProof/>
      </w:rPr>
      <w:t>2</w:t>
    </w:r>
    <w:r w:rsidRPr="0023642F">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6F8B" w14:textId="77777777" w:rsidR="002870AE" w:rsidRDefault="002870AE" w:rsidP="000B3AE0">
      <w:r>
        <w:separator/>
      </w:r>
    </w:p>
  </w:footnote>
  <w:footnote w:type="continuationSeparator" w:id="0">
    <w:p w14:paraId="3612A924" w14:textId="77777777" w:rsidR="002870AE" w:rsidRDefault="002870AE" w:rsidP="000B3AE0">
      <w:r>
        <w:continuationSeparator/>
      </w:r>
    </w:p>
    <w:p w14:paraId="04EF8F17" w14:textId="77777777" w:rsidR="002870AE" w:rsidRDefault="002870AE" w:rsidP="000B3AE0"/>
  </w:footnote>
  <w:footnote w:id="1">
    <w:p w14:paraId="1C031080" w14:textId="03FF8C2B" w:rsidR="002870AE" w:rsidRPr="001B67C9" w:rsidRDefault="002870AE">
      <w:pPr>
        <w:pStyle w:val="Textodenotaderodap"/>
        <w:rPr>
          <w:sz w:val="18"/>
          <w:szCs w:val="18"/>
          <w:lang w:val="pt-PT"/>
        </w:rPr>
      </w:pPr>
      <w:r w:rsidRPr="001B67C9">
        <w:rPr>
          <w:rStyle w:val="Refdenotaderodap"/>
          <w:sz w:val="18"/>
          <w:szCs w:val="18"/>
        </w:rPr>
        <w:footnoteRef/>
      </w:r>
      <w:r w:rsidRPr="00A568F5">
        <w:rPr>
          <w:sz w:val="18"/>
          <w:szCs w:val="18"/>
          <w:lang w:val="pt-PT"/>
        </w:rPr>
        <w:t xml:space="preserve"> A regulação sectorial </w:t>
      </w:r>
      <w:r w:rsidRPr="00A568F5">
        <w:rPr>
          <w:i/>
          <w:iCs/>
          <w:sz w:val="18"/>
          <w:szCs w:val="18"/>
          <w:lang w:val="pt-PT"/>
        </w:rPr>
        <w:t>ex ante</w:t>
      </w:r>
      <w:r w:rsidRPr="00A568F5">
        <w:rPr>
          <w:sz w:val="18"/>
          <w:szCs w:val="18"/>
          <w:lang w:val="pt-PT"/>
        </w:rPr>
        <w:t xml:space="preserve"> procura identificar os problemas antecipadamente e, por meio de intervenção regulatória, moldar o comportamento e as ações dos intervenientes no mercado.</w:t>
      </w:r>
    </w:p>
  </w:footnote>
  <w:footnote w:id="2">
    <w:p w14:paraId="606F63C7" w14:textId="77777777" w:rsidR="002870AE" w:rsidRPr="002870AE" w:rsidRDefault="002870AE" w:rsidP="00390901">
      <w:pPr>
        <w:pStyle w:val="Textodenotaderodap"/>
        <w:rPr>
          <w:rFonts w:ascii="Times New Roman" w:hAnsi="Times New Roman" w:cs="Times New Roman"/>
          <w:sz w:val="18"/>
          <w:szCs w:val="18"/>
          <w:lang w:val="pt-PT"/>
        </w:rPr>
      </w:pPr>
      <w:r w:rsidRPr="0063445C">
        <w:rPr>
          <w:rStyle w:val="Refdenotaderodap"/>
          <w:rFonts w:cs="Tahoma"/>
          <w:sz w:val="18"/>
          <w:szCs w:val="18"/>
          <w:lang w:val="pt-PT"/>
        </w:rPr>
        <w:footnoteRef/>
      </w:r>
      <w:r w:rsidRPr="0063445C">
        <w:rPr>
          <w:rFonts w:cs="Tahoma"/>
          <w:sz w:val="18"/>
          <w:szCs w:val="18"/>
          <w:lang w:val="pt-PT"/>
        </w:rPr>
        <w:t xml:space="preserve"> Também por vezes referido como Poder de Mercado Significativo (PMS). Os dois termos são sinónimos, a legislação em vigor usa preferencialmente o termo "posição significativa no mercado". Na prática descreve o poder que permite que </w:t>
      </w:r>
      <w:r w:rsidRPr="002870AE">
        <w:rPr>
          <w:rFonts w:ascii="Times New Roman" w:hAnsi="Times New Roman" w:cs="Times New Roman"/>
          <w:sz w:val="18"/>
          <w:szCs w:val="18"/>
          <w:lang w:val="pt-PT"/>
        </w:rPr>
        <w:t>um fornecedor de serviços possa tomar decisões e agir de forma independente dos seus concorrentes e clientes. Normalmente isso significa a capacidade de aumentar os preços ou reduzir o nível de produção sem se preocupar que os concorrentes obtenham uma vantagem material através de maiores receitas ou quota de mercado, ou que um número significativo de clientes decida comprar os serviços a outro fornecedor.</w:t>
      </w:r>
    </w:p>
  </w:footnote>
  <w:footnote w:id="3">
    <w:p w14:paraId="1EDF7FE7" w14:textId="77777777" w:rsidR="002870AE" w:rsidRPr="00D37031" w:rsidRDefault="002870AE" w:rsidP="00017280">
      <w:pPr>
        <w:pStyle w:val="Textodenotaderodap"/>
        <w:rPr>
          <w:sz w:val="18"/>
          <w:szCs w:val="18"/>
          <w:lang w:val="pt-PT"/>
        </w:rPr>
      </w:pPr>
      <w:r w:rsidRPr="00D37031">
        <w:rPr>
          <w:rStyle w:val="Refdenotaderodap"/>
          <w:sz w:val="18"/>
          <w:szCs w:val="18"/>
        </w:rPr>
        <w:footnoteRef/>
      </w:r>
      <w:r w:rsidRPr="003B4226">
        <w:rPr>
          <w:sz w:val="18"/>
          <w:szCs w:val="18"/>
          <w:lang w:val="pt-PT"/>
        </w:rPr>
        <w:t xml:space="preserve"> </w:t>
      </w:r>
      <w:r w:rsidRPr="00D37031">
        <w:rPr>
          <w:sz w:val="18"/>
          <w:szCs w:val="18"/>
          <w:lang w:val="pt-PT"/>
        </w:rPr>
        <w:t xml:space="preserve">Conforme definido um </w:t>
      </w:r>
      <w:r w:rsidRPr="00ED3579">
        <w:rPr>
          <w:sz w:val="18"/>
          <w:szCs w:val="18"/>
          <w:lang w:val="pt-PT"/>
        </w:rPr>
        <w:t>SSNIP</w:t>
      </w:r>
      <w:r w:rsidRPr="00D37031">
        <w:rPr>
          <w:sz w:val="18"/>
          <w:szCs w:val="18"/>
          <w:lang w:val="pt-PT"/>
        </w:rPr>
        <w:t xml:space="preserve"> constitui um </w:t>
      </w:r>
      <w:r w:rsidRPr="00D37031">
        <w:rPr>
          <w:rFonts w:cs="Tahoma"/>
          <w:sz w:val="18"/>
          <w:szCs w:val="18"/>
          <w:lang w:val="pt-PT"/>
        </w:rPr>
        <w:t>aumento não transitório, mas significativo (5 a 10%), do preço do serviço praticado pelo monopolista hipotético.</w:t>
      </w:r>
      <w:r>
        <w:rPr>
          <w:rFonts w:cs="Tahoma"/>
          <w:sz w:val="18"/>
          <w:szCs w:val="18"/>
          <w:lang w:val="pt-PT"/>
        </w:rPr>
        <w:t xml:space="preserve"> Neste relatório doravante passaremos a usar a sigla SSNIP para designar o aumento.</w:t>
      </w:r>
    </w:p>
  </w:footnote>
  <w:footnote w:id="4">
    <w:p w14:paraId="7F3A76A3" w14:textId="77777777" w:rsidR="002870AE" w:rsidRPr="00961901" w:rsidRDefault="002870AE" w:rsidP="00017280">
      <w:pPr>
        <w:pStyle w:val="Textodenotaderodap"/>
        <w:rPr>
          <w:sz w:val="18"/>
          <w:szCs w:val="18"/>
          <w:lang w:val="pt-PT"/>
        </w:rPr>
      </w:pPr>
      <w:r w:rsidRPr="00831EF7">
        <w:rPr>
          <w:rStyle w:val="Refdenotaderodap"/>
          <w:sz w:val="18"/>
          <w:szCs w:val="18"/>
          <w:lang w:val="pt-PT"/>
        </w:rPr>
        <w:footnoteRef/>
      </w:r>
      <w:r w:rsidRPr="00831EF7">
        <w:rPr>
          <w:sz w:val="18"/>
          <w:szCs w:val="18"/>
          <w:lang w:val="pt-PT"/>
        </w:rPr>
        <w:t xml:space="preserve"> </w:t>
      </w:r>
      <w:r w:rsidRPr="00961901">
        <w:rPr>
          <w:sz w:val="18"/>
          <w:szCs w:val="18"/>
          <w:lang w:val="pt-PT"/>
        </w:rPr>
        <w:t>O aumento de preço contemplado pelo teste SSNIP tem dois efeitos opostos nos lucros do hipotético monopolista. Por um lado, isso afeta negativamente os lucros, porque as vendas caem à medida que alguns consumidores compram menos ou substituem por produtos de empresas rivais em resposta ao aumento de preço. Por outro lado, há um efeito positivo nos lucros, por via de margens mais altas nas vendas restantes. Se os ganhos com o aumento de preço (maior margem) são maiores que as perdas (menor volume de vendas) o aumento de preço será rentável.</w:t>
      </w:r>
    </w:p>
  </w:footnote>
  <w:footnote w:id="5">
    <w:p w14:paraId="526CD64E" w14:textId="414D64E3" w:rsidR="002870AE" w:rsidRPr="00C32669" w:rsidRDefault="002870AE">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Intervenção </w:t>
      </w:r>
      <w:r w:rsidRPr="00C32669">
        <w:rPr>
          <w:rFonts w:ascii="Times New Roman" w:hAnsi="Times New Roman" w:cs="Times New Roman"/>
          <w:i/>
          <w:iCs/>
          <w:sz w:val="18"/>
          <w:szCs w:val="18"/>
          <w:lang w:val="pt-PT"/>
        </w:rPr>
        <w:t xml:space="preserve">ex post </w:t>
      </w:r>
      <w:r w:rsidRPr="00C32669">
        <w:rPr>
          <w:rFonts w:ascii="Times New Roman" w:hAnsi="Times New Roman" w:cs="Times New Roman"/>
          <w:sz w:val="18"/>
          <w:szCs w:val="18"/>
          <w:lang w:val="pt-PT"/>
        </w:rPr>
        <w:t>significa a acção do regulador ou autoridade da concorrência após o evento ocorrer no contexto por exemplo de uma prática anticoncorrencial, aprovação ou recusa de uma tarifa ou na avaliação dos efeitos de uma fusão.</w:t>
      </w:r>
    </w:p>
  </w:footnote>
  <w:footnote w:id="6">
    <w:p w14:paraId="3F8D73D2" w14:textId="77777777" w:rsidR="002870AE" w:rsidRPr="00D37031" w:rsidRDefault="002870AE" w:rsidP="00247D06">
      <w:pPr>
        <w:pStyle w:val="Textodenotaderodap"/>
        <w:rPr>
          <w:sz w:val="18"/>
          <w:szCs w:val="18"/>
          <w:lang w:val="pt-PT"/>
        </w:rPr>
      </w:pPr>
      <w:r w:rsidRPr="00D37031">
        <w:rPr>
          <w:rStyle w:val="Refdenotaderodap"/>
          <w:sz w:val="18"/>
          <w:szCs w:val="18"/>
        </w:rPr>
        <w:footnoteRef/>
      </w:r>
      <w:r w:rsidRPr="003B4226">
        <w:rPr>
          <w:sz w:val="18"/>
          <w:szCs w:val="18"/>
          <w:lang w:val="pt-PT"/>
        </w:rPr>
        <w:t xml:space="preserve"> </w:t>
      </w:r>
      <w:r w:rsidRPr="00D37031">
        <w:rPr>
          <w:sz w:val="18"/>
          <w:szCs w:val="18"/>
          <w:lang w:val="pt-PT"/>
        </w:rPr>
        <w:t>Mercado ainda não efetivo na Guiné Bissau, ambos os operadores utilizam este serviço grossista como necessário para os seus serviços de retalho.</w:t>
      </w:r>
    </w:p>
  </w:footnote>
  <w:footnote w:id="7">
    <w:p w14:paraId="30A11CE0" w14:textId="77777777" w:rsidR="002870AE" w:rsidRPr="00D37031" w:rsidRDefault="002870AE" w:rsidP="00247D06">
      <w:pPr>
        <w:pStyle w:val="Textodenotaderodap"/>
        <w:rPr>
          <w:rFonts w:cs="Tahoma"/>
          <w:sz w:val="18"/>
          <w:szCs w:val="18"/>
          <w:lang w:val="pt-PT"/>
        </w:rPr>
      </w:pPr>
      <w:r w:rsidRPr="00D37031">
        <w:rPr>
          <w:rStyle w:val="Refdenotaderodap"/>
          <w:rFonts w:cs="Tahoma"/>
          <w:sz w:val="18"/>
          <w:szCs w:val="18"/>
          <w:lang w:val="pt-PT"/>
        </w:rPr>
        <w:footnoteRef/>
      </w:r>
      <w:r w:rsidRPr="00D37031">
        <w:rPr>
          <w:rFonts w:cs="Tahoma"/>
          <w:sz w:val="18"/>
          <w:szCs w:val="18"/>
          <w:lang w:val="pt-PT"/>
        </w:rPr>
        <w:t xml:space="preserve"> </w:t>
      </w:r>
      <w:r w:rsidRPr="00D37031">
        <w:rPr>
          <w:sz w:val="18"/>
          <w:szCs w:val="18"/>
          <w:lang w:val="pt-PT"/>
        </w:rPr>
        <w:t>Mercado ainda não efetivo na Guiné Bissau</w:t>
      </w:r>
      <w:r w:rsidRPr="00D37031">
        <w:rPr>
          <w:rFonts w:cs="Tahoma"/>
          <w:sz w:val="18"/>
          <w:szCs w:val="18"/>
          <w:lang w:val="pt-PT"/>
        </w:rPr>
        <w:t>.</w:t>
      </w:r>
      <w:r>
        <w:rPr>
          <w:rFonts w:cs="Tahoma"/>
          <w:sz w:val="18"/>
          <w:szCs w:val="18"/>
          <w:lang w:val="pt-PT"/>
        </w:rPr>
        <w:t xml:space="preserve"> Pode ser considerado como parte do mercado grossista de acesso e </w:t>
      </w:r>
      <w:r>
        <w:rPr>
          <w:rFonts w:cs="Tahoma"/>
          <w:sz w:val="18"/>
          <w:szCs w:val="18"/>
          <w:lang w:val="pt-PT"/>
        </w:rPr>
        <w:t>originação a redes móveis.</w:t>
      </w:r>
    </w:p>
  </w:footnote>
  <w:footnote w:id="8">
    <w:p w14:paraId="2FDD9DA9" w14:textId="77777777" w:rsidR="002870AE" w:rsidRPr="00013DE9" w:rsidRDefault="002870AE" w:rsidP="00247D06">
      <w:pPr>
        <w:spacing w:before="0" w:after="0"/>
        <w:rPr>
          <w:rFonts w:cs="Tahoma"/>
          <w:sz w:val="18"/>
          <w:szCs w:val="18"/>
          <w:lang w:val="pt-PT"/>
        </w:rPr>
      </w:pPr>
      <w:r w:rsidRPr="00D37031">
        <w:rPr>
          <w:rStyle w:val="Refdenotaderodap"/>
          <w:rFonts w:cs="Tahoma"/>
          <w:sz w:val="18"/>
          <w:szCs w:val="18"/>
          <w:lang w:val="pt-PT"/>
        </w:rPr>
        <w:footnoteRef/>
      </w:r>
      <w:r w:rsidRPr="00D37031">
        <w:rPr>
          <w:rFonts w:cs="Tahoma"/>
          <w:sz w:val="18"/>
          <w:szCs w:val="18"/>
          <w:lang w:val="pt-PT"/>
        </w:rPr>
        <w:t xml:space="preserve"> </w:t>
      </w:r>
      <w:r w:rsidRPr="00D37031">
        <w:rPr>
          <w:sz w:val="18"/>
          <w:szCs w:val="18"/>
          <w:lang w:val="pt-PT"/>
        </w:rPr>
        <w:t>Mercado ainda não efetivo na Guiné Bissau, ambos os operadores utilizam este serviço grossista como</w:t>
      </w:r>
      <w:r>
        <w:rPr>
          <w:sz w:val="18"/>
          <w:szCs w:val="18"/>
          <w:lang w:val="pt-PT"/>
        </w:rPr>
        <w:t xml:space="preserve"> </w:t>
      </w:r>
      <w:r w:rsidRPr="00D37031">
        <w:rPr>
          <w:sz w:val="18"/>
          <w:szCs w:val="18"/>
          <w:lang w:val="pt-PT"/>
        </w:rPr>
        <w:t>necessário para os seus serviços de retalho</w:t>
      </w:r>
      <w:r w:rsidRPr="00D37031">
        <w:rPr>
          <w:rFonts w:cs="Tahoma"/>
          <w:sz w:val="18"/>
          <w:szCs w:val="18"/>
          <w:lang w:val="pt-PT"/>
        </w:rPr>
        <w:t>.</w:t>
      </w:r>
    </w:p>
  </w:footnote>
  <w:footnote w:id="9">
    <w:p w14:paraId="1BA5586A" w14:textId="77777777" w:rsidR="002870AE" w:rsidRPr="002E51FF" w:rsidRDefault="002870AE" w:rsidP="003529EE">
      <w:pPr>
        <w:pStyle w:val="Textodenotaderodap"/>
        <w:rPr>
          <w:sz w:val="18"/>
          <w:szCs w:val="18"/>
        </w:rPr>
      </w:pPr>
      <w:r>
        <w:rPr>
          <w:rStyle w:val="Refdenotaderodap"/>
        </w:rPr>
        <w:footnoteRef/>
      </w:r>
      <w:r w:rsidRPr="002E51FF">
        <w:rPr>
          <w:lang w:val="pt-PT"/>
        </w:rPr>
        <w:t xml:space="preserve"> </w:t>
      </w:r>
      <w:r w:rsidRPr="002E51FF">
        <w:rPr>
          <w:sz w:val="18"/>
          <w:szCs w:val="18"/>
          <w:lang w:val="pt-PT"/>
        </w:rPr>
        <w:t xml:space="preserve">Recomendação de 2007, para. 4, e Recomendação de 2003, para. </w:t>
      </w:r>
      <w:r w:rsidRPr="002E51FF">
        <w:rPr>
          <w:sz w:val="18"/>
          <w:szCs w:val="18"/>
        </w:rPr>
        <w:t>7: “The starting point for the definition and identification of markets is a characterization of retail markets over a given time horizon, taking into account demand-side and supply-side substitutability. Having characterized and defined retail markets which are markets involving the supply and demand of end users, it is then appropriate to identify relevant wholesale market […]”.</w:t>
      </w:r>
    </w:p>
  </w:footnote>
  <w:footnote w:id="10">
    <w:p w14:paraId="0DD888A8" w14:textId="77777777" w:rsidR="002870AE" w:rsidRPr="00BA26F9" w:rsidRDefault="002870AE" w:rsidP="00490FC5">
      <w:pPr>
        <w:pStyle w:val="Textodenotaderodap"/>
        <w:rPr>
          <w:sz w:val="18"/>
          <w:szCs w:val="18"/>
          <w:lang w:val="pt-PT"/>
        </w:rPr>
      </w:pPr>
      <w:r w:rsidRPr="00BA26F9">
        <w:rPr>
          <w:rStyle w:val="Refdenotaderodap"/>
          <w:sz w:val="18"/>
          <w:szCs w:val="18"/>
        </w:rPr>
        <w:footnoteRef/>
      </w:r>
      <w:r w:rsidRPr="003B4226">
        <w:rPr>
          <w:sz w:val="18"/>
          <w:szCs w:val="18"/>
          <w:lang w:val="pt-PT"/>
        </w:rPr>
        <w:t xml:space="preserve"> </w:t>
      </w:r>
      <w:r w:rsidRPr="00BA26F9">
        <w:rPr>
          <w:sz w:val="18"/>
          <w:szCs w:val="18"/>
          <w:lang w:val="pt-PT"/>
        </w:rPr>
        <w:t xml:space="preserve">A existência de cor significa que determinado serviço está incluído no pacote. Cada pacote pode possuir mais que um serviço. </w:t>
      </w:r>
    </w:p>
  </w:footnote>
  <w:footnote w:id="11">
    <w:p w14:paraId="46FF3D0B" w14:textId="77777777" w:rsidR="002870AE" w:rsidRPr="007F0C69" w:rsidRDefault="002870AE" w:rsidP="00490FC5">
      <w:pPr>
        <w:pStyle w:val="Textodenotaderodap"/>
        <w:rPr>
          <w:sz w:val="18"/>
          <w:szCs w:val="18"/>
          <w:lang w:val="pt-PT"/>
        </w:rPr>
      </w:pPr>
      <w:r w:rsidRPr="007F0C69">
        <w:rPr>
          <w:rStyle w:val="Refdenotaderodap"/>
          <w:sz w:val="18"/>
          <w:szCs w:val="18"/>
          <w:lang w:val="pt-PT"/>
        </w:rPr>
        <w:footnoteRef/>
      </w:r>
      <w:r w:rsidRPr="007F0C69">
        <w:rPr>
          <w:sz w:val="18"/>
          <w:szCs w:val="18"/>
          <w:lang w:val="pt-PT"/>
        </w:rPr>
        <w:t xml:space="preserve"> De forma idêntica à tabela anterior, a existência de cor significa que determinado serviço está incluído no pacote. Cada pacote pode possuir mais que um serviço.</w:t>
      </w:r>
    </w:p>
  </w:footnote>
  <w:footnote w:id="12">
    <w:p w14:paraId="48D5A8AF" w14:textId="77777777" w:rsidR="002870AE" w:rsidRPr="009D4BE3" w:rsidRDefault="002870AE" w:rsidP="00490FC5">
      <w:pPr>
        <w:pStyle w:val="Textodenotaderodap"/>
        <w:rPr>
          <w:lang w:val="pt-PT"/>
        </w:rPr>
      </w:pPr>
      <w:r>
        <w:rPr>
          <w:rStyle w:val="Refdenotaderodap"/>
        </w:rPr>
        <w:footnoteRef/>
      </w:r>
      <w:r w:rsidRPr="003B4226">
        <w:rPr>
          <w:lang w:val="pt-PT"/>
        </w:rPr>
        <w:t xml:space="preserve"> </w:t>
      </w:r>
      <w:r w:rsidRPr="00C22ADB">
        <w:rPr>
          <w:sz w:val="18"/>
          <w:szCs w:val="18"/>
          <w:lang w:val="pt-PT"/>
        </w:rPr>
        <w:t>FCFA corresponde ao Franco CFA da África Ocidental</w:t>
      </w:r>
    </w:p>
  </w:footnote>
  <w:footnote w:id="13">
    <w:p w14:paraId="5D732AAF" w14:textId="77777777" w:rsidR="002870AE" w:rsidRPr="00F91E2D" w:rsidRDefault="002870AE" w:rsidP="00265BB5">
      <w:pPr>
        <w:pStyle w:val="Textodenotaderodap"/>
        <w:rPr>
          <w:sz w:val="18"/>
          <w:szCs w:val="18"/>
          <w:lang w:val="pt-PT"/>
        </w:rPr>
      </w:pPr>
      <w:r w:rsidRPr="00F91E2D">
        <w:rPr>
          <w:rStyle w:val="Refdenotaderodap"/>
          <w:sz w:val="18"/>
          <w:szCs w:val="18"/>
        </w:rPr>
        <w:footnoteRef/>
      </w:r>
      <w:r w:rsidRPr="003B4226">
        <w:rPr>
          <w:sz w:val="18"/>
          <w:szCs w:val="18"/>
          <w:lang w:val="pt-PT"/>
        </w:rPr>
        <w:t xml:space="preserve"> </w:t>
      </w:r>
      <w:r w:rsidRPr="00F91E2D">
        <w:rPr>
          <w:sz w:val="18"/>
          <w:szCs w:val="18"/>
          <w:lang w:val="pt-PT"/>
        </w:rPr>
        <w:t>Embora não seja totalmente claro o que significa 7dias/6</w:t>
      </w:r>
    </w:p>
  </w:footnote>
  <w:footnote w:id="14">
    <w:p w14:paraId="4A39D970" w14:textId="77777777" w:rsidR="002870AE" w:rsidRPr="00667FAA" w:rsidRDefault="002870AE" w:rsidP="00265BB5">
      <w:pPr>
        <w:pStyle w:val="Textodenotaderodap"/>
        <w:rPr>
          <w:lang w:val="pt-PT"/>
        </w:rPr>
      </w:pPr>
      <w:r>
        <w:rPr>
          <w:rStyle w:val="Refdenotaderodap"/>
        </w:rPr>
        <w:footnoteRef/>
      </w:r>
      <w:r w:rsidRPr="003B4226">
        <w:rPr>
          <w:lang w:val="pt-PT"/>
        </w:rPr>
        <w:t xml:space="preserve"> </w:t>
      </w:r>
      <w:r>
        <w:rPr>
          <w:lang w:val="pt-PT"/>
        </w:rPr>
        <w:t xml:space="preserve">Na terminologia inglesa </w:t>
      </w:r>
      <w:r>
        <w:rPr>
          <w:lang w:val="pt-PT"/>
        </w:rPr>
        <w:t>Calling Party Pays.</w:t>
      </w:r>
    </w:p>
  </w:footnote>
  <w:footnote w:id="15">
    <w:p w14:paraId="041B0C96" w14:textId="77777777" w:rsidR="002870AE" w:rsidRPr="002F7698" w:rsidRDefault="002870AE" w:rsidP="00265BB5">
      <w:pPr>
        <w:pStyle w:val="Textodenotaderodap"/>
        <w:rPr>
          <w:sz w:val="18"/>
          <w:szCs w:val="18"/>
          <w:lang w:val="pt-PT"/>
        </w:rPr>
      </w:pPr>
      <w:r w:rsidRPr="002F7698">
        <w:rPr>
          <w:rStyle w:val="Refdenotaderodap"/>
          <w:sz w:val="18"/>
          <w:szCs w:val="18"/>
        </w:rPr>
        <w:footnoteRef/>
      </w:r>
      <w:r w:rsidRPr="003B4226">
        <w:rPr>
          <w:sz w:val="18"/>
          <w:szCs w:val="18"/>
          <w:lang w:val="pt-PT"/>
        </w:rPr>
        <w:t xml:space="preserve"> </w:t>
      </w:r>
      <w:r w:rsidRPr="002F7698">
        <w:rPr>
          <w:sz w:val="18"/>
          <w:szCs w:val="18"/>
          <w:lang w:val="pt-PT"/>
        </w:rPr>
        <w:t xml:space="preserve">No presente documento utiliza-se a designação </w:t>
      </w:r>
      <w:r w:rsidRPr="002F7698">
        <w:rPr>
          <w:sz w:val="18"/>
          <w:szCs w:val="18"/>
          <w:lang w:val="pt-PT"/>
        </w:rPr>
        <w:t>MVNOs, da terminologia inglesa para Mobile Virtual Network Operators, sempre que quisermos referir um operador móvel virtual.</w:t>
      </w:r>
    </w:p>
  </w:footnote>
  <w:footnote w:id="16">
    <w:p w14:paraId="1CBE95BC" w14:textId="2331C828" w:rsidR="002870AE" w:rsidRPr="00C32669" w:rsidRDefault="002870AE" w:rsidP="00265BB5">
      <w:pPr>
        <w:rPr>
          <w:rFonts w:ascii="Times New Roman" w:hAnsi="Times New Roman" w:cs="Times New Roman"/>
          <w:sz w:val="18"/>
          <w:szCs w:val="18"/>
          <w:lang w:val="pt-PT"/>
        </w:rPr>
      </w:pPr>
      <w:r w:rsidRPr="000F1109">
        <w:rPr>
          <w:rStyle w:val="Refdenotaderodap"/>
          <w:sz w:val="18"/>
          <w:szCs w:val="18"/>
        </w:rPr>
        <w:footnoteRef/>
      </w:r>
      <w:r w:rsidRPr="003B4226">
        <w:rPr>
          <w:sz w:val="18"/>
          <w:szCs w:val="18"/>
          <w:lang w:val="pt-PT"/>
        </w:rPr>
        <w:t xml:space="preserve"> </w:t>
      </w:r>
      <w:r w:rsidRPr="00C32669">
        <w:rPr>
          <w:rFonts w:ascii="Times New Roman" w:hAnsi="Times New Roman" w:cs="Times New Roman"/>
          <w:sz w:val="18"/>
          <w:szCs w:val="18"/>
          <w:lang w:val="pt-PT"/>
        </w:rPr>
        <w:t>Por exemplo, na Áustria, Bélgica, Dinamarca, Holanda, Noruega, Espanha, Suécia, Suíça e Reino Unido existem MVNO e/ou prestadores de serviços com plataformas de valor acrescentado (</w:t>
      </w:r>
      <w:r w:rsidRPr="00C32669">
        <w:rPr>
          <w:rFonts w:ascii="Times New Roman" w:hAnsi="Times New Roman" w:cs="Times New Roman"/>
          <w:sz w:val="18"/>
          <w:szCs w:val="18"/>
          <w:lang w:val="pt-PT"/>
        </w:rPr>
        <w:t>Enhanced Service Providers), enquanto que na Finlândia, França, Alemanha, Irlanda e Luxemburgo existem também simples prestadores de serviços (revendedores). Em África o segmento de operadores móveis virtuais é menos desenvolvido, mas exemplos com maior ou menor sucesso podem ser encontrados por exemplo na África do Sul (Virgin Mobile, Lycamobile), no Quénia (Equitel), em Marrocos (Win), no Senegal (Promobile), na Tunisia (Watany, Lycamobile) e no Uganda (K2Telecom).</w:t>
      </w:r>
    </w:p>
    <w:p w14:paraId="56830C76" w14:textId="77777777" w:rsidR="002870AE" w:rsidRPr="00447635" w:rsidRDefault="002870AE" w:rsidP="00265BB5">
      <w:pPr>
        <w:pStyle w:val="Textodenotaderodap"/>
        <w:rPr>
          <w:lang w:val="pt-PT"/>
        </w:rPr>
      </w:pPr>
    </w:p>
  </w:footnote>
  <w:footnote w:id="17">
    <w:p w14:paraId="7C81E96C" w14:textId="77777777" w:rsidR="002870AE" w:rsidRPr="003B4226" w:rsidRDefault="002870AE" w:rsidP="00265BB5">
      <w:pPr>
        <w:pStyle w:val="Textodenotaderodap"/>
        <w:rPr>
          <w:sz w:val="18"/>
          <w:szCs w:val="18"/>
          <w:lang w:val="pt-PT"/>
        </w:rPr>
      </w:pPr>
      <w:r w:rsidRPr="00667FAA">
        <w:rPr>
          <w:rStyle w:val="Refdenotaderodap"/>
          <w:sz w:val="18"/>
          <w:szCs w:val="18"/>
        </w:rPr>
        <w:footnoteRef/>
      </w:r>
      <w:r w:rsidRPr="003B4226">
        <w:rPr>
          <w:sz w:val="18"/>
          <w:szCs w:val="18"/>
          <w:lang w:val="pt-PT"/>
        </w:rPr>
        <w:t xml:space="preserve"> “Partilha de Redes de Comunicações Eletrónicas”, Autoridade da Concorrência, </w:t>
      </w:r>
      <w:r w:rsidRPr="003B4226">
        <w:rPr>
          <w:sz w:val="18"/>
          <w:szCs w:val="18"/>
          <w:lang w:val="pt-PT"/>
        </w:rPr>
        <w:t>Dezembro de 2012</w:t>
      </w:r>
    </w:p>
  </w:footnote>
  <w:footnote w:id="18">
    <w:p w14:paraId="1EE4DD48" w14:textId="77777777" w:rsidR="002870AE" w:rsidRPr="00667FAA" w:rsidRDefault="002870AE" w:rsidP="00265BB5">
      <w:pPr>
        <w:pStyle w:val="Textodenotaderodap"/>
        <w:rPr>
          <w:sz w:val="18"/>
          <w:szCs w:val="18"/>
          <w:lang w:val="pt-PT"/>
        </w:rPr>
      </w:pPr>
      <w:r w:rsidRPr="00667FAA">
        <w:rPr>
          <w:rStyle w:val="Refdenotaderodap"/>
          <w:sz w:val="18"/>
          <w:szCs w:val="18"/>
        </w:rPr>
        <w:footnoteRef/>
      </w:r>
      <w:r w:rsidRPr="003B4226">
        <w:rPr>
          <w:sz w:val="18"/>
          <w:szCs w:val="18"/>
          <w:lang w:val="pt-PT"/>
        </w:rPr>
        <w:t xml:space="preserve"> </w:t>
      </w:r>
      <w:r w:rsidRPr="00667FAA">
        <w:rPr>
          <w:sz w:val="18"/>
          <w:szCs w:val="18"/>
          <w:lang w:val="pt-PT"/>
        </w:rPr>
        <w:t>Integrados significa que prestam serviços grossistas e de retalho, ou seja, correspondem ao modelo de integração vertical.</w:t>
      </w:r>
    </w:p>
  </w:footnote>
  <w:footnote w:id="19">
    <w:p w14:paraId="7D5C6027" w14:textId="77777777" w:rsidR="002870AE" w:rsidRPr="00CB297A" w:rsidRDefault="002870AE" w:rsidP="00273C81">
      <w:pPr>
        <w:pStyle w:val="Textodenotaderodap"/>
        <w:rPr>
          <w:sz w:val="18"/>
          <w:szCs w:val="18"/>
          <w:lang w:val="pt-PT"/>
        </w:rPr>
      </w:pPr>
      <w:r w:rsidRPr="00CB297A">
        <w:rPr>
          <w:rStyle w:val="Refdenotaderodap"/>
          <w:sz w:val="18"/>
          <w:szCs w:val="18"/>
        </w:rPr>
        <w:footnoteRef/>
      </w:r>
      <w:r w:rsidRPr="00CB297A">
        <w:rPr>
          <w:sz w:val="18"/>
          <w:szCs w:val="18"/>
          <w:lang w:val="pt-PT"/>
        </w:rPr>
        <w:t xml:space="preserve"> Por exemplo um operador poderia optar por levar o seu tráfego até à estação de aterragem e </w:t>
      </w:r>
      <w:r w:rsidRPr="00CB297A">
        <w:rPr>
          <w:sz w:val="18"/>
          <w:szCs w:val="18"/>
          <w:lang w:val="pt-PT"/>
        </w:rPr>
        <w:t>co-localizar aí os seus equipamentos, serviço que pagaria ao operador da estação de aterragem.</w:t>
      </w:r>
    </w:p>
  </w:footnote>
  <w:footnote w:id="20">
    <w:p w14:paraId="0155857B" w14:textId="7AF9ADC0" w:rsidR="002870AE" w:rsidRPr="00C32669" w:rsidRDefault="002870AE">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Barreiras elevadas e não transitórias á entrada no mercado e nenhuma tendência à concorrência por trás dessas barreiras.</w:t>
      </w:r>
    </w:p>
  </w:footnote>
  <w:footnote w:id="21">
    <w:p w14:paraId="28B90789" w14:textId="60A8C35A" w:rsidR="002870AE" w:rsidRPr="00C05612" w:rsidRDefault="002870AE">
      <w:pPr>
        <w:pStyle w:val="Textodenotaderodap"/>
        <w:rPr>
          <w:lang w:val="pt-PT"/>
        </w:rPr>
      </w:pPr>
      <w:r>
        <w:rPr>
          <w:rStyle w:val="Refdenotaderodap"/>
        </w:rPr>
        <w:footnoteRef/>
      </w:r>
      <w:r w:rsidRPr="00C05612">
        <w:rPr>
          <w:lang w:val="pt-PT"/>
        </w:rPr>
        <w:t xml:space="preserve"> </w:t>
      </w:r>
      <w:r>
        <w:rPr>
          <w:lang w:val="pt-PT"/>
        </w:rPr>
        <w:t>Caso se venha a decidir que o mercado de terminação de chamadas internacionais é um mercado separado aplicar-se-ia a mesma conclusão.</w:t>
      </w:r>
    </w:p>
  </w:footnote>
  <w:footnote w:id="22">
    <w:p w14:paraId="06FF938B" w14:textId="77777777" w:rsidR="002870AE" w:rsidRPr="00A21F6A" w:rsidRDefault="002870AE" w:rsidP="00200BF1">
      <w:pPr>
        <w:pStyle w:val="Textodenotaderodap"/>
        <w:rPr>
          <w:sz w:val="18"/>
          <w:szCs w:val="18"/>
          <w:lang w:val="pt-PT"/>
        </w:rPr>
      </w:pPr>
      <w:r w:rsidRPr="00A21F6A">
        <w:rPr>
          <w:rStyle w:val="Refdenotaderodap"/>
          <w:sz w:val="18"/>
          <w:szCs w:val="18"/>
        </w:rPr>
        <w:footnoteRef/>
      </w:r>
      <w:r w:rsidRPr="00A21F6A">
        <w:rPr>
          <w:sz w:val="18"/>
          <w:szCs w:val="18"/>
          <w:lang w:val="pt-PT"/>
        </w:rPr>
        <w:t xml:space="preserve"> Na realidade existe uma quarta: um aumento dos preços que compensa o menor número de unidades vendidas</w:t>
      </w:r>
    </w:p>
  </w:footnote>
  <w:footnote w:id="23">
    <w:p w14:paraId="15CBEB27" w14:textId="77777777" w:rsidR="002870AE" w:rsidRPr="00C32669" w:rsidRDefault="002870AE" w:rsidP="00200BF1">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Dados da população conforme no </w:t>
      </w:r>
      <w:r w:rsidRPr="00C32669">
        <w:rPr>
          <w:rFonts w:ascii="Times New Roman" w:hAnsi="Times New Roman" w:cs="Times New Roman"/>
          <w:sz w:val="18"/>
          <w:szCs w:val="18"/>
          <w:lang w:val="pt-PT"/>
        </w:rPr>
        <w:t>African Statistical Yearbook 2019.</w:t>
      </w:r>
    </w:p>
  </w:footnote>
  <w:footnote w:id="24">
    <w:p w14:paraId="4B08FEB9" w14:textId="77777777" w:rsidR="002870AE" w:rsidRPr="00C32669" w:rsidRDefault="002870AE" w:rsidP="00200BF1">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CEDEAO, Comunidade Económica dos Estados da África Ocidental.</w:t>
      </w:r>
    </w:p>
  </w:footnote>
  <w:footnote w:id="25">
    <w:p w14:paraId="3320EAF4" w14:textId="77777777" w:rsidR="002870AE" w:rsidRPr="00C32669" w:rsidRDefault="002870AE" w:rsidP="00200BF1">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Fonte: Departamento de </w:t>
      </w:r>
      <w:r w:rsidRPr="00C32669">
        <w:rPr>
          <w:rFonts w:ascii="Times New Roman" w:hAnsi="Times New Roman" w:cs="Times New Roman"/>
          <w:sz w:val="18"/>
          <w:szCs w:val="18"/>
          <w:lang w:val="pt-PT"/>
        </w:rPr>
        <w:t>Estatistica do Banco Africano de Desenvolvimento com base em dados da União Internacional de Telecomunicações, conforme no African Statistical Yearbook 2019, página 105.</w:t>
      </w:r>
    </w:p>
  </w:footnote>
  <w:footnote w:id="26">
    <w:p w14:paraId="10E27420" w14:textId="77777777" w:rsidR="002870AE" w:rsidRPr="00C32669" w:rsidRDefault="002870AE" w:rsidP="00200BF1">
      <w:pPr>
        <w:pStyle w:val="Textodenotaderodap"/>
        <w:rPr>
          <w:rFonts w:ascii="Times New Roman" w:hAnsi="Times New Roman" w:cs="Times New Roman"/>
          <w:sz w:val="18"/>
          <w:szCs w:val="18"/>
          <w:lang w:val="pt-PT"/>
        </w:rPr>
      </w:pPr>
      <w:r w:rsidRPr="00C32669">
        <w:rPr>
          <w:rStyle w:val="Refdenotaderodap"/>
          <w:rFonts w:ascii="Times New Roman" w:hAnsi="Times New Roman"/>
          <w:sz w:val="18"/>
          <w:szCs w:val="18"/>
        </w:rPr>
        <w:footnoteRef/>
      </w:r>
      <w:r w:rsidRPr="00C32669">
        <w:rPr>
          <w:rFonts w:ascii="Times New Roman" w:hAnsi="Times New Roman" w:cs="Times New Roman"/>
          <w:sz w:val="18"/>
          <w:szCs w:val="18"/>
          <w:lang w:val="pt-PT"/>
        </w:rPr>
        <w:t xml:space="preserve"> Produto interno bruto/capita em paridade do poder de compra (PPP), Fundo Monetário Internacional.</w:t>
      </w:r>
    </w:p>
  </w:footnote>
  <w:footnote w:id="27">
    <w:p w14:paraId="5A8DAF2A" w14:textId="77777777" w:rsidR="002870AE" w:rsidRPr="00002B4B" w:rsidRDefault="002870AE" w:rsidP="00200BF1">
      <w:pPr>
        <w:pStyle w:val="Textodenotaderodap"/>
        <w:rPr>
          <w:sz w:val="18"/>
          <w:szCs w:val="18"/>
          <w:lang w:val="pt-PT"/>
        </w:rPr>
      </w:pPr>
      <w:r w:rsidRPr="00002B4B">
        <w:rPr>
          <w:rStyle w:val="Refdenotaderodap"/>
          <w:sz w:val="18"/>
          <w:szCs w:val="18"/>
        </w:rPr>
        <w:footnoteRef/>
      </w:r>
      <w:r w:rsidRPr="00002B4B">
        <w:rPr>
          <w:sz w:val="18"/>
          <w:szCs w:val="18"/>
          <w:lang w:val="pt-PT"/>
        </w:rPr>
        <w:t xml:space="preserve"> Contudo este valor médio inclui também receitas de serviços grossistas e de venda de equipamentos</w:t>
      </w:r>
      <w:r>
        <w:rPr>
          <w:sz w:val="18"/>
          <w:szCs w:val="18"/>
          <w:lang w:val="pt-PT"/>
        </w:rPr>
        <w:t>.</w:t>
      </w:r>
    </w:p>
  </w:footnote>
  <w:footnote w:id="28">
    <w:p w14:paraId="375C2CA3" w14:textId="77777777" w:rsidR="002870AE" w:rsidRPr="005C5146" w:rsidRDefault="002870AE" w:rsidP="00200BF1">
      <w:pPr>
        <w:pStyle w:val="Textodenotaderodap"/>
        <w:rPr>
          <w:sz w:val="18"/>
          <w:szCs w:val="18"/>
          <w:lang w:val="pt-PT"/>
        </w:rPr>
      </w:pPr>
      <w:r w:rsidRPr="005C5146">
        <w:rPr>
          <w:rStyle w:val="Refdenotaderodap"/>
          <w:sz w:val="18"/>
          <w:szCs w:val="18"/>
        </w:rPr>
        <w:footnoteRef/>
      </w:r>
      <w:r w:rsidRPr="005C5146">
        <w:rPr>
          <w:sz w:val="18"/>
          <w:szCs w:val="18"/>
          <w:lang w:val="pt-PT"/>
        </w:rPr>
        <w:t xml:space="preserve"> Entende-se que, conforme estipula a Lei, a Autoridade deve realizar análises periódicas cada 2 ou 3 anos, isto sem prejuízo de o fazer antes se assim o entender.</w:t>
      </w:r>
    </w:p>
  </w:footnote>
  <w:footnote w:id="29">
    <w:p w14:paraId="632E3E8E" w14:textId="77777777" w:rsidR="002870AE" w:rsidRPr="00443EAE" w:rsidRDefault="002870AE" w:rsidP="00FE6382">
      <w:pPr>
        <w:pStyle w:val="Textodenotaderodap"/>
        <w:spacing w:before="120" w:after="120"/>
        <w:rPr>
          <w:rFonts w:cs="Tahoma"/>
          <w:sz w:val="18"/>
          <w:szCs w:val="18"/>
        </w:rPr>
      </w:pPr>
      <w:r w:rsidRPr="00443EAE">
        <w:rPr>
          <w:rStyle w:val="Refdenotaderodap"/>
          <w:rFonts w:cs="Tahoma"/>
          <w:sz w:val="18"/>
          <w:szCs w:val="18"/>
        </w:rPr>
        <w:footnoteRef/>
      </w:r>
      <w:r w:rsidRPr="00443EAE">
        <w:rPr>
          <w:rFonts w:cs="Tahoma"/>
          <w:sz w:val="18"/>
          <w:szCs w:val="18"/>
        </w:rPr>
        <w:t>“ERG Common position on the approach to appropriate remedies in the new regulatory framework”</w:t>
      </w:r>
      <w:r>
        <w:rPr>
          <w:rFonts w:cs="Tahoma"/>
          <w:sz w:val="18"/>
          <w:szCs w:val="18"/>
        </w:rPr>
        <w:t xml:space="preserve">, </w:t>
      </w:r>
      <w:r w:rsidRPr="00443EAE">
        <w:rPr>
          <w:rFonts w:cs="Tahoma"/>
          <w:sz w:val="18"/>
          <w:szCs w:val="18"/>
        </w:rPr>
        <w:t>ERG (2004)</w:t>
      </w:r>
    </w:p>
  </w:footnote>
  <w:footnote w:id="30">
    <w:p w14:paraId="0022B358" w14:textId="77777777" w:rsidR="002870AE" w:rsidRPr="005B243A" w:rsidRDefault="002870AE" w:rsidP="00FE6382">
      <w:pPr>
        <w:pStyle w:val="Textodenotaderodap"/>
        <w:spacing w:before="120" w:after="120"/>
        <w:rPr>
          <w:rFonts w:cs="Tahoma"/>
          <w:sz w:val="18"/>
          <w:szCs w:val="18"/>
          <w:lang w:val="pt-PT"/>
        </w:rPr>
      </w:pPr>
      <w:r w:rsidRPr="00443EAE">
        <w:rPr>
          <w:rStyle w:val="Refdenotaderodap"/>
          <w:rFonts w:cs="Tahoma"/>
          <w:sz w:val="18"/>
          <w:szCs w:val="18"/>
        </w:rPr>
        <w:footnoteRef/>
      </w:r>
      <w:r w:rsidRPr="005B243A">
        <w:rPr>
          <w:rFonts w:cs="Tahoma"/>
          <w:sz w:val="18"/>
          <w:szCs w:val="18"/>
          <w:lang w:val="pt-PT"/>
        </w:rPr>
        <w:t xml:space="preserve"> O ERG era um órgão consultivo, que complementa o conjunto de diretrizes do novo quadro regulador europeu nos termos dos considerandos 36 e 37 da Diretiva-Quadro, com o objetivo de fortalecer a cooperação entre as autoridades reguladoras dos Estados membros e, em particular, organizar a consulta. processo, de acordo com o artigo 7.º da Diretiva-Quadro, previa projetos de decisão específicos das autoridades reguladoras nacionais. Mais tarde, o ERG foi renomeado como BEREC, O Órgão de Reguladores Europeus das Comunicações Eletrônicas, com um papel aprimorado no novo quadro regulamentar e foi estabelecido pelo Regulamento (CE) n.º 1211/2009 do Parlamento Europeu e do Conselho, de 25 de novembro de 2009 O ORECE é constituído por um Conselho de Reguladores composto por chefes de 28 autoridades reguladoras nacionais.</w:t>
      </w:r>
    </w:p>
  </w:footnote>
  <w:footnote w:id="31">
    <w:p w14:paraId="4E46DDB5" w14:textId="77777777" w:rsidR="002870AE" w:rsidRPr="00D361A1" w:rsidRDefault="002870AE" w:rsidP="00FE6382">
      <w:pPr>
        <w:pStyle w:val="Textodenotaderodap"/>
        <w:spacing w:before="120" w:after="120"/>
        <w:rPr>
          <w:rFonts w:ascii="Times New Roman" w:hAnsi="Times New Roman" w:cs="Times New Roman"/>
          <w:sz w:val="18"/>
          <w:szCs w:val="18"/>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rPr>
        <w:t xml:space="preserve"> “Consultation Document on a Draft joint ERG/EC approach on appropriate remedies in the new regulatory framework, as of 21/11/2003”, </w:t>
      </w:r>
      <w:r w:rsidRPr="00D361A1">
        <w:rPr>
          <w:rFonts w:ascii="Times New Roman" w:hAnsi="Times New Roman" w:cs="Times New Roman"/>
          <w:sz w:val="18"/>
          <w:szCs w:val="18"/>
        </w:rPr>
        <w:t xml:space="preserve">disponível em: </w:t>
      </w:r>
      <w:hyperlink r:id="rId1" w:history="1">
        <w:r w:rsidRPr="00D361A1">
          <w:rPr>
            <w:rStyle w:val="Hiperligao"/>
            <w:rFonts w:ascii="Times New Roman" w:hAnsi="Times New Roman"/>
            <w:sz w:val="18"/>
            <w:szCs w:val="18"/>
          </w:rPr>
          <w:t>http://www.anacom.pt/streaming/erg0330.pdf?categoryId=85233&amp;contentId=144356&amp;field=ATTACHED_FILE</w:t>
        </w:r>
      </w:hyperlink>
      <w:r w:rsidRPr="00D361A1">
        <w:rPr>
          <w:rFonts w:ascii="Times New Roman" w:hAnsi="Times New Roman" w:cs="Times New Roman"/>
          <w:sz w:val="18"/>
          <w:szCs w:val="18"/>
        </w:rPr>
        <w:t xml:space="preserve"> </w:t>
      </w:r>
    </w:p>
  </w:footnote>
  <w:footnote w:id="32">
    <w:p w14:paraId="0FB43F13" w14:textId="77777777" w:rsidR="002870AE" w:rsidRPr="00D361A1" w:rsidRDefault="002870AE" w:rsidP="00FE6382">
      <w:pPr>
        <w:pStyle w:val="Textodenotaderodap"/>
        <w:rPr>
          <w:rFonts w:ascii="Times New Roman" w:hAnsi="Times New Roman" w:cs="Times New Roman"/>
          <w:sz w:val="18"/>
          <w:szCs w:val="18"/>
          <w:lang w:val="pt-PT"/>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lang w:val="pt-PT"/>
        </w:rPr>
        <w:t xml:space="preserve"> A lista de problemas de concorrência foi apenas considerada um guia e não impedia que uma autoridade reguladora nacional pudesse identificar outros problemas (potenciais) de concorrência</w:t>
      </w:r>
    </w:p>
  </w:footnote>
  <w:footnote w:id="33">
    <w:p w14:paraId="10E4875C" w14:textId="77777777" w:rsidR="002870AE" w:rsidRPr="00D361A1" w:rsidRDefault="002870AE" w:rsidP="00FE6382">
      <w:pPr>
        <w:pStyle w:val="Textodenotaderodap"/>
        <w:rPr>
          <w:rFonts w:ascii="Times New Roman" w:hAnsi="Times New Roman" w:cs="Times New Roman"/>
          <w:sz w:val="18"/>
          <w:szCs w:val="18"/>
          <w:lang w:val="pt-PT"/>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lang w:val="pt-PT"/>
        </w:rPr>
        <w:t xml:space="preserve"> Documento de consulta sobre um projeto de abordagem conjunta do ERG / CE sobre soluções apropriadas no novo quadro regulamentar, a partir de 21/11/2003, disponível em http://www.anacom.pt/streaming/erg0330.pdf?categoryId=85233&amp;contentId=144356&amp;field = ATTACHED_FILE</w:t>
      </w:r>
    </w:p>
    <w:p w14:paraId="2A298487" w14:textId="77777777" w:rsidR="002870AE" w:rsidRPr="00D361A1" w:rsidRDefault="002870AE" w:rsidP="00FE6382">
      <w:pPr>
        <w:pStyle w:val="Textodenotaderodap"/>
        <w:rPr>
          <w:rFonts w:ascii="Times New Roman" w:hAnsi="Times New Roman" w:cs="Times New Roman"/>
          <w:sz w:val="18"/>
          <w:szCs w:val="18"/>
          <w:lang w:val="pt-PT"/>
        </w:rPr>
      </w:pPr>
    </w:p>
  </w:footnote>
  <w:footnote w:id="34">
    <w:p w14:paraId="15CDFA0D" w14:textId="77777777" w:rsidR="002870AE" w:rsidRPr="00D361A1" w:rsidRDefault="002870AE" w:rsidP="00FE6382">
      <w:pPr>
        <w:pStyle w:val="Textodenotaderodap"/>
        <w:rPr>
          <w:rFonts w:ascii="Times New Roman" w:hAnsi="Times New Roman" w:cs="Times New Roman"/>
          <w:sz w:val="18"/>
          <w:szCs w:val="18"/>
          <w:lang w:val="pt-PT"/>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lang w:val="pt-PT"/>
        </w:rPr>
        <w:t xml:space="preserve"> Cada uma das obrigações gerais estabelecidas nas Diretivas de Acesso e Serviço Universal (transparência, não discriminação, separação de contas, etc.) pode ser usada e normalmente é em conjunto com outras para mitigar um determinado problema de concorrência. </w:t>
      </w:r>
    </w:p>
  </w:footnote>
  <w:footnote w:id="35">
    <w:p w14:paraId="19FE7162" w14:textId="77777777" w:rsidR="002870AE" w:rsidRPr="00D361A1" w:rsidRDefault="002870AE" w:rsidP="00FE6382">
      <w:pPr>
        <w:pStyle w:val="Textodenotaderodap"/>
        <w:spacing w:before="120" w:after="120"/>
        <w:rPr>
          <w:rFonts w:ascii="Times New Roman" w:hAnsi="Times New Roman" w:cs="Times New Roman"/>
          <w:sz w:val="18"/>
          <w:szCs w:val="18"/>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rPr>
        <w:t xml:space="preserve"> European Commission, Explanatory Note: Accompanying document to the Commission Recommendation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 2007.</w:t>
      </w:r>
    </w:p>
    <w:p w14:paraId="515079F8" w14:textId="77777777" w:rsidR="002870AE" w:rsidRPr="00D361A1" w:rsidRDefault="002870AE" w:rsidP="00FE6382">
      <w:pPr>
        <w:pStyle w:val="Textodenotaderodap"/>
        <w:rPr>
          <w:rFonts w:ascii="Times New Roman" w:hAnsi="Times New Roman" w:cs="Times New Roman"/>
        </w:rPr>
      </w:pPr>
    </w:p>
  </w:footnote>
  <w:footnote w:id="36">
    <w:p w14:paraId="1763EFDF" w14:textId="77777777" w:rsidR="002870AE" w:rsidRPr="00D361A1" w:rsidRDefault="002870AE" w:rsidP="00FE6382">
      <w:pPr>
        <w:pStyle w:val="Textodenotaderodap"/>
        <w:rPr>
          <w:rFonts w:ascii="Times New Roman" w:hAnsi="Times New Roman" w:cs="Times New Roman"/>
          <w:sz w:val="18"/>
          <w:szCs w:val="18"/>
          <w:lang w:val="pt-PT"/>
        </w:rPr>
      </w:pPr>
      <w:r w:rsidRPr="00D361A1">
        <w:rPr>
          <w:rStyle w:val="Refdenotaderodap"/>
          <w:rFonts w:ascii="Times New Roman" w:hAnsi="Times New Roman"/>
          <w:sz w:val="18"/>
          <w:szCs w:val="18"/>
        </w:rPr>
        <w:footnoteRef/>
      </w:r>
      <w:r w:rsidRPr="00D361A1">
        <w:rPr>
          <w:rFonts w:ascii="Times New Roman" w:hAnsi="Times New Roman" w:cs="Times New Roman"/>
          <w:sz w:val="18"/>
          <w:szCs w:val="18"/>
          <w:lang w:val="pt-PT"/>
        </w:rPr>
        <w:t xml:space="preserve"> “</w:t>
      </w:r>
      <w:r w:rsidRPr="00D361A1">
        <w:rPr>
          <w:rFonts w:ascii="Times New Roman" w:hAnsi="Times New Roman" w:cs="Times New Roman"/>
          <w:sz w:val="18"/>
          <w:szCs w:val="18"/>
          <w:lang w:val="pt-PT"/>
        </w:rPr>
        <w:t xml:space="preserve">Competition policies and small economies”, OCDE, 2003, disponível em: </w:t>
      </w:r>
      <w:r w:rsidR="000A51F8">
        <w:fldChar w:fldCharType="begin"/>
      </w:r>
      <w:r w:rsidR="000A51F8" w:rsidRPr="000A51F8">
        <w:rPr>
          <w:lang w:val="pt-PT"/>
        </w:rPr>
        <w:instrText xml:space="preserve"> HYPERLINK "http://www.oecd.org/daf/competition/prosecutionandlawenforcement/2486724.pdf" </w:instrText>
      </w:r>
      <w:r w:rsidR="000A51F8">
        <w:fldChar w:fldCharType="separate"/>
      </w:r>
      <w:r w:rsidRPr="00D361A1">
        <w:rPr>
          <w:rStyle w:val="Hiperligao"/>
          <w:rFonts w:ascii="Times New Roman" w:hAnsi="Times New Roman"/>
          <w:sz w:val="18"/>
          <w:szCs w:val="18"/>
          <w:lang w:val="pt-PT"/>
        </w:rPr>
        <w:t>http://www.oecd.org/daf/competition/prosecutionandlawenforcement/2486724.pdf</w:t>
      </w:r>
      <w:r w:rsidR="000A51F8">
        <w:rPr>
          <w:rStyle w:val="Hiperligao"/>
          <w:rFonts w:ascii="Times New Roman" w:hAnsi="Times New Roman"/>
          <w:sz w:val="18"/>
          <w:szCs w:val="18"/>
          <w:lang w:val="pt-PT"/>
        </w:rPr>
        <w:fldChar w:fldCharType="end"/>
      </w:r>
    </w:p>
    <w:p w14:paraId="6FF5EA24" w14:textId="77777777" w:rsidR="002870AE" w:rsidRPr="002E1FD4" w:rsidRDefault="002870AE" w:rsidP="00FE6382">
      <w:pPr>
        <w:pStyle w:val="Textodenotaderodap"/>
        <w:rPr>
          <w:lang w:val="pt-PT"/>
        </w:rPr>
      </w:pPr>
    </w:p>
  </w:footnote>
  <w:footnote w:id="37">
    <w:p w14:paraId="482466C1" w14:textId="464D70C2" w:rsidR="002870AE" w:rsidRPr="006C7F45" w:rsidRDefault="002870AE" w:rsidP="00FE6382">
      <w:pPr>
        <w:pStyle w:val="Textodenotaderodap"/>
        <w:rPr>
          <w:sz w:val="18"/>
          <w:szCs w:val="18"/>
          <w:lang w:val="pt-PT"/>
        </w:rPr>
      </w:pPr>
      <w:r w:rsidRPr="006C7F45">
        <w:rPr>
          <w:rStyle w:val="Refdenotaderodap"/>
          <w:sz w:val="18"/>
          <w:szCs w:val="18"/>
        </w:rPr>
        <w:footnoteRef/>
      </w:r>
      <w:r w:rsidRPr="006C7F45">
        <w:rPr>
          <w:sz w:val="18"/>
          <w:szCs w:val="18"/>
          <w:lang w:val="pt-PT"/>
        </w:rPr>
        <w:t xml:space="preserve"> </w:t>
      </w:r>
      <w:r>
        <w:rPr>
          <w:sz w:val="18"/>
          <w:szCs w:val="18"/>
          <w:lang w:val="pt-PT"/>
        </w:rPr>
        <w:t>A ARN tem presente</w:t>
      </w:r>
      <w:r w:rsidRPr="006C7F45">
        <w:rPr>
          <w:sz w:val="18"/>
          <w:szCs w:val="18"/>
          <w:lang w:val="pt-PT"/>
        </w:rPr>
        <w:t xml:space="preserve"> que as obrigações nos mercados grossistas nem sempre possam ser eficazes, de modo que talvez seja necessário por vezes dar preferência a intervenções ao nível retalhista. Por outro lado, se ações efetivas forem tomadas a montante, pode não haver necessidade de regulação dos mercados a jusante, por exemplo, se as barreiras à entrada forem suficientemente reduzidas para tornar os mercados prospectivamente competitivos.</w:t>
      </w:r>
    </w:p>
  </w:footnote>
  <w:footnote w:id="38">
    <w:p w14:paraId="093DD02F" w14:textId="78E3AC74" w:rsidR="002870AE" w:rsidRPr="008F0402" w:rsidRDefault="002870AE">
      <w:pPr>
        <w:pStyle w:val="Textodenotaderodap"/>
        <w:rPr>
          <w:rFonts w:ascii="Times New Roman" w:hAnsi="Times New Roman" w:cs="Times New Roman"/>
          <w:lang w:val="pt-PT"/>
        </w:rPr>
      </w:pPr>
      <w:r w:rsidRPr="008F0402">
        <w:rPr>
          <w:rStyle w:val="Refdenotaderodap"/>
          <w:rFonts w:ascii="Times New Roman" w:hAnsi="Times New Roman"/>
        </w:rPr>
        <w:footnoteRef/>
      </w:r>
      <w:r w:rsidRPr="008F0402">
        <w:rPr>
          <w:rFonts w:ascii="Times New Roman" w:hAnsi="Times New Roman" w:cs="Times New Roman"/>
          <w:lang w:val="pt-PT"/>
        </w:rPr>
        <w:t xml:space="preserve"> Valor confidencial</w:t>
      </w:r>
    </w:p>
  </w:footnote>
  <w:footnote w:id="39">
    <w:p w14:paraId="3786E7BC" w14:textId="77777777" w:rsidR="002870AE" w:rsidRPr="008F0402" w:rsidRDefault="002870AE" w:rsidP="00FE6382">
      <w:pPr>
        <w:pStyle w:val="Textodenotaderodap"/>
        <w:rPr>
          <w:rFonts w:ascii="Times New Roman" w:hAnsi="Times New Roman" w:cs="Times New Roman"/>
          <w:sz w:val="18"/>
          <w:szCs w:val="18"/>
          <w:lang w:val="pt-PT"/>
        </w:rPr>
      </w:pPr>
      <w:r w:rsidRPr="008F0402">
        <w:rPr>
          <w:rStyle w:val="Refdenotaderodap"/>
          <w:rFonts w:ascii="Times New Roman" w:hAnsi="Times New Roman"/>
          <w:sz w:val="18"/>
          <w:szCs w:val="18"/>
        </w:rPr>
        <w:footnoteRef/>
      </w:r>
      <w:r w:rsidRPr="008F0402">
        <w:rPr>
          <w:rFonts w:ascii="Times New Roman" w:hAnsi="Times New Roman" w:cs="Times New Roman"/>
          <w:sz w:val="18"/>
          <w:szCs w:val="18"/>
          <w:lang w:val="pt-PT"/>
        </w:rPr>
        <w:t xml:space="preserve"> Havendo a necessidade de impor preços de terminação orientados para os custos, e enquanto não existir um modelo de custeio implementado pelo regulador, é comum estabelecer os preços máximos de terminação com base num </w:t>
      </w:r>
      <w:r w:rsidRPr="008F0402">
        <w:rPr>
          <w:rFonts w:ascii="Times New Roman" w:hAnsi="Times New Roman" w:cs="Times New Roman"/>
          <w:sz w:val="18"/>
          <w:szCs w:val="18"/>
          <w:lang w:val="pt-PT"/>
        </w:rPr>
        <w:t>benchmark internacional.</w:t>
      </w:r>
    </w:p>
  </w:footnote>
  <w:footnote w:id="40">
    <w:p w14:paraId="4D74E72C" w14:textId="77777777" w:rsidR="002870AE" w:rsidRPr="008F0402" w:rsidRDefault="002870AE" w:rsidP="00FE6382">
      <w:pPr>
        <w:autoSpaceDE w:val="0"/>
        <w:autoSpaceDN w:val="0"/>
        <w:adjustRightInd w:val="0"/>
        <w:jc w:val="both"/>
        <w:rPr>
          <w:rFonts w:ascii="Times New Roman" w:hAnsi="Times New Roman" w:cs="Times New Roman"/>
          <w:color w:val="000000"/>
          <w:sz w:val="18"/>
          <w:szCs w:val="18"/>
          <w:lang w:val="pt-PT"/>
        </w:rPr>
      </w:pPr>
      <w:r w:rsidRPr="008F0402">
        <w:rPr>
          <w:rStyle w:val="Refdenotaderodap"/>
          <w:rFonts w:ascii="Times New Roman" w:hAnsi="Times New Roman"/>
          <w:sz w:val="18"/>
          <w:szCs w:val="18"/>
        </w:rPr>
        <w:footnoteRef/>
      </w:r>
      <w:r w:rsidRPr="008F0402">
        <w:rPr>
          <w:rFonts w:ascii="Times New Roman" w:hAnsi="Times New Roman" w:cs="Times New Roman"/>
          <w:sz w:val="18"/>
          <w:szCs w:val="18"/>
          <w:lang w:val="pt-PT"/>
        </w:rPr>
        <w:t xml:space="preserve"> Num mercado com dois operadores o de menor dimensão </w:t>
      </w:r>
      <w:r w:rsidRPr="008F0402">
        <w:rPr>
          <w:rFonts w:ascii="Times New Roman" w:hAnsi="Times New Roman" w:cs="Times New Roman"/>
          <w:color w:val="000000"/>
          <w:sz w:val="18"/>
          <w:szCs w:val="18"/>
          <w:lang w:val="pt-PT"/>
        </w:rPr>
        <w:t xml:space="preserve">provavelmente seguiria essa estratégia, como forma de evitar a saída dos seus clientes para o operador de maior dimensão, sendo que, no entanto, o preço de terminação funciona como um limite mínimo relativamente ao seu preço de retalho </w:t>
      </w:r>
      <w:r w:rsidRPr="008F0402">
        <w:rPr>
          <w:rFonts w:ascii="Times New Roman" w:hAnsi="Times New Roman" w:cs="Times New Roman"/>
          <w:i/>
          <w:iCs/>
          <w:color w:val="000000"/>
          <w:sz w:val="18"/>
          <w:szCs w:val="18"/>
          <w:lang w:val="pt-PT"/>
        </w:rPr>
        <w:t>off-net</w:t>
      </w:r>
      <w:r w:rsidRPr="008F0402">
        <w:rPr>
          <w:rFonts w:ascii="Times New Roman" w:hAnsi="Times New Roman" w:cs="Times New Roman"/>
          <w:color w:val="000000"/>
          <w:sz w:val="18"/>
          <w:szCs w:val="18"/>
          <w:lang w:val="pt-PT"/>
        </w:rPr>
        <w:t xml:space="preserve">. O preço de terminação móvel-móvel elevado pode, assim, constituir uma barreira a reduções de preços de retalho nas chamadas </w:t>
      </w:r>
      <w:r w:rsidRPr="008F0402">
        <w:rPr>
          <w:rFonts w:ascii="Times New Roman" w:hAnsi="Times New Roman" w:cs="Times New Roman"/>
          <w:i/>
          <w:iCs/>
          <w:color w:val="000000"/>
          <w:sz w:val="18"/>
          <w:szCs w:val="18"/>
          <w:lang w:val="pt-PT"/>
        </w:rPr>
        <w:t>off-net</w:t>
      </w:r>
      <w:r w:rsidRPr="008F0402">
        <w:rPr>
          <w:rFonts w:ascii="Times New Roman" w:hAnsi="Times New Roman" w:cs="Times New Roman"/>
          <w:color w:val="000000"/>
          <w:sz w:val="18"/>
          <w:szCs w:val="18"/>
          <w:lang w:val="pt-PT"/>
        </w:rPr>
        <w:t xml:space="preserve">. </w:t>
      </w:r>
    </w:p>
    <w:p w14:paraId="18D54E97" w14:textId="77777777" w:rsidR="002870AE" w:rsidRPr="00096661" w:rsidRDefault="002870AE" w:rsidP="00FE6382">
      <w:pPr>
        <w:pStyle w:val="Textodenotaderodap"/>
        <w:rPr>
          <w:lang w:val="pt-PT"/>
        </w:rPr>
      </w:pPr>
    </w:p>
  </w:footnote>
  <w:footnote w:id="41">
    <w:p w14:paraId="4A34B4E5" w14:textId="77777777" w:rsidR="002870AE" w:rsidRPr="008F0402" w:rsidRDefault="002870AE" w:rsidP="00FE6382">
      <w:pPr>
        <w:pStyle w:val="Default"/>
        <w:spacing w:before="120" w:after="120" w:line="276" w:lineRule="auto"/>
        <w:jc w:val="both"/>
        <w:rPr>
          <w:rFonts w:ascii="Times New Roman" w:hAnsi="Times New Roman" w:cs="Times New Roman"/>
          <w:sz w:val="18"/>
          <w:szCs w:val="18"/>
          <w:lang w:val="pt-PT"/>
        </w:rPr>
      </w:pPr>
      <w:r w:rsidRPr="008F0402">
        <w:rPr>
          <w:rStyle w:val="Refdenotaderodap"/>
          <w:rFonts w:ascii="Times New Roman" w:hAnsi="Times New Roman"/>
          <w:sz w:val="18"/>
          <w:szCs w:val="18"/>
        </w:rPr>
        <w:footnoteRef/>
      </w:r>
      <w:r w:rsidRPr="008F0402">
        <w:rPr>
          <w:rFonts w:ascii="Times New Roman" w:hAnsi="Times New Roman" w:cs="Times New Roman"/>
          <w:sz w:val="18"/>
          <w:szCs w:val="18"/>
          <w:lang w:val="pt-PT"/>
        </w:rPr>
        <w:t xml:space="preserve"> A Posição Comum do ERG sobre simetria nas taxas de terminação fixa e móvel, publicada em 28.02.2008 (“</w:t>
      </w:r>
      <w:r w:rsidRPr="008F0402">
        <w:rPr>
          <w:rFonts w:ascii="Times New Roman" w:hAnsi="Times New Roman" w:cs="Times New Roman"/>
          <w:i/>
          <w:iCs/>
          <w:sz w:val="18"/>
          <w:szCs w:val="18"/>
          <w:lang w:val="pt-PT"/>
        </w:rPr>
        <w:t>Posição Comum ERG</w:t>
      </w:r>
      <w:r w:rsidRPr="008F0402">
        <w:rPr>
          <w:rFonts w:ascii="Times New Roman" w:hAnsi="Times New Roman" w:cs="Times New Roman"/>
          <w:sz w:val="18"/>
          <w:szCs w:val="18"/>
          <w:lang w:val="pt-PT"/>
        </w:rPr>
        <w:t xml:space="preserve">”), estabeleceu o enquadramento que as autoridades reguladoras nacionais deviam seguir no estabelecimento de preços de terminação. Embora defendendo a simetria como a solução recomendada, a </w:t>
      </w:r>
      <w:r w:rsidRPr="008F0402">
        <w:rPr>
          <w:rFonts w:ascii="Times New Roman" w:hAnsi="Times New Roman" w:cs="Times New Roman"/>
          <w:i/>
          <w:iCs/>
          <w:sz w:val="18"/>
          <w:szCs w:val="18"/>
          <w:lang w:val="pt-PT"/>
        </w:rPr>
        <w:t xml:space="preserve">Posição Comum ERG </w:t>
      </w:r>
      <w:r w:rsidRPr="008F0402">
        <w:rPr>
          <w:rFonts w:ascii="Times New Roman" w:hAnsi="Times New Roman" w:cs="Times New Roman"/>
          <w:sz w:val="18"/>
          <w:szCs w:val="18"/>
          <w:lang w:val="pt-PT"/>
        </w:rPr>
        <w:t xml:space="preserve">reconheceu que os preços de terminação assimétricos, ao encorajarem a entrada, contribuem potencialmente para a eficiência dinâmica e favorecem a concorrência, dependendo das condições de concorrência existentes no mercado.  Nesse documento, o ERG afirma que existem 3 possíveis exceções que podem ser consideradas justificativas para a imposição de preços assimétricos durante um período transitório. Para além das duas justificações tradicionalmente aceites pela Comissão Europeia – a existência de diferenças de custos exógenas e objetivas, e a entrada significativamente tardia de um novo operador – a Posição Comum do ERG acrescenta uma terceira </w:t>
      </w:r>
      <w:r w:rsidRPr="008F0402">
        <w:rPr>
          <w:rFonts w:ascii="Times New Roman" w:hAnsi="Times New Roman" w:cs="Times New Roman"/>
          <w:sz w:val="18"/>
          <w:szCs w:val="18"/>
          <w:lang w:val="pt-PT"/>
        </w:rPr>
        <w:t>excepção relacionada com a existência de distorções competitivas enquanto os preços não estão alinhados com os custos. Refere o ERG que, em tal situação, “</w:t>
      </w:r>
      <w:r w:rsidRPr="008F0402">
        <w:rPr>
          <w:rFonts w:ascii="Times New Roman" w:hAnsi="Times New Roman" w:cs="Times New Roman"/>
          <w:i/>
          <w:iCs/>
          <w:sz w:val="18"/>
          <w:szCs w:val="18"/>
          <w:lang w:val="pt-PT"/>
        </w:rPr>
        <w:t>os operadores grandes beneficiam, não apenas de maiores economias de escala e efeitos de rede, como ainda recebem um pagamento líquido dos seus concorrentes através da interligação</w:t>
      </w:r>
      <w:r w:rsidRPr="008F0402">
        <w:rPr>
          <w:rFonts w:ascii="Times New Roman" w:hAnsi="Times New Roman" w:cs="Times New Roman"/>
          <w:sz w:val="18"/>
          <w:szCs w:val="18"/>
          <w:lang w:val="pt-PT"/>
        </w:rPr>
        <w:t xml:space="preserve">”, prejudicando os operadores pequenos. A Posição Comum ERG refere que “pode ser aplicada uma assimetria transitória a favor do operador de menor dimensão, quando se verifiquem as seguintes circunstâncias cumulativas: </w:t>
      </w:r>
    </w:p>
    <w:p w14:paraId="630C9E50" w14:textId="77777777" w:rsidR="002870AE" w:rsidRPr="008F0402" w:rsidRDefault="002870AE" w:rsidP="008F180B">
      <w:pPr>
        <w:pStyle w:val="PargrafodaLista"/>
        <w:numPr>
          <w:ilvl w:val="0"/>
          <w:numId w:val="58"/>
        </w:numPr>
        <w:autoSpaceDE w:val="0"/>
        <w:autoSpaceDN w:val="0"/>
        <w:adjustRightInd w:val="0"/>
        <w:jc w:val="both"/>
        <w:rPr>
          <w:rFonts w:ascii="Times New Roman" w:hAnsi="Times New Roman" w:cs="Times New Roman"/>
          <w:color w:val="000000"/>
          <w:sz w:val="18"/>
          <w:szCs w:val="18"/>
          <w:lang w:val="pt-PT"/>
        </w:rPr>
      </w:pPr>
      <w:r w:rsidRPr="008F0402">
        <w:rPr>
          <w:rFonts w:ascii="Times New Roman" w:hAnsi="Times New Roman" w:cs="Times New Roman"/>
          <w:color w:val="000000"/>
          <w:sz w:val="18"/>
          <w:szCs w:val="18"/>
          <w:lang w:val="pt-PT"/>
        </w:rPr>
        <w:t xml:space="preserve">Existem elevados desequilíbrios de tráfego, e, portanto, importantes diferenças nos pagamentos, em resultado das estratégias dos operadores (elevada diferenciação entre preços on-net e off-net); </w:t>
      </w:r>
    </w:p>
    <w:p w14:paraId="76225D31" w14:textId="77777777" w:rsidR="002870AE" w:rsidRPr="008F0402" w:rsidRDefault="002870AE" w:rsidP="008F180B">
      <w:pPr>
        <w:pStyle w:val="PargrafodaLista"/>
        <w:numPr>
          <w:ilvl w:val="0"/>
          <w:numId w:val="58"/>
        </w:numPr>
        <w:autoSpaceDE w:val="0"/>
        <w:autoSpaceDN w:val="0"/>
        <w:adjustRightInd w:val="0"/>
        <w:jc w:val="both"/>
        <w:rPr>
          <w:rFonts w:ascii="Times New Roman" w:hAnsi="Times New Roman" w:cs="Times New Roman"/>
          <w:color w:val="000000"/>
          <w:sz w:val="18"/>
          <w:szCs w:val="18"/>
          <w:lang w:val="pt-PT"/>
        </w:rPr>
      </w:pPr>
      <w:r w:rsidRPr="008F0402">
        <w:rPr>
          <w:rFonts w:ascii="Times New Roman" w:hAnsi="Times New Roman" w:cs="Times New Roman"/>
          <w:color w:val="000000"/>
          <w:sz w:val="18"/>
          <w:szCs w:val="18"/>
          <w:lang w:val="pt-PT"/>
        </w:rPr>
        <w:t xml:space="preserve">As taxas de terminação móvel estão significativamente acima dos custos; </w:t>
      </w:r>
    </w:p>
    <w:p w14:paraId="1F5E23DA" w14:textId="77777777" w:rsidR="002870AE" w:rsidRPr="008F0402" w:rsidRDefault="002870AE" w:rsidP="008F180B">
      <w:pPr>
        <w:pStyle w:val="PargrafodaLista"/>
        <w:numPr>
          <w:ilvl w:val="0"/>
          <w:numId w:val="58"/>
        </w:numPr>
        <w:autoSpaceDE w:val="0"/>
        <w:autoSpaceDN w:val="0"/>
        <w:adjustRightInd w:val="0"/>
        <w:jc w:val="both"/>
        <w:rPr>
          <w:rFonts w:ascii="Times New Roman" w:hAnsi="Times New Roman" w:cs="Times New Roman"/>
          <w:color w:val="000000"/>
          <w:sz w:val="18"/>
          <w:szCs w:val="18"/>
          <w:lang w:val="pt-PT"/>
        </w:rPr>
      </w:pPr>
      <w:r w:rsidRPr="008F0402">
        <w:rPr>
          <w:rFonts w:ascii="Times New Roman" w:hAnsi="Times New Roman" w:cs="Times New Roman"/>
          <w:color w:val="000000"/>
          <w:sz w:val="18"/>
          <w:szCs w:val="18"/>
          <w:lang w:val="pt-PT"/>
        </w:rPr>
        <w:t xml:space="preserve">As autoridades reguladoras consideram que existem benefícios na fixação transitória de taxas assimétricas (tais como potenciais benefícios no nível de concorrência no retalho) e que esses benefícios superam eventuais desvantagens.” </w:t>
      </w:r>
    </w:p>
    <w:p w14:paraId="79923031" w14:textId="77777777" w:rsidR="002870AE" w:rsidRPr="0050580A" w:rsidRDefault="002870AE" w:rsidP="00FE6382">
      <w:pPr>
        <w:pStyle w:val="Textodenotaderodap"/>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C15C" w14:textId="77777777" w:rsidR="002870AE" w:rsidRDefault="002870AE" w:rsidP="000B3AE0">
    <w:pPr>
      <w:pStyle w:val="Cabealho"/>
    </w:pPr>
    <w:r>
      <w:rPr>
        <w:noProof/>
        <w:lang w:eastAsia="en-US"/>
      </w:rPr>
      <w:drawing>
        <wp:inline distT="0" distB="0" distL="0" distR="0" wp14:anchorId="4B41F8D7" wp14:editId="3CF434E2">
          <wp:extent cx="2130831" cy="813970"/>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831" cy="8139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CAD7" w14:textId="39879F71" w:rsidR="002870AE" w:rsidRPr="00351041" w:rsidRDefault="002870AE" w:rsidP="00351041">
    <w:pPr>
      <w:pStyle w:val="Cabealho"/>
      <w:rPr>
        <w:rStyle w:val="RefernciaDiscreta"/>
        <w:color w:val="1F497D" w:themeColor="text2"/>
        <w:sz w:val="16"/>
        <w:szCs w:val="16"/>
        <w:lang w:val="pt-PT" w:eastAsia="en-GB"/>
      </w:rPr>
    </w:pPr>
    <w:r w:rsidRPr="00351041">
      <w:rPr>
        <w:rStyle w:val="RefernciaDiscreta"/>
        <w:color w:val="1F497D" w:themeColor="text2"/>
        <w:sz w:val="16"/>
        <w:szCs w:val="16"/>
        <w:lang w:val="pt-PT" w:eastAsia="en-GB"/>
      </w:rPr>
      <w:t>Modelo de custeio de serviços de telecomunicação a grosso e retalho</w:t>
    </w:r>
  </w:p>
  <w:p w14:paraId="47F565DD" w14:textId="33C5157B" w:rsidR="002870AE" w:rsidRPr="00351041" w:rsidRDefault="002870AE" w:rsidP="00351041">
    <w:pPr>
      <w:pStyle w:val="Cabealho"/>
      <w:rPr>
        <w:rStyle w:val="Forte"/>
        <w:b w:val="0"/>
        <w:bCs/>
        <w:sz w:val="16"/>
        <w:szCs w:val="16"/>
        <w:lang w:val="pt-PT"/>
      </w:rPr>
    </w:pPr>
    <w:r w:rsidRPr="00351041">
      <w:rPr>
        <w:rStyle w:val="Forte"/>
        <w:b w:val="0"/>
        <w:bCs/>
        <w:sz w:val="16"/>
        <w:szCs w:val="16"/>
        <w:lang w:val="pt-PT"/>
      </w:rPr>
      <w:t xml:space="preserve">Relatório </w:t>
    </w:r>
    <w:r>
      <w:rPr>
        <w:rStyle w:val="Forte"/>
        <w:b w:val="0"/>
        <w:bCs/>
        <w:sz w:val="16"/>
        <w:szCs w:val="16"/>
        <w:lang w:val="pt-PT"/>
      </w:rPr>
      <w:t>de análise de mercados</w:t>
    </w:r>
    <w:r w:rsidRPr="00351041">
      <w:rPr>
        <w:rStyle w:val="Forte"/>
        <w:b w:val="0"/>
        <w:bCs/>
        <w:sz w:val="16"/>
        <w:szCs w:val="16"/>
        <w:lang w:val="pt-PT"/>
      </w:rPr>
      <w:t xml:space="preserve"> para a ARN, Guiné Bissau</w:t>
    </w:r>
  </w:p>
  <w:p w14:paraId="6AC31A82" w14:textId="77777777" w:rsidR="002870AE" w:rsidRPr="00A568F5" w:rsidRDefault="002870AE" w:rsidP="000B3AE0">
    <w:pPr>
      <w:rPr>
        <w:lang w:val="pt-PT"/>
      </w:rPr>
    </w:pPr>
    <w:r w:rsidRPr="00A568F5">
      <w:rPr>
        <w:rStyle w:val="Forte"/>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3BE"/>
    <w:multiLevelType w:val="hybridMultilevel"/>
    <w:tmpl w:val="5E9CEB9E"/>
    <w:name w:val="*Incyte numbering13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15:restartNumberingAfterBreak="0">
    <w:nsid w:val="013F7475"/>
    <w:multiLevelType w:val="multilevel"/>
    <w:tmpl w:val="A5B45DD4"/>
    <w:name w:val="WW8Num28"/>
    <w:lvl w:ilvl="0">
      <w:start w:val="1"/>
      <w:numFmt w:val="upperLetter"/>
      <w:lvlText w:val="Annex %1"/>
      <w:lvlJc w:val="left"/>
      <w:pPr>
        <w:tabs>
          <w:tab w:val="num" w:pos="1582"/>
        </w:tabs>
        <w:ind w:left="1222" w:hanging="108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222"/>
        </w:tabs>
        <w:ind w:left="1222" w:hanging="1080"/>
      </w:pPr>
      <w:rPr>
        <w:rFonts w:hint="default"/>
      </w:rPr>
    </w:lvl>
    <w:lvl w:ilvl="2">
      <w:start w:val="1"/>
      <w:numFmt w:val="decimal"/>
      <w:lvlText w:val="%1.%2.%3"/>
      <w:lvlJc w:val="left"/>
      <w:pPr>
        <w:tabs>
          <w:tab w:val="num" w:pos="1222"/>
        </w:tabs>
        <w:ind w:left="1222" w:hanging="108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15:restartNumberingAfterBreak="0">
    <w:nsid w:val="024F428B"/>
    <w:multiLevelType w:val="hybridMultilevel"/>
    <w:tmpl w:val="C6DC57B6"/>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5D68DC"/>
    <w:multiLevelType w:val="hybridMultilevel"/>
    <w:tmpl w:val="35927D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27A2201"/>
    <w:multiLevelType w:val="hybridMultilevel"/>
    <w:tmpl w:val="59D843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38B1F3B"/>
    <w:multiLevelType w:val="hybridMultilevel"/>
    <w:tmpl w:val="899EEA6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03F74634"/>
    <w:multiLevelType w:val="hybridMultilevel"/>
    <w:tmpl w:val="8F6EE286"/>
    <w:lvl w:ilvl="0" w:tplc="D0A6F2F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3FE5BB1"/>
    <w:multiLevelType w:val="hybridMultilevel"/>
    <w:tmpl w:val="29169F0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0553001D"/>
    <w:multiLevelType w:val="hybridMultilevel"/>
    <w:tmpl w:val="29B42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09036C09"/>
    <w:multiLevelType w:val="singleLevel"/>
    <w:tmpl w:val="8DFED432"/>
    <w:lvl w:ilvl="0">
      <w:start w:val="1"/>
      <w:numFmt w:val="bullet"/>
      <w:pStyle w:val="mtlistbullet"/>
      <w:lvlText w:val=""/>
      <w:lvlJc w:val="left"/>
      <w:pPr>
        <w:tabs>
          <w:tab w:val="num" w:pos="720"/>
        </w:tabs>
        <w:ind w:left="720" w:hanging="720"/>
      </w:pPr>
      <w:rPr>
        <w:rFonts w:ascii="Symbol" w:hAnsi="Symbol" w:hint="default"/>
      </w:rPr>
    </w:lvl>
  </w:abstractNum>
  <w:abstractNum w:abstractNumId="10" w15:restartNumberingAfterBreak="0">
    <w:nsid w:val="0A2C69E6"/>
    <w:multiLevelType w:val="hybridMultilevel"/>
    <w:tmpl w:val="C97631CE"/>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1" w15:restartNumberingAfterBreak="0">
    <w:nsid w:val="0E51798F"/>
    <w:multiLevelType w:val="hybridMultilevel"/>
    <w:tmpl w:val="F47CF78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0EF03FEA"/>
    <w:multiLevelType w:val="hybridMultilevel"/>
    <w:tmpl w:val="70EEDCAE"/>
    <w:lvl w:ilvl="0" w:tplc="7B4EF70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1006FA4"/>
    <w:multiLevelType w:val="multilevel"/>
    <w:tmpl w:val="ECEA6E7E"/>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4" w15:restartNumberingAfterBreak="0">
    <w:nsid w:val="11B625FF"/>
    <w:multiLevelType w:val="hybridMultilevel"/>
    <w:tmpl w:val="C9E4E2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14F77E71"/>
    <w:multiLevelType w:val="hybridMultilevel"/>
    <w:tmpl w:val="0932444E"/>
    <w:name w:val="*Incyte numbering1322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16E213A9"/>
    <w:multiLevelType w:val="hybridMultilevel"/>
    <w:tmpl w:val="DCECE372"/>
    <w:name w:val="*Incyte numbering132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7" w15:restartNumberingAfterBreak="0">
    <w:nsid w:val="180B2621"/>
    <w:multiLevelType w:val="hybridMultilevel"/>
    <w:tmpl w:val="C78A7F7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1CEF24AA"/>
    <w:multiLevelType w:val="hybridMultilevel"/>
    <w:tmpl w:val="9ED4B1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E2078D1"/>
    <w:multiLevelType w:val="hybridMultilevel"/>
    <w:tmpl w:val="29169F0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E2471B9"/>
    <w:multiLevelType w:val="hybridMultilevel"/>
    <w:tmpl w:val="3F3897C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20260B54"/>
    <w:multiLevelType w:val="hybridMultilevel"/>
    <w:tmpl w:val="91F4CB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05D55D4"/>
    <w:multiLevelType w:val="hybridMultilevel"/>
    <w:tmpl w:val="5A24708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21131859"/>
    <w:multiLevelType w:val="hybridMultilevel"/>
    <w:tmpl w:val="75A84C7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266F2243"/>
    <w:multiLevelType w:val="hybridMultilevel"/>
    <w:tmpl w:val="8F5085E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28C251A4"/>
    <w:multiLevelType w:val="hybridMultilevel"/>
    <w:tmpl w:val="BF907BF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29B0117C"/>
    <w:multiLevelType w:val="hybridMultilevel"/>
    <w:tmpl w:val="05420E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2BD95867"/>
    <w:multiLevelType w:val="multilevel"/>
    <w:tmpl w:val="A5D43510"/>
    <w:name w:val="Incyte Proposal2"/>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1134" w:hanging="1134"/>
      </w:pPr>
      <w:rPr>
        <w:rFonts w:hint="default"/>
      </w:rPr>
    </w:lvl>
    <w:lvl w:ilvl="2">
      <w:start w:val="1"/>
      <w:numFmt w:val="decimal"/>
      <w:suff w:val="nothing"/>
      <w:lvlText w:val="%1.%2.%3"/>
      <w:lvlJc w:val="left"/>
      <w:pPr>
        <w:ind w:left="1418" w:hanging="1418"/>
      </w:pPr>
      <w:rPr>
        <w:rFonts w:hint="default"/>
      </w:rPr>
    </w:lvl>
    <w:lvl w:ilvl="3">
      <w:start w:val="1"/>
      <w:numFmt w:val="none"/>
      <w:suff w:val="nothing"/>
      <w:lvlText w:val=""/>
      <w:lvlJc w:val="left"/>
      <w:pPr>
        <w:ind w:left="57" w:hanging="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C817C76"/>
    <w:multiLevelType w:val="hybridMultilevel"/>
    <w:tmpl w:val="29169F0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2DEA29BC"/>
    <w:multiLevelType w:val="hybridMultilevel"/>
    <w:tmpl w:val="68F6FDB4"/>
    <w:name w:val="BulletListTemplate"/>
    <w:lvl w:ilvl="0" w:tplc="98F2FC92">
      <w:start w:val="1"/>
      <w:numFmt w:val="bullet"/>
      <w:lvlText w:val=""/>
      <w:lvlJc w:val="left"/>
      <w:pPr>
        <w:tabs>
          <w:tab w:val="num" w:pos="644"/>
        </w:tabs>
        <w:ind w:left="568" w:hanging="284"/>
      </w:pPr>
      <w:rPr>
        <w:rFonts w:ascii="Symbol" w:hAnsi="Symbol" w:hint="default"/>
      </w:rPr>
    </w:lvl>
    <w:lvl w:ilvl="1" w:tplc="FF702724">
      <w:start w:val="1"/>
      <w:numFmt w:val="bullet"/>
      <w:lvlText w:val=""/>
      <w:lvlJc w:val="left"/>
      <w:pPr>
        <w:tabs>
          <w:tab w:val="num" w:pos="1440"/>
        </w:tabs>
        <w:ind w:left="1364" w:hanging="284"/>
      </w:pPr>
      <w:rPr>
        <w:rFonts w:ascii="Symbol" w:hAnsi="Symbol" w:hint="default"/>
      </w:rPr>
    </w:lvl>
    <w:lvl w:ilvl="2" w:tplc="D5E0880E" w:tentative="1">
      <w:start w:val="1"/>
      <w:numFmt w:val="bullet"/>
      <w:lvlText w:val=""/>
      <w:lvlJc w:val="left"/>
      <w:pPr>
        <w:tabs>
          <w:tab w:val="num" w:pos="2160"/>
        </w:tabs>
        <w:ind w:left="2160" w:hanging="360"/>
      </w:pPr>
      <w:rPr>
        <w:rFonts w:ascii="Wingdings" w:hAnsi="Wingdings" w:hint="default"/>
      </w:rPr>
    </w:lvl>
    <w:lvl w:ilvl="3" w:tplc="25849006" w:tentative="1">
      <w:start w:val="1"/>
      <w:numFmt w:val="bullet"/>
      <w:lvlText w:val=""/>
      <w:lvlJc w:val="left"/>
      <w:pPr>
        <w:tabs>
          <w:tab w:val="num" w:pos="2880"/>
        </w:tabs>
        <w:ind w:left="2880" w:hanging="360"/>
      </w:pPr>
      <w:rPr>
        <w:rFonts w:ascii="Symbol" w:hAnsi="Symbol" w:hint="default"/>
      </w:rPr>
    </w:lvl>
    <w:lvl w:ilvl="4" w:tplc="D5048B32" w:tentative="1">
      <w:start w:val="1"/>
      <w:numFmt w:val="bullet"/>
      <w:lvlText w:val="o"/>
      <w:lvlJc w:val="left"/>
      <w:pPr>
        <w:tabs>
          <w:tab w:val="num" w:pos="3600"/>
        </w:tabs>
        <w:ind w:left="3600" w:hanging="360"/>
      </w:pPr>
      <w:rPr>
        <w:rFonts w:ascii="Courier New" w:hAnsi="Courier New" w:hint="default"/>
      </w:rPr>
    </w:lvl>
    <w:lvl w:ilvl="5" w:tplc="63A405E0" w:tentative="1">
      <w:start w:val="1"/>
      <w:numFmt w:val="bullet"/>
      <w:lvlText w:val=""/>
      <w:lvlJc w:val="left"/>
      <w:pPr>
        <w:tabs>
          <w:tab w:val="num" w:pos="4320"/>
        </w:tabs>
        <w:ind w:left="4320" w:hanging="360"/>
      </w:pPr>
      <w:rPr>
        <w:rFonts w:ascii="Wingdings" w:hAnsi="Wingdings" w:hint="default"/>
      </w:rPr>
    </w:lvl>
    <w:lvl w:ilvl="6" w:tplc="A74CA5AA" w:tentative="1">
      <w:start w:val="1"/>
      <w:numFmt w:val="bullet"/>
      <w:lvlText w:val=""/>
      <w:lvlJc w:val="left"/>
      <w:pPr>
        <w:tabs>
          <w:tab w:val="num" w:pos="5040"/>
        </w:tabs>
        <w:ind w:left="5040" w:hanging="360"/>
      </w:pPr>
      <w:rPr>
        <w:rFonts w:ascii="Symbol" w:hAnsi="Symbol" w:hint="default"/>
      </w:rPr>
    </w:lvl>
    <w:lvl w:ilvl="7" w:tplc="1188E65A" w:tentative="1">
      <w:start w:val="1"/>
      <w:numFmt w:val="bullet"/>
      <w:lvlText w:val="o"/>
      <w:lvlJc w:val="left"/>
      <w:pPr>
        <w:tabs>
          <w:tab w:val="num" w:pos="5760"/>
        </w:tabs>
        <w:ind w:left="5760" w:hanging="360"/>
      </w:pPr>
      <w:rPr>
        <w:rFonts w:ascii="Courier New" w:hAnsi="Courier New" w:hint="default"/>
      </w:rPr>
    </w:lvl>
    <w:lvl w:ilvl="8" w:tplc="9AB487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3B42F1"/>
    <w:multiLevelType w:val="hybridMultilevel"/>
    <w:tmpl w:val="1D20A64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2E436E7E"/>
    <w:multiLevelType w:val="hybridMultilevel"/>
    <w:tmpl w:val="73B43D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2F354A36"/>
    <w:multiLevelType w:val="hybridMultilevel"/>
    <w:tmpl w:val="8C261506"/>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2B1780A"/>
    <w:multiLevelType w:val="hybridMultilevel"/>
    <w:tmpl w:val="F6AAA4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32CC69E7"/>
    <w:multiLevelType w:val="hybridMultilevel"/>
    <w:tmpl w:val="1ED66C2C"/>
    <w:lvl w:ilvl="0" w:tplc="439E539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34C238A9"/>
    <w:multiLevelType w:val="hybridMultilevel"/>
    <w:tmpl w:val="4FFE50CC"/>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356F206F"/>
    <w:multiLevelType w:val="hybridMultilevel"/>
    <w:tmpl w:val="3ACE723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3738130D"/>
    <w:multiLevelType w:val="hybridMultilevel"/>
    <w:tmpl w:val="19C4C0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37561EAA"/>
    <w:multiLevelType w:val="singleLevel"/>
    <w:tmpl w:val="FC16836C"/>
    <w:lvl w:ilvl="0">
      <w:start w:val="1"/>
      <w:numFmt w:val="bullet"/>
      <w:pStyle w:val="mtlistnoindent"/>
      <w:lvlText w:val=""/>
      <w:lvlJc w:val="left"/>
      <w:pPr>
        <w:tabs>
          <w:tab w:val="num" w:pos="432"/>
        </w:tabs>
        <w:ind w:left="360" w:hanging="288"/>
      </w:pPr>
      <w:rPr>
        <w:rFonts w:ascii="Symbol" w:hAnsi="Symbol" w:hint="default"/>
      </w:rPr>
    </w:lvl>
  </w:abstractNum>
  <w:abstractNum w:abstractNumId="39" w15:restartNumberingAfterBreak="0">
    <w:nsid w:val="380C519C"/>
    <w:multiLevelType w:val="hybridMultilevel"/>
    <w:tmpl w:val="33A8362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15:restartNumberingAfterBreak="0">
    <w:nsid w:val="3CB9471B"/>
    <w:multiLevelType w:val="hybridMultilevel"/>
    <w:tmpl w:val="285461BC"/>
    <w:name w:val="INYCTE222"/>
    <w:lvl w:ilvl="0" w:tplc="1AF809F8">
      <w:start w:val="1"/>
      <w:numFmt w:val="lowerLetter"/>
      <w:lvlText w:val="(%1)"/>
      <w:lvlJc w:val="center"/>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DBA370C"/>
    <w:multiLevelType w:val="hybridMultilevel"/>
    <w:tmpl w:val="C4C4209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1CA1DA6"/>
    <w:multiLevelType w:val="hybridMultilevel"/>
    <w:tmpl w:val="29169F0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423663DC"/>
    <w:multiLevelType w:val="hybridMultilevel"/>
    <w:tmpl w:val="29169F0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4" w15:restartNumberingAfterBreak="0">
    <w:nsid w:val="42417D46"/>
    <w:multiLevelType w:val="hybridMultilevel"/>
    <w:tmpl w:val="6024B29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5" w15:restartNumberingAfterBreak="0">
    <w:nsid w:val="4313601D"/>
    <w:multiLevelType w:val="multilevel"/>
    <w:tmpl w:val="35149FDC"/>
    <w:name w:val="*Incyte numbering1"/>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6654CFF"/>
    <w:multiLevelType w:val="multilevel"/>
    <w:tmpl w:val="9ADA48CC"/>
    <w:name w:val="Incyte Proposal"/>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2268" w:hanging="2268"/>
      </w:pPr>
      <w:rPr>
        <w:rFonts w:hint="default"/>
      </w:rPr>
    </w:lvl>
    <w:lvl w:ilvl="2">
      <w:start w:val="1"/>
      <w:numFmt w:val="decimal"/>
      <w:suff w:val="nothing"/>
      <w:lvlText w:val="%1.%2.%3"/>
      <w:lvlJc w:val="left"/>
      <w:pPr>
        <w:ind w:left="2552" w:hanging="2552"/>
      </w:pPr>
      <w:rPr>
        <w:rFonts w:hint="default"/>
      </w:rPr>
    </w:lvl>
    <w:lvl w:ilvl="3">
      <w:start w:val="1"/>
      <w:numFmt w:val="none"/>
      <w:suff w:val="nothing"/>
      <w:lvlText w:val=""/>
      <w:lvlJc w:val="left"/>
      <w:pPr>
        <w:ind w:left="57" w:hanging="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73037C8"/>
    <w:multiLevelType w:val="hybridMultilevel"/>
    <w:tmpl w:val="EA24E7D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47555734"/>
    <w:multiLevelType w:val="multilevel"/>
    <w:tmpl w:val="2996E928"/>
    <w:name w:val="INYCTE"/>
    <w:lvl w:ilvl="0">
      <w:start w:val="3"/>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48176AF2"/>
    <w:multiLevelType w:val="multilevel"/>
    <w:tmpl w:val="254E7E9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0" w15:restartNumberingAfterBreak="0">
    <w:nsid w:val="49806987"/>
    <w:multiLevelType w:val="multilevel"/>
    <w:tmpl w:val="B648883E"/>
    <w:name w:val="*Incyte numbering12"/>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4A9C0C68"/>
    <w:multiLevelType w:val="hybridMultilevel"/>
    <w:tmpl w:val="CC20655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52" w15:restartNumberingAfterBreak="0">
    <w:nsid w:val="53AA603B"/>
    <w:multiLevelType w:val="singleLevel"/>
    <w:tmpl w:val="4D9E11AA"/>
    <w:name w:val="HeadingListTemplate"/>
    <w:lvl w:ilvl="0">
      <w:start w:val="1"/>
      <w:numFmt w:val="bullet"/>
      <w:lvlText w:val=""/>
      <w:lvlJc w:val="left"/>
      <w:pPr>
        <w:tabs>
          <w:tab w:val="num" w:pos="216"/>
        </w:tabs>
        <w:ind w:left="216" w:hanging="216"/>
      </w:pPr>
      <w:rPr>
        <w:rFonts w:ascii="Symbol" w:hAnsi="Symbol" w:hint="default"/>
        <w:sz w:val="12"/>
      </w:rPr>
    </w:lvl>
  </w:abstractNum>
  <w:abstractNum w:abstractNumId="53" w15:restartNumberingAfterBreak="0">
    <w:nsid w:val="54D37CB1"/>
    <w:multiLevelType w:val="hybridMultilevel"/>
    <w:tmpl w:val="AEAA2C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5C027BDB"/>
    <w:multiLevelType w:val="hybridMultilevel"/>
    <w:tmpl w:val="FCB0A33A"/>
    <w:lvl w:ilvl="0" w:tplc="3C18B8CC">
      <w:start w:val="1"/>
      <w:numFmt w:val="bullet"/>
      <w:pStyle w:val="Hyperlink"/>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DF00311"/>
    <w:multiLevelType w:val="hybridMultilevel"/>
    <w:tmpl w:val="81C844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15:restartNumberingAfterBreak="0">
    <w:nsid w:val="60031462"/>
    <w:multiLevelType w:val="hybridMultilevel"/>
    <w:tmpl w:val="425C330E"/>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1A5444A"/>
    <w:multiLevelType w:val="hybridMultilevel"/>
    <w:tmpl w:val="02D4E20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8" w15:restartNumberingAfterBreak="0">
    <w:nsid w:val="622916A8"/>
    <w:multiLevelType w:val="multilevel"/>
    <w:tmpl w:val="701C4A38"/>
    <w:name w:val="INYCTE22"/>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64305A2F"/>
    <w:multiLevelType w:val="multilevel"/>
    <w:tmpl w:val="5ED2082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0" w15:restartNumberingAfterBreak="0">
    <w:nsid w:val="64B65EE0"/>
    <w:multiLevelType w:val="hybridMultilevel"/>
    <w:tmpl w:val="FE7C72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15:restartNumberingAfterBreak="0">
    <w:nsid w:val="66C25C96"/>
    <w:multiLevelType w:val="hybridMultilevel"/>
    <w:tmpl w:val="FC7CB29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2" w15:restartNumberingAfterBreak="0">
    <w:nsid w:val="6A8C532A"/>
    <w:multiLevelType w:val="multilevel"/>
    <w:tmpl w:val="63A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A63FDA"/>
    <w:multiLevelType w:val="singleLevel"/>
    <w:tmpl w:val="91DC1046"/>
    <w:name w:val="INYCTE2"/>
    <w:lvl w:ilvl="0">
      <w:start w:val="1"/>
      <w:numFmt w:val="bullet"/>
      <w:pStyle w:val="List1"/>
      <w:lvlText w:val="-"/>
      <w:lvlJc w:val="left"/>
      <w:pPr>
        <w:tabs>
          <w:tab w:val="num" w:pos="360"/>
        </w:tabs>
        <w:ind w:left="360" w:hanging="360"/>
      </w:pPr>
      <w:rPr>
        <w:rFonts w:ascii="Book Antiqua" w:hAnsi="Arial Rounded MT Bold" w:hint="default"/>
      </w:rPr>
    </w:lvl>
  </w:abstractNum>
  <w:abstractNum w:abstractNumId="64" w15:restartNumberingAfterBreak="0">
    <w:nsid w:val="6B3D5CC0"/>
    <w:multiLevelType w:val="multilevel"/>
    <w:tmpl w:val="34FE5C7C"/>
    <w:name w:val="Incyte Proposal1"/>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6C084EFD"/>
    <w:multiLevelType w:val="singleLevel"/>
    <w:tmpl w:val="C8D4F51C"/>
    <w:name w:val="*Incyte numbering2"/>
    <w:lvl w:ilvl="0">
      <w:start w:val="1"/>
      <w:numFmt w:val="bullet"/>
      <w:pStyle w:val="Style1"/>
      <w:lvlText w:val=""/>
      <w:lvlJc w:val="left"/>
      <w:pPr>
        <w:tabs>
          <w:tab w:val="num" w:pos="360"/>
        </w:tabs>
        <w:ind w:left="357" w:hanging="357"/>
      </w:pPr>
      <w:rPr>
        <w:rFonts w:ascii="Symbol" w:hAnsi="Symbol" w:hint="default"/>
        <w:sz w:val="24"/>
      </w:rPr>
    </w:lvl>
  </w:abstractNum>
  <w:abstractNum w:abstractNumId="66" w15:restartNumberingAfterBreak="0">
    <w:nsid w:val="6D896528"/>
    <w:multiLevelType w:val="hybridMultilevel"/>
    <w:tmpl w:val="F744724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7" w15:restartNumberingAfterBreak="0">
    <w:nsid w:val="6FA73C03"/>
    <w:multiLevelType w:val="singleLevel"/>
    <w:tmpl w:val="430A6622"/>
    <w:lvl w:ilvl="0">
      <w:start w:val="1"/>
      <w:numFmt w:val="bullet"/>
      <w:pStyle w:val="TableText"/>
      <w:lvlText w:val=""/>
      <w:lvlJc w:val="left"/>
      <w:pPr>
        <w:tabs>
          <w:tab w:val="num" w:pos="360"/>
        </w:tabs>
        <w:ind w:left="360" w:hanging="360"/>
      </w:pPr>
      <w:rPr>
        <w:rFonts w:ascii="Symbol" w:hAnsi="Symbol" w:hint="default"/>
      </w:rPr>
    </w:lvl>
  </w:abstractNum>
  <w:abstractNum w:abstractNumId="68" w15:restartNumberingAfterBreak="0">
    <w:nsid w:val="705B23AB"/>
    <w:multiLevelType w:val="hybridMultilevel"/>
    <w:tmpl w:val="AE4630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9" w15:restartNumberingAfterBreak="0">
    <w:nsid w:val="71593B29"/>
    <w:multiLevelType w:val="hybridMultilevel"/>
    <w:tmpl w:val="9678241E"/>
    <w:lvl w:ilvl="0" w:tplc="D5E8D338">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0" w15:restartNumberingAfterBreak="0">
    <w:nsid w:val="718A0AFC"/>
    <w:multiLevelType w:val="hybridMultilevel"/>
    <w:tmpl w:val="384C0C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4DB36C3"/>
    <w:multiLevelType w:val="hybridMultilevel"/>
    <w:tmpl w:val="3F3897C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6CF2DF9"/>
    <w:multiLevelType w:val="hybridMultilevel"/>
    <w:tmpl w:val="E1CE3BE0"/>
    <w:name w:val="*Incyte numbering1"/>
    <w:lvl w:ilvl="0" w:tplc="5162B760">
      <w:start w:val="1"/>
      <w:numFmt w:val="bullet"/>
      <w:lvlText w:val=""/>
      <w:lvlJc w:val="left"/>
      <w:pPr>
        <w:ind w:left="530" w:hanging="360"/>
      </w:pPr>
      <w:rPr>
        <w:rFonts w:ascii="Symbol" w:hAnsi="Symbol" w:hint="default"/>
      </w:rPr>
    </w:lvl>
    <w:lvl w:ilvl="1" w:tplc="90E4E10A" w:tentative="1">
      <w:start w:val="1"/>
      <w:numFmt w:val="bullet"/>
      <w:lvlText w:val="o"/>
      <w:lvlJc w:val="left"/>
      <w:pPr>
        <w:ind w:left="1250" w:hanging="360"/>
      </w:pPr>
      <w:rPr>
        <w:rFonts w:ascii="Courier New" w:hAnsi="Courier New" w:cs="Courier New" w:hint="default"/>
      </w:rPr>
    </w:lvl>
    <w:lvl w:ilvl="2" w:tplc="D00C0C04" w:tentative="1">
      <w:start w:val="1"/>
      <w:numFmt w:val="bullet"/>
      <w:lvlText w:val=""/>
      <w:lvlJc w:val="left"/>
      <w:pPr>
        <w:ind w:left="1970" w:hanging="360"/>
      </w:pPr>
      <w:rPr>
        <w:rFonts w:ascii="Wingdings" w:hAnsi="Wingdings" w:hint="default"/>
      </w:rPr>
    </w:lvl>
    <w:lvl w:ilvl="3" w:tplc="759C4C62" w:tentative="1">
      <w:start w:val="1"/>
      <w:numFmt w:val="bullet"/>
      <w:lvlText w:val=""/>
      <w:lvlJc w:val="left"/>
      <w:pPr>
        <w:ind w:left="2690" w:hanging="360"/>
      </w:pPr>
      <w:rPr>
        <w:rFonts w:ascii="Symbol" w:hAnsi="Symbol" w:hint="default"/>
      </w:rPr>
    </w:lvl>
    <w:lvl w:ilvl="4" w:tplc="C28055B8" w:tentative="1">
      <w:start w:val="1"/>
      <w:numFmt w:val="bullet"/>
      <w:lvlText w:val="o"/>
      <w:lvlJc w:val="left"/>
      <w:pPr>
        <w:ind w:left="3410" w:hanging="360"/>
      </w:pPr>
      <w:rPr>
        <w:rFonts w:ascii="Courier New" w:hAnsi="Courier New" w:cs="Courier New" w:hint="default"/>
      </w:rPr>
    </w:lvl>
    <w:lvl w:ilvl="5" w:tplc="C8DC55E4" w:tentative="1">
      <w:start w:val="1"/>
      <w:numFmt w:val="bullet"/>
      <w:lvlText w:val=""/>
      <w:lvlJc w:val="left"/>
      <w:pPr>
        <w:ind w:left="4130" w:hanging="360"/>
      </w:pPr>
      <w:rPr>
        <w:rFonts w:ascii="Wingdings" w:hAnsi="Wingdings" w:hint="default"/>
      </w:rPr>
    </w:lvl>
    <w:lvl w:ilvl="6" w:tplc="6FCC654A" w:tentative="1">
      <w:start w:val="1"/>
      <w:numFmt w:val="bullet"/>
      <w:lvlText w:val=""/>
      <w:lvlJc w:val="left"/>
      <w:pPr>
        <w:ind w:left="4850" w:hanging="360"/>
      </w:pPr>
      <w:rPr>
        <w:rFonts w:ascii="Symbol" w:hAnsi="Symbol" w:hint="default"/>
      </w:rPr>
    </w:lvl>
    <w:lvl w:ilvl="7" w:tplc="4AEC9BC4" w:tentative="1">
      <w:start w:val="1"/>
      <w:numFmt w:val="bullet"/>
      <w:lvlText w:val="o"/>
      <w:lvlJc w:val="left"/>
      <w:pPr>
        <w:ind w:left="5570" w:hanging="360"/>
      </w:pPr>
      <w:rPr>
        <w:rFonts w:ascii="Courier New" w:hAnsi="Courier New" w:cs="Courier New" w:hint="default"/>
      </w:rPr>
    </w:lvl>
    <w:lvl w:ilvl="8" w:tplc="46B4E5C2" w:tentative="1">
      <w:start w:val="1"/>
      <w:numFmt w:val="bullet"/>
      <w:lvlText w:val=""/>
      <w:lvlJc w:val="left"/>
      <w:pPr>
        <w:ind w:left="6290" w:hanging="360"/>
      </w:pPr>
      <w:rPr>
        <w:rFonts w:ascii="Wingdings" w:hAnsi="Wingdings" w:hint="default"/>
      </w:rPr>
    </w:lvl>
  </w:abstractNum>
  <w:abstractNum w:abstractNumId="73" w15:restartNumberingAfterBreak="0">
    <w:nsid w:val="77E97C1D"/>
    <w:multiLevelType w:val="multilevel"/>
    <w:tmpl w:val="96826C2E"/>
    <w:name w:val="*Incyte numbering1"/>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78885912"/>
    <w:multiLevelType w:val="hybridMultilevel"/>
    <w:tmpl w:val="B636B5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5" w15:restartNumberingAfterBreak="0">
    <w:nsid w:val="78BA5853"/>
    <w:multiLevelType w:val="hybridMultilevel"/>
    <w:tmpl w:val="5094A6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6" w15:restartNumberingAfterBreak="0">
    <w:nsid w:val="798A6830"/>
    <w:multiLevelType w:val="multilevel"/>
    <w:tmpl w:val="0BF07AD2"/>
    <w:name w:val="INYCTE"/>
    <w:lvl w:ilvl="0">
      <w:start w:val="1"/>
      <w:numFmt w:val="decimal"/>
      <w:lvlText w:val="%1"/>
      <w:lvlJc w:val="left"/>
      <w:pPr>
        <w:ind w:left="432" w:hanging="432"/>
      </w:pPr>
      <w:rPr>
        <w:rFonts w:hint="default"/>
      </w:rPr>
    </w:lvl>
    <w:lvl w:ilvl="1">
      <w:start w:val="1"/>
      <w:numFmt w:val="decimal"/>
      <w:lvlText w:val="%1.%2"/>
      <w:lvlJc w:val="left"/>
      <w:pPr>
        <w:ind w:left="851" w:hanging="851"/>
      </w:pPr>
      <w:rPr>
        <w:rFonts w:asciiTheme="minorHAnsi" w:hAnsiTheme="minorHAnsi" w:cs="Times New Roman" w:hint="default"/>
        <w:b/>
        <w:bCs w:val="0"/>
        <w:i w:val="0"/>
        <w:iCs w:val="0"/>
        <w:caps w:val="0"/>
        <w:smallCaps w:val="0"/>
        <w:strike w:val="0"/>
        <w:dstrike w:val="0"/>
        <w:noProof w:val="0"/>
        <w:vanish w:val="0"/>
        <w:color w:val="002D62" w:themeColor="accent1"/>
        <w:spacing w:val="0"/>
        <w:kern w:val="0"/>
        <w:position w:val="0"/>
        <w:u w:val="none"/>
        <w:vertAlign w:val="baseline"/>
        <w:em w:val="none"/>
      </w:rPr>
    </w:lvl>
    <w:lvl w:ilvl="2">
      <w:start w:val="1"/>
      <w:numFmt w:val="decimal"/>
      <w:lvlText w:val="%1.%2.%3"/>
      <w:lvlJc w:val="left"/>
      <w:pPr>
        <w:ind w:left="1134" w:hanging="1134"/>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7" w15:restartNumberingAfterBreak="0">
    <w:nsid w:val="79FF6FD5"/>
    <w:multiLevelType w:val="hybridMultilevel"/>
    <w:tmpl w:val="939E8C58"/>
    <w:lvl w:ilvl="0" w:tplc="03983B90">
      <w:start w:val="1"/>
      <w:numFmt w:val="bullet"/>
      <w:pStyle w:val="IncyteBullets"/>
      <w:lvlText w:val=""/>
      <w:lvlJc w:val="left"/>
      <w:pPr>
        <w:ind w:left="1069" w:hanging="360"/>
      </w:pPr>
      <w:rPr>
        <w:rFonts w:ascii="Symbol" w:hAnsi="Symbol" w:hint="default"/>
        <w:color w:val="FF0000"/>
        <w:sz w:val="24"/>
        <w:szCs w:val="24"/>
      </w:rPr>
    </w:lvl>
    <w:lvl w:ilvl="1" w:tplc="6C3CC456">
      <w:start w:val="1"/>
      <w:numFmt w:val="bullet"/>
      <w:lvlText w:val="o"/>
      <w:lvlJc w:val="left"/>
      <w:pPr>
        <w:ind w:left="1250" w:hanging="360"/>
      </w:pPr>
      <w:rPr>
        <w:rFonts w:ascii="Courier New" w:hAnsi="Courier New" w:cs="Courier New" w:hint="default"/>
      </w:rPr>
    </w:lvl>
    <w:lvl w:ilvl="2" w:tplc="617076C0">
      <w:start w:val="1"/>
      <w:numFmt w:val="bullet"/>
      <w:lvlText w:val=""/>
      <w:lvlJc w:val="left"/>
      <w:pPr>
        <w:ind w:left="1970" w:hanging="360"/>
      </w:pPr>
      <w:rPr>
        <w:rFonts w:ascii="Wingdings" w:hAnsi="Wingdings" w:hint="default"/>
      </w:rPr>
    </w:lvl>
    <w:lvl w:ilvl="3" w:tplc="0C090001">
      <w:start w:val="1"/>
      <w:numFmt w:val="bullet"/>
      <w:lvlText w:val=""/>
      <w:lvlJc w:val="left"/>
      <w:pPr>
        <w:ind w:left="2690" w:hanging="360"/>
      </w:pPr>
      <w:rPr>
        <w:rFonts w:ascii="Symbol" w:hAnsi="Symbol" w:hint="default"/>
      </w:rPr>
    </w:lvl>
    <w:lvl w:ilvl="4" w:tplc="0C090003">
      <w:start w:val="1"/>
      <w:numFmt w:val="bullet"/>
      <w:lvlText w:val="o"/>
      <w:lvlJc w:val="left"/>
      <w:pPr>
        <w:ind w:left="3410" w:hanging="360"/>
      </w:pPr>
      <w:rPr>
        <w:rFonts w:ascii="Courier New" w:hAnsi="Courier New" w:cs="Courier New" w:hint="default"/>
      </w:rPr>
    </w:lvl>
    <w:lvl w:ilvl="5" w:tplc="0C090005">
      <w:start w:val="1"/>
      <w:numFmt w:val="bullet"/>
      <w:lvlText w:val=""/>
      <w:lvlJc w:val="left"/>
      <w:pPr>
        <w:ind w:left="4130" w:hanging="360"/>
      </w:pPr>
      <w:rPr>
        <w:rFonts w:ascii="Wingdings" w:hAnsi="Wingdings" w:hint="default"/>
      </w:rPr>
    </w:lvl>
    <w:lvl w:ilvl="6" w:tplc="0C09000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8" w15:restartNumberingAfterBreak="0">
    <w:nsid w:val="7A056EA3"/>
    <w:multiLevelType w:val="hybridMultilevel"/>
    <w:tmpl w:val="60A27B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9" w15:restartNumberingAfterBreak="0">
    <w:nsid w:val="7ADD52C1"/>
    <w:multiLevelType w:val="hybridMultilevel"/>
    <w:tmpl w:val="E6CCE2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0" w15:restartNumberingAfterBreak="0">
    <w:nsid w:val="7CD54A37"/>
    <w:multiLevelType w:val="hybridMultilevel"/>
    <w:tmpl w:val="3E825082"/>
    <w:lvl w:ilvl="0" w:tplc="0A026F3C">
      <w:start w:val="1"/>
      <w:numFmt w:val="lowerLetter"/>
      <w:lvlText w:val="%1)"/>
      <w:lvlJc w:val="left"/>
      <w:pPr>
        <w:ind w:left="360" w:hanging="360"/>
      </w:pPr>
      <w:rPr>
        <w:rFonts w:ascii="Arial" w:eastAsiaTheme="minorHAnsi"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1" w15:restartNumberingAfterBreak="0">
    <w:nsid w:val="7EC10CC3"/>
    <w:multiLevelType w:val="hybridMultilevel"/>
    <w:tmpl w:val="93AE07DC"/>
    <w:name w:val="*Incyte numbering1"/>
    <w:lvl w:ilvl="0" w:tplc="D28A8F10">
      <w:start w:val="1"/>
      <w:numFmt w:val="lowerLetter"/>
      <w:lvlText w:val="%1."/>
      <w:lvlJc w:val="left"/>
      <w:pPr>
        <w:ind w:left="360" w:hanging="360"/>
      </w:pPr>
      <w:rPr>
        <w:rFonts w:hint="default"/>
        <w:color w:val="EF3C39"/>
      </w:rPr>
    </w:lvl>
    <w:lvl w:ilvl="1" w:tplc="E0F0F932" w:tentative="1">
      <w:start w:val="1"/>
      <w:numFmt w:val="bullet"/>
      <w:lvlText w:val="o"/>
      <w:lvlJc w:val="left"/>
      <w:pPr>
        <w:ind w:left="1080" w:hanging="360"/>
      </w:pPr>
      <w:rPr>
        <w:rFonts w:ascii="Courier New" w:hAnsi="Courier New" w:cs="Courier New" w:hint="default"/>
      </w:rPr>
    </w:lvl>
    <w:lvl w:ilvl="2" w:tplc="AC7CC104" w:tentative="1">
      <w:start w:val="1"/>
      <w:numFmt w:val="bullet"/>
      <w:lvlText w:val=""/>
      <w:lvlJc w:val="left"/>
      <w:pPr>
        <w:ind w:left="1800" w:hanging="360"/>
      </w:pPr>
      <w:rPr>
        <w:rFonts w:ascii="Wingdings" w:hAnsi="Wingdings" w:hint="default"/>
      </w:rPr>
    </w:lvl>
    <w:lvl w:ilvl="3" w:tplc="63CAC924" w:tentative="1">
      <w:start w:val="1"/>
      <w:numFmt w:val="bullet"/>
      <w:lvlText w:val=""/>
      <w:lvlJc w:val="left"/>
      <w:pPr>
        <w:ind w:left="2520" w:hanging="360"/>
      </w:pPr>
      <w:rPr>
        <w:rFonts w:ascii="Symbol" w:hAnsi="Symbol" w:hint="default"/>
      </w:rPr>
    </w:lvl>
    <w:lvl w:ilvl="4" w:tplc="F83CC9DA" w:tentative="1">
      <w:start w:val="1"/>
      <w:numFmt w:val="bullet"/>
      <w:lvlText w:val="o"/>
      <w:lvlJc w:val="left"/>
      <w:pPr>
        <w:ind w:left="3240" w:hanging="360"/>
      </w:pPr>
      <w:rPr>
        <w:rFonts w:ascii="Courier New" w:hAnsi="Courier New" w:cs="Courier New" w:hint="default"/>
      </w:rPr>
    </w:lvl>
    <w:lvl w:ilvl="5" w:tplc="5664C46E" w:tentative="1">
      <w:start w:val="1"/>
      <w:numFmt w:val="bullet"/>
      <w:lvlText w:val=""/>
      <w:lvlJc w:val="left"/>
      <w:pPr>
        <w:ind w:left="3960" w:hanging="360"/>
      </w:pPr>
      <w:rPr>
        <w:rFonts w:ascii="Wingdings" w:hAnsi="Wingdings" w:hint="default"/>
      </w:rPr>
    </w:lvl>
    <w:lvl w:ilvl="6" w:tplc="3DB47478" w:tentative="1">
      <w:start w:val="1"/>
      <w:numFmt w:val="bullet"/>
      <w:lvlText w:val=""/>
      <w:lvlJc w:val="left"/>
      <w:pPr>
        <w:ind w:left="4680" w:hanging="360"/>
      </w:pPr>
      <w:rPr>
        <w:rFonts w:ascii="Symbol" w:hAnsi="Symbol" w:hint="default"/>
      </w:rPr>
    </w:lvl>
    <w:lvl w:ilvl="7" w:tplc="7D6E7F26" w:tentative="1">
      <w:start w:val="1"/>
      <w:numFmt w:val="bullet"/>
      <w:lvlText w:val="o"/>
      <w:lvlJc w:val="left"/>
      <w:pPr>
        <w:ind w:left="5400" w:hanging="360"/>
      </w:pPr>
      <w:rPr>
        <w:rFonts w:ascii="Courier New" w:hAnsi="Courier New" w:cs="Courier New" w:hint="default"/>
      </w:rPr>
    </w:lvl>
    <w:lvl w:ilvl="8" w:tplc="7A14AE90" w:tentative="1">
      <w:start w:val="1"/>
      <w:numFmt w:val="bullet"/>
      <w:lvlText w:val=""/>
      <w:lvlJc w:val="left"/>
      <w:pPr>
        <w:ind w:left="6120" w:hanging="360"/>
      </w:pPr>
      <w:rPr>
        <w:rFonts w:ascii="Wingdings" w:hAnsi="Wingdings" w:hint="default"/>
      </w:rPr>
    </w:lvl>
  </w:abstractNum>
  <w:abstractNum w:abstractNumId="82" w15:restartNumberingAfterBreak="0">
    <w:nsid w:val="7ED7641B"/>
    <w:multiLevelType w:val="hybridMultilevel"/>
    <w:tmpl w:val="1B201510"/>
    <w:lvl w:ilvl="0" w:tplc="63866552">
      <w:start w:val="1"/>
      <w:numFmt w:val="bullet"/>
      <w:pStyle w:val="Subttulo"/>
      <w:lvlText w:val=""/>
      <w:lvlJc w:val="left"/>
      <w:pPr>
        <w:ind w:left="1250" w:hanging="360"/>
      </w:pPr>
      <w:rPr>
        <w:rFonts w:ascii="Symbol" w:hAnsi="Symbol" w:hint="default"/>
        <w:color w:val="456E7F" w:themeColor="accent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63"/>
  </w:num>
  <w:num w:numId="3">
    <w:abstractNumId w:val="38"/>
  </w:num>
  <w:num w:numId="4">
    <w:abstractNumId w:val="67"/>
  </w:num>
  <w:num w:numId="5">
    <w:abstractNumId w:val="9"/>
  </w:num>
  <w:num w:numId="6">
    <w:abstractNumId w:val="54"/>
  </w:num>
  <w:num w:numId="7">
    <w:abstractNumId w:val="59"/>
  </w:num>
  <w:num w:numId="8">
    <w:abstractNumId w:val="77"/>
  </w:num>
  <w:num w:numId="9">
    <w:abstractNumId w:val="82"/>
  </w:num>
  <w:num w:numId="10">
    <w:abstractNumId w:val="18"/>
  </w:num>
  <w:num w:numId="11">
    <w:abstractNumId w:val="2"/>
  </w:num>
  <w:num w:numId="12">
    <w:abstractNumId w:val="35"/>
  </w:num>
  <w:num w:numId="13">
    <w:abstractNumId w:val="75"/>
  </w:num>
  <w:num w:numId="14">
    <w:abstractNumId w:val="60"/>
  </w:num>
  <w:num w:numId="15">
    <w:abstractNumId w:val="62"/>
  </w:num>
  <w:num w:numId="16">
    <w:abstractNumId w:val="8"/>
  </w:num>
  <w:num w:numId="17">
    <w:abstractNumId w:val="55"/>
  </w:num>
  <w:num w:numId="18">
    <w:abstractNumId w:val="57"/>
  </w:num>
  <w:num w:numId="19">
    <w:abstractNumId w:val="51"/>
  </w:num>
  <w:num w:numId="20">
    <w:abstractNumId w:val="49"/>
  </w:num>
  <w:num w:numId="21">
    <w:abstractNumId w:val="10"/>
  </w:num>
  <w:num w:numId="22">
    <w:abstractNumId w:val="21"/>
  </w:num>
  <w:num w:numId="23">
    <w:abstractNumId w:val="37"/>
  </w:num>
  <w:num w:numId="24">
    <w:abstractNumId w:val="13"/>
  </w:num>
  <w:num w:numId="25">
    <w:abstractNumId w:val="41"/>
  </w:num>
  <w:num w:numId="26">
    <w:abstractNumId w:val="32"/>
  </w:num>
  <w:num w:numId="27">
    <w:abstractNumId w:val="70"/>
  </w:num>
  <w:num w:numId="28">
    <w:abstractNumId w:val="56"/>
  </w:num>
  <w:num w:numId="29">
    <w:abstractNumId w:val="74"/>
  </w:num>
  <w:num w:numId="30">
    <w:abstractNumId w:val="79"/>
  </w:num>
  <w:num w:numId="31">
    <w:abstractNumId w:val="36"/>
  </w:num>
  <w:num w:numId="32">
    <w:abstractNumId w:val="28"/>
  </w:num>
  <w:num w:numId="33">
    <w:abstractNumId w:val="43"/>
  </w:num>
  <w:num w:numId="34">
    <w:abstractNumId w:val="19"/>
  </w:num>
  <w:num w:numId="35">
    <w:abstractNumId w:val="42"/>
  </w:num>
  <w:num w:numId="36">
    <w:abstractNumId w:val="24"/>
  </w:num>
  <w:num w:numId="37">
    <w:abstractNumId w:val="47"/>
  </w:num>
  <w:num w:numId="38">
    <w:abstractNumId w:val="61"/>
  </w:num>
  <w:num w:numId="39">
    <w:abstractNumId w:val="20"/>
  </w:num>
  <w:num w:numId="40">
    <w:abstractNumId w:val="44"/>
  </w:num>
  <w:num w:numId="41">
    <w:abstractNumId w:val="22"/>
  </w:num>
  <w:num w:numId="42">
    <w:abstractNumId w:val="30"/>
  </w:num>
  <w:num w:numId="43">
    <w:abstractNumId w:val="68"/>
  </w:num>
  <w:num w:numId="44">
    <w:abstractNumId w:val="11"/>
  </w:num>
  <w:num w:numId="45">
    <w:abstractNumId w:val="23"/>
  </w:num>
  <w:num w:numId="46">
    <w:abstractNumId w:val="69"/>
  </w:num>
  <w:num w:numId="47">
    <w:abstractNumId w:val="17"/>
  </w:num>
  <w:num w:numId="48">
    <w:abstractNumId w:val="80"/>
  </w:num>
  <w:num w:numId="49">
    <w:abstractNumId w:val="7"/>
  </w:num>
  <w:num w:numId="50">
    <w:abstractNumId w:val="71"/>
  </w:num>
  <w:num w:numId="51">
    <w:abstractNumId w:val="3"/>
  </w:num>
  <w:num w:numId="52">
    <w:abstractNumId w:val="78"/>
  </w:num>
  <w:num w:numId="53">
    <w:abstractNumId w:val="53"/>
  </w:num>
  <w:num w:numId="54">
    <w:abstractNumId w:val="25"/>
  </w:num>
  <w:num w:numId="55">
    <w:abstractNumId w:val="14"/>
  </w:num>
  <w:num w:numId="56">
    <w:abstractNumId w:val="39"/>
  </w:num>
  <w:num w:numId="57">
    <w:abstractNumId w:val="5"/>
  </w:num>
  <w:num w:numId="58">
    <w:abstractNumId w:val="31"/>
  </w:num>
  <w:num w:numId="59">
    <w:abstractNumId w:val="66"/>
  </w:num>
  <w:num w:numId="60">
    <w:abstractNumId w:val="4"/>
  </w:num>
  <w:num w:numId="61">
    <w:abstractNumId w:val="33"/>
  </w:num>
  <w:num w:numId="62">
    <w:abstractNumId w:val="26"/>
  </w:num>
  <w:num w:numId="63">
    <w:abstractNumId w:val="6"/>
  </w:num>
  <w:num w:numId="64">
    <w:abstractNumId w:val="12"/>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n-CA"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en-US" w:vendorID="2" w:dllVersion="6" w:checkStyle="1"/>
  <w:proofState w:spelling="clean" w:grammar="clean"/>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5E"/>
    <w:rsid w:val="00000A5C"/>
    <w:rsid w:val="00000B6A"/>
    <w:rsid w:val="00001210"/>
    <w:rsid w:val="00001376"/>
    <w:rsid w:val="000015DC"/>
    <w:rsid w:val="000023C1"/>
    <w:rsid w:val="000024BC"/>
    <w:rsid w:val="00003607"/>
    <w:rsid w:val="000037AD"/>
    <w:rsid w:val="00003D46"/>
    <w:rsid w:val="00004015"/>
    <w:rsid w:val="00004385"/>
    <w:rsid w:val="0000486F"/>
    <w:rsid w:val="000054C4"/>
    <w:rsid w:val="000060F8"/>
    <w:rsid w:val="00006340"/>
    <w:rsid w:val="00006696"/>
    <w:rsid w:val="0000783F"/>
    <w:rsid w:val="00007AB0"/>
    <w:rsid w:val="00010429"/>
    <w:rsid w:val="00010ABC"/>
    <w:rsid w:val="0001188C"/>
    <w:rsid w:val="00011C26"/>
    <w:rsid w:val="000124C9"/>
    <w:rsid w:val="00012C0C"/>
    <w:rsid w:val="000134BD"/>
    <w:rsid w:val="000136C4"/>
    <w:rsid w:val="00013B85"/>
    <w:rsid w:val="00013CB7"/>
    <w:rsid w:val="00014EC9"/>
    <w:rsid w:val="00014F96"/>
    <w:rsid w:val="0001619B"/>
    <w:rsid w:val="000162B9"/>
    <w:rsid w:val="000164FD"/>
    <w:rsid w:val="00016C1E"/>
    <w:rsid w:val="00016F15"/>
    <w:rsid w:val="00017280"/>
    <w:rsid w:val="00017D73"/>
    <w:rsid w:val="0002275F"/>
    <w:rsid w:val="00024617"/>
    <w:rsid w:val="0002488B"/>
    <w:rsid w:val="000256B8"/>
    <w:rsid w:val="00025D1B"/>
    <w:rsid w:val="00025E32"/>
    <w:rsid w:val="00026DFE"/>
    <w:rsid w:val="000272A2"/>
    <w:rsid w:val="000276A3"/>
    <w:rsid w:val="00027922"/>
    <w:rsid w:val="00027C02"/>
    <w:rsid w:val="0003085F"/>
    <w:rsid w:val="00030BFE"/>
    <w:rsid w:val="000314C6"/>
    <w:rsid w:val="00031B27"/>
    <w:rsid w:val="00031CA8"/>
    <w:rsid w:val="00031D5E"/>
    <w:rsid w:val="00032C0E"/>
    <w:rsid w:val="00033025"/>
    <w:rsid w:val="00033995"/>
    <w:rsid w:val="00033B2E"/>
    <w:rsid w:val="00033C2A"/>
    <w:rsid w:val="00033E04"/>
    <w:rsid w:val="00033E2D"/>
    <w:rsid w:val="00034031"/>
    <w:rsid w:val="00034716"/>
    <w:rsid w:val="0003563A"/>
    <w:rsid w:val="000360BD"/>
    <w:rsid w:val="00037B2E"/>
    <w:rsid w:val="00037FA0"/>
    <w:rsid w:val="00040C26"/>
    <w:rsid w:val="0004118F"/>
    <w:rsid w:val="000418A1"/>
    <w:rsid w:val="00041BF9"/>
    <w:rsid w:val="0004318E"/>
    <w:rsid w:val="00045982"/>
    <w:rsid w:val="00045CEF"/>
    <w:rsid w:val="0004671F"/>
    <w:rsid w:val="00046AB6"/>
    <w:rsid w:val="0004756B"/>
    <w:rsid w:val="000477FC"/>
    <w:rsid w:val="00047E50"/>
    <w:rsid w:val="00047F33"/>
    <w:rsid w:val="0005110F"/>
    <w:rsid w:val="00051F2A"/>
    <w:rsid w:val="00052064"/>
    <w:rsid w:val="00052300"/>
    <w:rsid w:val="0005235E"/>
    <w:rsid w:val="00052942"/>
    <w:rsid w:val="00052B46"/>
    <w:rsid w:val="000533B3"/>
    <w:rsid w:val="000540E2"/>
    <w:rsid w:val="00054174"/>
    <w:rsid w:val="00055155"/>
    <w:rsid w:val="00055C06"/>
    <w:rsid w:val="000563F3"/>
    <w:rsid w:val="00056446"/>
    <w:rsid w:val="00056E4E"/>
    <w:rsid w:val="00057095"/>
    <w:rsid w:val="000571B5"/>
    <w:rsid w:val="00057380"/>
    <w:rsid w:val="00057B2B"/>
    <w:rsid w:val="0006038B"/>
    <w:rsid w:val="000606AA"/>
    <w:rsid w:val="000613DD"/>
    <w:rsid w:val="00062FF4"/>
    <w:rsid w:val="000650DF"/>
    <w:rsid w:val="00065FD5"/>
    <w:rsid w:val="00066069"/>
    <w:rsid w:val="00066ABD"/>
    <w:rsid w:val="00066F65"/>
    <w:rsid w:val="000672A5"/>
    <w:rsid w:val="0006749B"/>
    <w:rsid w:val="00067CD1"/>
    <w:rsid w:val="0007028C"/>
    <w:rsid w:val="00070380"/>
    <w:rsid w:val="00070402"/>
    <w:rsid w:val="000707C4"/>
    <w:rsid w:val="00071215"/>
    <w:rsid w:val="00072372"/>
    <w:rsid w:val="00072AB2"/>
    <w:rsid w:val="00072D1A"/>
    <w:rsid w:val="0007389F"/>
    <w:rsid w:val="00073B47"/>
    <w:rsid w:val="00074A7D"/>
    <w:rsid w:val="00074CC3"/>
    <w:rsid w:val="0007543A"/>
    <w:rsid w:val="00075A95"/>
    <w:rsid w:val="00076EFF"/>
    <w:rsid w:val="0007731A"/>
    <w:rsid w:val="000804FF"/>
    <w:rsid w:val="00080F3A"/>
    <w:rsid w:val="00081236"/>
    <w:rsid w:val="0008155E"/>
    <w:rsid w:val="00081E0C"/>
    <w:rsid w:val="00082844"/>
    <w:rsid w:val="00083BE7"/>
    <w:rsid w:val="00084A6A"/>
    <w:rsid w:val="000852C2"/>
    <w:rsid w:val="00085E78"/>
    <w:rsid w:val="00085F28"/>
    <w:rsid w:val="00086A79"/>
    <w:rsid w:val="00090558"/>
    <w:rsid w:val="0009056B"/>
    <w:rsid w:val="00090719"/>
    <w:rsid w:val="00090ADF"/>
    <w:rsid w:val="00090B45"/>
    <w:rsid w:val="00091396"/>
    <w:rsid w:val="000915F2"/>
    <w:rsid w:val="0009323C"/>
    <w:rsid w:val="000942BB"/>
    <w:rsid w:val="00094772"/>
    <w:rsid w:val="00094B57"/>
    <w:rsid w:val="00097FC8"/>
    <w:rsid w:val="000A0668"/>
    <w:rsid w:val="000A0F7B"/>
    <w:rsid w:val="000A185D"/>
    <w:rsid w:val="000A1E6A"/>
    <w:rsid w:val="000A2AED"/>
    <w:rsid w:val="000A2EAC"/>
    <w:rsid w:val="000A4392"/>
    <w:rsid w:val="000A51F8"/>
    <w:rsid w:val="000A54FE"/>
    <w:rsid w:val="000A56C3"/>
    <w:rsid w:val="000A5BF1"/>
    <w:rsid w:val="000A75E7"/>
    <w:rsid w:val="000A7A94"/>
    <w:rsid w:val="000A7E37"/>
    <w:rsid w:val="000A7FA5"/>
    <w:rsid w:val="000B0C07"/>
    <w:rsid w:val="000B10AB"/>
    <w:rsid w:val="000B1958"/>
    <w:rsid w:val="000B3AE0"/>
    <w:rsid w:val="000B4491"/>
    <w:rsid w:val="000B50AB"/>
    <w:rsid w:val="000B5241"/>
    <w:rsid w:val="000B6432"/>
    <w:rsid w:val="000B655C"/>
    <w:rsid w:val="000B705B"/>
    <w:rsid w:val="000B7333"/>
    <w:rsid w:val="000C0254"/>
    <w:rsid w:val="000C13BC"/>
    <w:rsid w:val="000C17DF"/>
    <w:rsid w:val="000C5706"/>
    <w:rsid w:val="000C5BBE"/>
    <w:rsid w:val="000D03B6"/>
    <w:rsid w:val="000D0668"/>
    <w:rsid w:val="000D1120"/>
    <w:rsid w:val="000D116C"/>
    <w:rsid w:val="000D3795"/>
    <w:rsid w:val="000D3DBB"/>
    <w:rsid w:val="000D43EA"/>
    <w:rsid w:val="000D4700"/>
    <w:rsid w:val="000D5382"/>
    <w:rsid w:val="000D5461"/>
    <w:rsid w:val="000D713E"/>
    <w:rsid w:val="000D7631"/>
    <w:rsid w:val="000E0D95"/>
    <w:rsid w:val="000E39E1"/>
    <w:rsid w:val="000E4398"/>
    <w:rsid w:val="000E5463"/>
    <w:rsid w:val="000E5929"/>
    <w:rsid w:val="000F0BEB"/>
    <w:rsid w:val="000F1109"/>
    <w:rsid w:val="000F1878"/>
    <w:rsid w:val="000F1C8A"/>
    <w:rsid w:val="000F1F0A"/>
    <w:rsid w:val="000F4016"/>
    <w:rsid w:val="000F4369"/>
    <w:rsid w:val="000F4A2B"/>
    <w:rsid w:val="000F52C8"/>
    <w:rsid w:val="000F5BF5"/>
    <w:rsid w:val="000F5D98"/>
    <w:rsid w:val="000F5E5D"/>
    <w:rsid w:val="000F6320"/>
    <w:rsid w:val="000F6923"/>
    <w:rsid w:val="000F6A32"/>
    <w:rsid w:val="000F71C1"/>
    <w:rsid w:val="000F735E"/>
    <w:rsid w:val="000F7671"/>
    <w:rsid w:val="000F76C6"/>
    <w:rsid w:val="000F77B2"/>
    <w:rsid w:val="001002E5"/>
    <w:rsid w:val="001008FB"/>
    <w:rsid w:val="00101128"/>
    <w:rsid w:val="00101207"/>
    <w:rsid w:val="001015D0"/>
    <w:rsid w:val="00101A53"/>
    <w:rsid w:val="00101C51"/>
    <w:rsid w:val="001020E7"/>
    <w:rsid w:val="00103141"/>
    <w:rsid w:val="0010390A"/>
    <w:rsid w:val="00104209"/>
    <w:rsid w:val="00104348"/>
    <w:rsid w:val="0010460A"/>
    <w:rsid w:val="00104C18"/>
    <w:rsid w:val="001054C8"/>
    <w:rsid w:val="00106504"/>
    <w:rsid w:val="00106B96"/>
    <w:rsid w:val="0010761B"/>
    <w:rsid w:val="0010770F"/>
    <w:rsid w:val="00107D90"/>
    <w:rsid w:val="00110B4A"/>
    <w:rsid w:val="00111501"/>
    <w:rsid w:val="00111724"/>
    <w:rsid w:val="001117F3"/>
    <w:rsid w:val="00112ADF"/>
    <w:rsid w:val="00112BC8"/>
    <w:rsid w:val="0011548F"/>
    <w:rsid w:val="00115896"/>
    <w:rsid w:val="00115B17"/>
    <w:rsid w:val="0011604E"/>
    <w:rsid w:val="00116797"/>
    <w:rsid w:val="00116E24"/>
    <w:rsid w:val="00116F41"/>
    <w:rsid w:val="001170CB"/>
    <w:rsid w:val="00117899"/>
    <w:rsid w:val="00117A62"/>
    <w:rsid w:val="00117A8D"/>
    <w:rsid w:val="00120AC7"/>
    <w:rsid w:val="00122625"/>
    <w:rsid w:val="00122901"/>
    <w:rsid w:val="00122B0A"/>
    <w:rsid w:val="00122FB6"/>
    <w:rsid w:val="001232DF"/>
    <w:rsid w:val="001234DD"/>
    <w:rsid w:val="00123FB7"/>
    <w:rsid w:val="0012549C"/>
    <w:rsid w:val="00126290"/>
    <w:rsid w:val="00131470"/>
    <w:rsid w:val="00132D7D"/>
    <w:rsid w:val="00133DD6"/>
    <w:rsid w:val="0013435A"/>
    <w:rsid w:val="00134B1C"/>
    <w:rsid w:val="00135469"/>
    <w:rsid w:val="00135E48"/>
    <w:rsid w:val="00137762"/>
    <w:rsid w:val="00140103"/>
    <w:rsid w:val="0014054B"/>
    <w:rsid w:val="00140706"/>
    <w:rsid w:val="00140A7F"/>
    <w:rsid w:val="00141266"/>
    <w:rsid w:val="001414A6"/>
    <w:rsid w:val="00141E84"/>
    <w:rsid w:val="0014300A"/>
    <w:rsid w:val="0014314C"/>
    <w:rsid w:val="001436D6"/>
    <w:rsid w:val="00143EA3"/>
    <w:rsid w:val="00144778"/>
    <w:rsid w:val="0014520D"/>
    <w:rsid w:val="001453CA"/>
    <w:rsid w:val="00145733"/>
    <w:rsid w:val="00145FBE"/>
    <w:rsid w:val="00146640"/>
    <w:rsid w:val="001469A0"/>
    <w:rsid w:val="00146FF0"/>
    <w:rsid w:val="0014742E"/>
    <w:rsid w:val="001475A3"/>
    <w:rsid w:val="00147C47"/>
    <w:rsid w:val="001504F4"/>
    <w:rsid w:val="001506DC"/>
    <w:rsid w:val="001508D8"/>
    <w:rsid w:val="00151859"/>
    <w:rsid w:val="001518C3"/>
    <w:rsid w:val="00152924"/>
    <w:rsid w:val="00152CEF"/>
    <w:rsid w:val="00153786"/>
    <w:rsid w:val="00154238"/>
    <w:rsid w:val="00154E73"/>
    <w:rsid w:val="00155C67"/>
    <w:rsid w:val="00156C4A"/>
    <w:rsid w:val="00156DA1"/>
    <w:rsid w:val="00157976"/>
    <w:rsid w:val="0016053F"/>
    <w:rsid w:val="00161293"/>
    <w:rsid w:val="00161B4F"/>
    <w:rsid w:val="0016246B"/>
    <w:rsid w:val="00162EEE"/>
    <w:rsid w:val="00164537"/>
    <w:rsid w:val="00165F4A"/>
    <w:rsid w:val="00167A7B"/>
    <w:rsid w:val="00170E4E"/>
    <w:rsid w:val="001735AB"/>
    <w:rsid w:val="001735EE"/>
    <w:rsid w:val="001738D7"/>
    <w:rsid w:val="001745E3"/>
    <w:rsid w:val="00174EAA"/>
    <w:rsid w:val="00176582"/>
    <w:rsid w:val="00176C4D"/>
    <w:rsid w:val="001805E3"/>
    <w:rsid w:val="00180DF1"/>
    <w:rsid w:val="0018178C"/>
    <w:rsid w:val="00182F56"/>
    <w:rsid w:val="00183672"/>
    <w:rsid w:val="001839CC"/>
    <w:rsid w:val="0018401C"/>
    <w:rsid w:val="001845CD"/>
    <w:rsid w:val="001846F2"/>
    <w:rsid w:val="00184B0F"/>
    <w:rsid w:val="00184B5B"/>
    <w:rsid w:val="00185253"/>
    <w:rsid w:val="00185483"/>
    <w:rsid w:val="00185D0B"/>
    <w:rsid w:val="00186F8C"/>
    <w:rsid w:val="00187458"/>
    <w:rsid w:val="00187EDB"/>
    <w:rsid w:val="0019088C"/>
    <w:rsid w:val="00191A83"/>
    <w:rsid w:val="00194026"/>
    <w:rsid w:val="001943E1"/>
    <w:rsid w:val="001945CF"/>
    <w:rsid w:val="00194D0A"/>
    <w:rsid w:val="00194D5C"/>
    <w:rsid w:val="00194F13"/>
    <w:rsid w:val="001950D9"/>
    <w:rsid w:val="0019635A"/>
    <w:rsid w:val="001966F0"/>
    <w:rsid w:val="001968BC"/>
    <w:rsid w:val="00197070"/>
    <w:rsid w:val="001A14B6"/>
    <w:rsid w:val="001A22C5"/>
    <w:rsid w:val="001A318D"/>
    <w:rsid w:val="001A3465"/>
    <w:rsid w:val="001A3D8E"/>
    <w:rsid w:val="001A5285"/>
    <w:rsid w:val="001A606D"/>
    <w:rsid w:val="001A609D"/>
    <w:rsid w:val="001A7026"/>
    <w:rsid w:val="001A71D0"/>
    <w:rsid w:val="001B1FE4"/>
    <w:rsid w:val="001B2094"/>
    <w:rsid w:val="001B21FE"/>
    <w:rsid w:val="001B309B"/>
    <w:rsid w:val="001B3449"/>
    <w:rsid w:val="001B3F3B"/>
    <w:rsid w:val="001B424C"/>
    <w:rsid w:val="001B4B7D"/>
    <w:rsid w:val="001B4D97"/>
    <w:rsid w:val="001B4D9A"/>
    <w:rsid w:val="001B4DAE"/>
    <w:rsid w:val="001B642C"/>
    <w:rsid w:val="001B67C9"/>
    <w:rsid w:val="001B70A2"/>
    <w:rsid w:val="001B7559"/>
    <w:rsid w:val="001B7D68"/>
    <w:rsid w:val="001C04F0"/>
    <w:rsid w:val="001C0756"/>
    <w:rsid w:val="001C0A8D"/>
    <w:rsid w:val="001C1078"/>
    <w:rsid w:val="001C1122"/>
    <w:rsid w:val="001C1AA3"/>
    <w:rsid w:val="001C2933"/>
    <w:rsid w:val="001C2E93"/>
    <w:rsid w:val="001C3D3D"/>
    <w:rsid w:val="001C3E7F"/>
    <w:rsid w:val="001C4264"/>
    <w:rsid w:val="001C45CA"/>
    <w:rsid w:val="001C4F58"/>
    <w:rsid w:val="001C5C82"/>
    <w:rsid w:val="001C60BE"/>
    <w:rsid w:val="001C674C"/>
    <w:rsid w:val="001D01DD"/>
    <w:rsid w:val="001D142B"/>
    <w:rsid w:val="001D15D8"/>
    <w:rsid w:val="001D2007"/>
    <w:rsid w:val="001D3099"/>
    <w:rsid w:val="001D3FE3"/>
    <w:rsid w:val="001D41AB"/>
    <w:rsid w:val="001D4236"/>
    <w:rsid w:val="001D4571"/>
    <w:rsid w:val="001D51B9"/>
    <w:rsid w:val="001D684F"/>
    <w:rsid w:val="001D7163"/>
    <w:rsid w:val="001D77BE"/>
    <w:rsid w:val="001E014F"/>
    <w:rsid w:val="001E0D3F"/>
    <w:rsid w:val="001E1113"/>
    <w:rsid w:val="001E145B"/>
    <w:rsid w:val="001E16A5"/>
    <w:rsid w:val="001E17B0"/>
    <w:rsid w:val="001E22D7"/>
    <w:rsid w:val="001E2CC1"/>
    <w:rsid w:val="001E4864"/>
    <w:rsid w:val="001E48B7"/>
    <w:rsid w:val="001E4EF2"/>
    <w:rsid w:val="001E5280"/>
    <w:rsid w:val="001E58FF"/>
    <w:rsid w:val="001E6F95"/>
    <w:rsid w:val="001F0724"/>
    <w:rsid w:val="001F1FD3"/>
    <w:rsid w:val="001F2C42"/>
    <w:rsid w:val="001F434B"/>
    <w:rsid w:val="001F6CD2"/>
    <w:rsid w:val="001F735E"/>
    <w:rsid w:val="00200295"/>
    <w:rsid w:val="0020046B"/>
    <w:rsid w:val="00200572"/>
    <w:rsid w:val="00200BF1"/>
    <w:rsid w:val="0020139E"/>
    <w:rsid w:val="002016B3"/>
    <w:rsid w:val="00201942"/>
    <w:rsid w:val="00203761"/>
    <w:rsid w:val="0020392D"/>
    <w:rsid w:val="00204218"/>
    <w:rsid w:val="002049C5"/>
    <w:rsid w:val="002049D0"/>
    <w:rsid w:val="00205002"/>
    <w:rsid w:val="002050E4"/>
    <w:rsid w:val="002051F4"/>
    <w:rsid w:val="002057CF"/>
    <w:rsid w:val="0021005E"/>
    <w:rsid w:val="002121EF"/>
    <w:rsid w:val="002128AD"/>
    <w:rsid w:val="00212929"/>
    <w:rsid w:val="00212A2D"/>
    <w:rsid w:val="00213726"/>
    <w:rsid w:val="0021391A"/>
    <w:rsid w:val="00213A77"/>
    <w:rsid w:val="00213AD1"/>
    <w:rsid w:val="00213EDD"/>
    <w:rsid w:val="00214B9A"/>
    <w:rsid w:val="0021585E"/>
    <w:rsid w:val="002158E9"/>
    <w:rsid w:val="002162F0"/>
    <w:rsid w:val="00216314"/>
    <w:rsid w:val="00216E31"/>
    <w:rsid w:val="0021742A"/>
    <w:rsid w:val="00217E3A"/>
    <w:rsid w:val="00220BF4"/>
    <w:rsid w:val="00221B78"/>
    <w:rsid w:val="00222248"/>
    <w:rsid w:val="002224FC"/>
    <w:rsid w:val="002233EA"/>
    <w:rsid w:val="002237CA"/>
    <w:rsid w:val="00223A54"/>
    <w:rsid w:val="00223C5B"/>
    <w:rsid w:val="00223E97"/>
    <w:rsid w:val="00223FC2"/>
    <w:rsid w:val="002240BA"/>
    <w:rsid w:val="0022437A"/>
    <w:rsid w:val="002246C6"/>
    <w:rsid w:val="00226107"/>
    <w:rsid w:val="00226594"/>
    <w:rsid w:val="002265C4"/>
    <w:rsid w:val="00226D2B"/>
    <w:rsid w:val="0022744A"/>
    <w:rsid w:val="00230388"/>
    <w:rsid w:val="00232EDA"/>
    <w:rsid w:val="0023361F"/>
    <w:rsid w:val="002337E4"/>
    <w:rsid w:val="00233D9F"/>
    <w:rsid w:val="002346EA"/>
    <w:rsid w:val="00234A38"/>
    <w:rsid w:val="00235471"/>
    <w:rsid w:val="00235562"/>
    <w:rsid w:val="00235851"/>
    <w:rsid w:val="00235A68"/>
    <w:rsid w:val="00235B40"/>
    <w:rsid w:val="0023608C"/>
    <w:rsid w:val="0023642F"/>
    <w:rsid w:val="002366C0"/>
    <w:rsid w:val="00236C0D"/>
    <w:rsid w:val="00236F6C"/>
    <w:rsid w:val="002403AD"/>
    <w:rsid w:val="002409DB"/>
    <w:rsid w:val="00240FFB"/>
    <w:rsid w:val="00241B9E"/>
    <w:rsid w:val="00241DE1"/>
    <w:rsid w:val="00241E22"/>
    <w:rsid w:val="0024260F"/>
    <w:rsid w:val="00244ACD"/>
    <w:rsid w:val="00244B93"/>
    <w:rsid w:val="00244EEA"/>
    <w:rsid w:val="002451B9"/>
    <w:rsid w:val="002451D9"/>
    <w:rsid w:val="002459E3"/>
    <w:rsid w:val="002460C2"/>
    <w:rsid w:val="002460D1"/>
    <w:rsid w:val="002461BB"/>
    <w:rsid w:val="00246F69"/>
    <w:rsid w:val="0024724C"/>
    <w:rsid w:val="002476F4"/>
    <w:rsid w:val="00247AE0"/>
    <w:rsid w:val="00247D06"/>
    <w:rsid w:val="00252C2A"/>
    <w:rsid w:val="0025310E"/>
    <w:rsid w:val="0025396C"/>
    <w:rsid w:val="00253D3A"/>
    <w:rsid w:val="00253E00"/>
    <w:rsid w:val="0025445D"/>
    <w:rsid w:val="002547E5"/>
    <w:rsid w:val="002556F3"/>
    <w:rsid w:val="002564CF"/>
    <w:rsid w:val="0025664B"/>
    <w:rsid w:val="00256962"/>
    <w:rsid w:val="002573DD"/>
    <w:rsid w:val="00257731"/>
    <w:rsid w:val="00257A35"/>
    <w:rsid w:val="002600E9"/>
    <w:rsid w:val="0026064C"/>
    <w:rsid w:val="002607EE"/>
    <w:rsid w:val="00261353"/>
    <w:rsid w:val="00261805"/>
    <w:rsid w:val="00261B1B"/>
    <w:rsid w:val="00261FDD"/>
    <w:rsid w:val="00262E69"/>
    <w:rsid w:val="00262F58"/>
    <w:rsid w:val="00263DBC"/>
    <w:rsid w:val="00263F56"/>
    <w:rsid w:val="002650E5"/>
    <w:rsid w:val="00265BB5"/>
    <w:rsid w:val="0026669E"/>
    <w:rsid w:val="002678F1"/>
    <w:rsid w:val="00267CAB"/>
    <w:rsid w:val="002706C1"/>
    <w:rsid w:val="00270E85"/>
    <w:rsid w:val="00271304"/>
    <w:rsid w:val="002715BE"/>
    <w:rsid w:val="00271996"/>
    <w:rsid w:val="00271A56"/>
    <w:rsid w:val="00271C12"/>
    <w:rsid w:val="00271EA5"/>
    <w:rsid w:val="00272C65"/>
    <w:rsid w:val="002733FA"/>
    <w:rsid w:val="00273C81"/>
    <w:rsid w:val="00273ECD"/>
    <w:rsid w:val="002746D9"/>
    <w:rsid w:val="00274DA0"/>
    <w:rsid w:val="00275014"/>
    <w:rsid w:val="002753A1"/>
    <w:rsid w:val="0027577C"/>
    <w:rsid w:val="00275EAC"/>
    <w:rsid w:val="002771BB"/>
    <w:rsid w:val="0027769F"/>
    <w:rsid w:val="0027779B"/>
    <w:rsid w:val="002800DA"/>
    <w:rsid w:val="00280633"/>
    <w:rsid w:val="00280F4C"/>
    <w:rsid w:val="00281954"/>
    <w:rsid w:val="00282280"/>
    <w:rsid w:val="00282A3D"/>
    <w:rsid w:val="0028304F"/>
    <w:rsid w:val="00284787"/>
    <w:rsid w:val="00284808"/>
    <w:rsid w:val="0028549C"/>
    <w:rsid w:val="00285EF0"/>
    <w:rsid w:val="002864B7"/>
    <w:rsid w:val="00286D4A"/>
    <w:rsid w:val="002870AE"/>
    <w:rsid w:val="00287621"/>
    <w:rsid w:val="00287DD7"/>
    <w:rsid w:val="00290BD8"/>
    <w:rsid w:val="00292215"/>
    <w:rsid w:val="00292733"/>
    <w:rsid w:val="0029318A"/>
    <w:rsid w:val="002939D2"/>
    <w:rsid w:val="00293C7D"/>
    <w:rsid w:val="00294C3E"/>
    <w:rsid w:val="00297787"/>
    <w:rsid w:val="002A0130"/>
    <w:rsid w:val="002A082C"/>
    <w:rsid w:val="002A1261"/>
    <w:rsid w:val="002A1D28"/>
    <w:rsid w:val="002A236E"/>
    <w:rsid w:val="002A23F9"/>
    <w:rsid w:val="002A2AF4"/>
    <w:rsid w:val="002A3022"/>
    <w:rsid w:val="002A31E2"/>
    <w:rsid w:val="002A4EB8"/>
    <w:rsid w:val="002A577C"/>
    <w:rsid w:val="002A6CBC"/>
    <w:rsid w:val="002A7D3D"/>
    <w:rsid w:val="002B025B"/>
    <w:rsid w:val="002B02CF"/>
    <w:rsid w:val="002B0B1E"/>
    <w:rsid w:val="002B0FDE"/>
    <w:rsid w:val="002B128E"/>
    <w:rsid w:val="002B1435"/>
    <w:rsid w:val="002B349F"/>
    <w:rsid w:val="002B3769"/>
    <w:rsid w:val="002B3E4C"/>
    <w:rsid w:val="002B5301"/>
    <w:rsid w:val="002B5432"/>
    <w:rsid w:val="002B5BC1"/>
    <w:rsid w:val="002B5D8A"/>
    <w:rsid w:val="002B7580"/>
    <w:rsid w:val="002C0912"/>
    <w:rsid w:val="002C156C"/>
    <w:rsid w:val="002C1580"/>
    <w:rsid w:val="002C19DA"/>
    <w:rsid w:val="002C2088"/>
    <w:rsid w:val="002C2B75"/>
    <w:rsid w:val="002C322D"/>
    <w:rsid w:val="002C3324"/>
    <w:rsid w:val="002C34FB"/>
    <w:rsid w:val="002C3F51"/>
    <w:rsid w:val="002C4E35"/>
    <w:rsid w:val="002C5523"/>
    <w:rsid w:val="002C57BC"/>
    <w:rsid w:val="002C5DCC"/>
    <w:rsid w:val="002C6213"/>
    <w:rsid w:val="002C7F98"/>
    <w:rsid w:val="002D019F"/>
    <w:rsid w:val="002D05FD"/>
    <w:rsid w:val="002D1508"/>
    <w:rsid w:val="002D19EF"/>
    <w:rsid w:val="002D23C6"/>
    <w:rsid w:val="002D24EE"/>
    <w:rsid w:val="002D26A5"/>
    <w:rsid w:val="002D279C"/>
    <w:rsid w:val="002D28FE"/>
    <w:rsid w:val="002D2B9F"/>
    <w:rsid w:val="002D40CA"/>
    <w:rsid w:val="002D5A19"/>
    <w:rsid w:val="002D5CD1"/>
    <w:rsid w:val="002D5D6B"/>
    <w:rsid w:val="002D5F22"/>
    <w:rsid w:val="002D6BD9"/>
    <w:rsid w:val="002D71B3"/>
    <w:rsid w:val="002D7363"/>
    <w:rsid w:val="002E0894"/>
    <w:rsid w:val="002E0BDE"/>
    <w:rsid w:val="002E0CCE"/>
    <w:rsid w:val="002E18E9"/>
    <w:rsid w:val="002E2024"/>
    <w:rsid w:val="002E2086"/>
    <w:rsid w:val="002E2857"/>
    <w:rsid w:val="002E2B10"/>
    <w:rsid w:val="002E2C9E"/>
    <w:rsid w:val="002E6055"/>
    <w:rsid w:val="002E6C1E"/>
    <w:rsid w:val="002E71D0"/>
    <w:rsid w:val="002F1D23"/>
    <w:rsid w:val="002F1EAE"/>
    <w:rsid w:val="002F2C56"/>
    <w:rsid w:val="002F2D14"/>
    <w:rsid w:val="002F3612"/>
    <w:rsid w:val="002F3722"/>
    <w:rsid w:val="002F424C"/>
    <w:rsid w:val="002F43C5"/>
    <w:rsid w:val="002F63D3"/>
    <w:rsid w:val="002F64AF"/>
    <w:rsid w:val="002F7698"/>
    <w:rsid w:val="002F7BDE"/>
    <w:rsid w:val="0030087A"/>
    <w:rsid w:val="00300E81"/>
    <w:rsid w:val="00300EC0"/>
    <w:rsid w:val="00301711"/>
    <w:rsid w:val="00301B4B"/>
    <w:rsid w:val="00301CA9"/>
    <w:rsid w:val="00302034"/>
    <w:rsid w:val="00302B5E"/>
    <w:rsid w:val="003034CA"/>
    <w:rsid w:val="00304004"/>
    <w:rsid w:val="00304AC6"/>
    <w:rsid w:val="00304DE7"/>
    <w:rsid w:val="00304FAB"/>
    <w:rsid w:val="00305196"/>
    <w:rsid w:val="00305563"/>
    <w:rsid w:val="00306EA4"/>
    <w:rsid w:val="00310C01"/>
    <w:rsid w:val="00313247"/>
    <w:rsid w:val="00315AAE"/>
    <w:rsid w:val="00315EBD"/>
    <w:rsid w:val="003179C6"/>
    <w:rsid w:val="00317AC2"/>
    <w:rsid w:val="00317DB2"/>
    <w:rsid w:val="0032124B"/>
    <w:rsid w:val="00321345"/>
    <w:rsid w:val="00321560"/>
    <w:rsid w:val="00321756"/>
    <w:rsid w:val="00321786"/>
    <w:rsid w:val="003217E5"/>
    <w:rsid w:val="00321EDE"/>
    <w:rsid w:val="00322A43"/>
    <w:rsid w:val="00322D0F"/>
    <w:rsid w:val="0032374A"/>
    <w:rsid w:val="003246BD"/>
    <w:rsid w:val="00324BFD"/>
    <w:rsid w:val="003256F6"/>
    <w:rsid w:val="0032636C"/>
    <w:rsid w:val="00326B41"/>
    <w:rsid w:val="00327C7D"/>
    <w:rsid w:val="003306EF"/>
    <w:rsid w:val="0033176C"/>
    <w:rsid w:val="00333BA1"/>
    <w:rsid w:val="00334D28"/>
    <w:rsid w:val="00334E12"/>
    <w:rsid w:val="00334F7B"/>
    <w:rsid w:val="00336A23"/>
    <w:rsid w:val="00336C2B"/>
    <w:rsid w:val="003370D8"/>
    <w:rsid w:val="003401B4"/>
    <w:rsid w:val="00340373"/>
    <w:rsid w:val="00340655"/>
    <w:rsid w:val="00340A9C"/>
    <w:rsid w:val="00340E5C"/>
    <w:rsid w:val="003415BF"/>
    <w:rsid w:val="0034244A"/>
    <w:rsid w:val="00342F75"/>
    <w:rsid w:val="0034441A"/>
    <w:rsid w:val="0034446A"/>
    <w:rsid w:val="00344A85"/>
    <w:rsid w:val="00345A4E"/>
    <w:rsid w:val="003470F7"/>
    <w:rsid w:val="00350711"/>
    <w:rsid w:val="00350F5F"/>
    <w:rsid w:val="00351041"/>
    <w:rsid w:val="003512C8"/>
    <w:rsid w:val="003514A6"/>
    <w:rsid w:val="00352174"/>
    <w:rsid w:val="0035235B"/>
    <w:rsid w:val="003529EE"/>
    <w:rsid w:val="00352F28"/>
    <w:rsid w:val="00353294"/>
    <w:rsid w:val="003538D9"/>
    <w:rsid w:val="00353C03"/>
    <w:rsid w:val="00354B44"/>
    <w:rsid w:val="00354CCE"/>
    <w:rsid w:val="0035518A"/>
    <w:rsid w:val="00355592"/>
    <w:rsid w:val="00355757"/>
    <w:rsid w:val="00356B51"/>
    <w:rsid w:val="00356E60"/>
    <w:rsid w:val="003573AD"/>
    <w:rsid w:val="00357CEE"/>
    <w:rsid w:val="0036002B"/>
    <w:rsid w:val="00360668"/>
    <w:rsid w:val="00360FDE"/>
    <w:rsid w:val="00361568"/>
    <w:rsid w:val="00361C2D"/>
    <w:rsid w:val="00361D95"/>
    <w:rsid w:val="00362B6B"/>
    <w:rsid w:val="00362B78"/>
    <w:rsid w:val="00364AF6"/>
    <w:rsid w:val="0036524A"/>
    <w:rsid w:val="0036550E"/>
    <w:rsid w:val="00365F44"/>
    <w:rsid w:val="003663DA"/>
    <w:rsid w:val="003664AF"/>
    <w:rsid w:val="00366863"/>
    <w:rsid w:val="00366AA1"/>
    <w:rsid w:val="003677DA"/>
    <w:rsid w:val="00370C6E"/>
    <w:rsid w:val="003715F9"/>
    <w:rsid w:val="00371ECB"/>
    <w:rsid w:val="003723AD"/>
    <w:rsid w:val="00372451"/>
    <w:rsid w:val="00372BD9"/>
    <w:rsid w:val="00373614"/>
    <w:rsid w:val="00374174"/>
    <w:rsid w:val="00374318"/>
    <w:rsid w:val="0037508B"/>
    <w:rsid w:val="00375F9E"/>
    <w:rsid w:val="0037772C"/>
    <w:rsid w:val="003778FC"/>
    <w:rsid w:val="0038004D"/>
    <w:rsid w:val="003809C1"/>
    <w:rsid w:val="00380D17"/>
    <w:rsid w:val="003818D9"/>
    <w:rsid w:val="00381CE7"/>
    <w:rsid w:val="00382716"/>
    <w:rsid w:val="00382FD0"/>
    <w:rsid w:val="003844F4"/>
    <w:rsid w:val="00384C1E"/>
    <w:rsid w:val="00384F2B"/>
    <w:rsid w:val="00385277"/>
    <w:rsid w:val="00385543"/>
    <w:rsid w:val="0038576B"/>
    <w:rsid w:val="0038594D"/>
    <w:rsid w:val="00387369"/>
    <w:rsid w:val="003877DB"/>
    <w:rsid w:val="00387E1E"/>
    <w:rsid w:val="00390306"/>
    <w:rsid w:val="00390901"/>
    <w:rsid w:val="00391920"/>
    <w:rsid w:val="00391BC0"/>
    <w:rsid w:val="00392A9D"/>
    <w:rsid w:val="00392EB8"/>
    <w:rsid w:val="00393A98"/>
    <w:rsid w:val="00393C68"/>
    <w:rsid w:val="003942F9"/>
    <w:rsid w:val="00394524"/>
    <w:rsid w:val="00394D0B"/>
    <w:rsid w:val="00394E89"/>
    <w:rsid w:val="00395076"/>
    <w:rsid w:val="00395982"/>
    <w:rsid w:val="00396605"/>
    <w:rsid w:val="0039708D"/>
    <w:rsid w:val="003A05E2"/>
    <w:rsid w:val="003A0635"/>
    <w:rsid w:val="003A1644"/>
    <w:rsid w:val="003A169F"/>
    <w:rsid w:val="003A19A4"/>
    <w:rsid w:val="003A22F3"/>
    <w:rsid w:val="003A2B5B"/>
    <w:rsid w:val="003A3AC2"/>
    <w:rsid w:val="003A3BE1"/>
    <w:rsid w:val="003A3E15"/>
    <w:rsid w:val="003A4090"/>
    <w:rsid w:val="003A4803"/>
    <w:rsid w:val="003A4D7C"/>
    <w:rsid w:val="003A4DAC"/>
    <w:rsid w:val="003A5800"/>
    <w:rsid w:val="003A78AC"/>
    <w:rsid w:val="003B106A"/>
    <w:rsid w:val="003B10CE"/>
    <w:rsid w:val="003B14C8"/>
    <w:rsid w:val="003B1697"/>
    <w:rsid w:val="003B1E98"/>
    <w:rsid w:val="003B2118"/>
    <w:rsid w:val="003B2654"/>
    <w:rsid w:val="003B2D42"/>
    <w:rsid w:val="003B2F7E"/>
    <w:rsid w:val="003B38CE"/>
    <w:rsid w:val="003B3C1B"/>
    <w:rsid w:val="003B4BE8"/>
    <w:rsid w:val="003B4DB1"/>
    <w:rsid w:val="003B4DBE"/>
    <w:rsid w:val="003B4EE8"/>
    <w:rsid w:val="003B6684"/>
    <w:rsid w:val="003B68AC"/>
    <w:rsid w:val="003B70ED"/>
    <w:rsid w:val="003B788A"/>
    <w:rsid w:val="003C05DA"/>
    <w:rsid w:val="003C0B85"/>
    <w:rsid w:val="003C1513"/>
    <w:rsid w:val="003C194C"/>
    <w:rsid w:val="003C1983"/>
    <w:rsid w:val="003C26A7"/>
    <w:rsid w:val="003C2769"/>
    <w:rsid w:val="003C3056"/>
    <w:rsid w:val="003C3566"/>
    <w:rsid w:val="003C5BBC"/>
    <w:rsid w:val="003C68DB"/>
    <w:rsid w:val="003C6B01"/>
    <w:rsid w:val="003C6BC8"/>
    <w:rsid w:val="003C6BDE"/>
    <w:rsid w:val="003C7282"/>
    <w:rsid w:val="003C75D3"/>
    <w:rsid w:val="003C7956"/>
    <w:rsid w:val="003C7979"/>
    <w:rsid w:val="003D08C4"/>
    <w:rsid w:val="003D0A20"/>
    <w:rsid w:val="003D210E"/>
    <w:rsid w:val="003D23A0"/>
    <w:rsid w:val="003D39CA"/>
    <w:rsid w:val="003D4176"/>
    <w:rsid w:val="003D41FC"/>
    <w:rsid w:val="003D4723"/>
    <w:rsid w:val="003D47A2"/>
    <w:rsid w:val="003D66B1"/>
    <w:rsid w:val="003D69B9"/>
    <w:rsid w:val="003D6B66"/>
    <w:rsid w:val="003E0967"/>
    <w:rsid w:val="003E0CE4"/>
    <w:rsid w:val="003E1227"/>
    <w:rsid w:val="003E133E"/>
    <w:rsid w:val="003E175A"/>
    <w:rsid w:val="003E1DBD"/>
    <w:rsid w:val="003E1E91"/>
    <w:rsid w:val="003E3045"/>
    <w:rsid w:val="003E3094"/>
    <w:rsid w:val="003E39F8"/>
    <w:rsid w:val="003E4CC2"/>
    <w:rsid w:val="003E5046"/>
    <w:rsid w:val="003E546F"/>
    <w:rsid w:val="003E6103"/>
    <w:rsid w:val="003E73BA"/>
    <w:rsid w:val="003E73CB"/>
    <w:rsid w:val="003F1364"/>
    <w:rsid w:val="003F148F"/>
    <w:rsid w:val="003F275E"/>
    <w:rsid w:val="003F280F"/>
    <w:rsid w:val="003F4213"/>
    <w:rsid w:val="003F591B"/>
    <w:rsid w:val="003F5F95"/>
    <w:rsid w:val="003F6040"/>
    <w:rsid w:val="003F6E1E"/>
    <w:rsid w:val="00400022"/>
    <w:rsid w:val="004002B1"/>
    <w:rsid w:val="00400B83"/>
    <w:rsid w:val="0040193D"/>
    <w:rsid w:val="00403871"/>
    <w:rsid w:val="00404056"/>
    <w:rsid w:val="00404405"/>
    <w:rsid w:val="004044F3"/>
    <w:rsid w:val="00405678"/>
    <w:rsid w:val="00405911"/>
    <w:rsid w:val="0040633F"/>
    <w:rsid w:val="00411E35"/>
    <w:rsid w:val="004124A7"/>
    <w:rsid w:val="004128F1"/>
    <w:rsid w:val="00413155"/>
    <w:rsid w:val="0041431C"/>
    <w:rsid w:val="00414BC5"/>
    <w:rsid w:val="0041508C"/>
    <w:rsid w:val="00415809"/>
    <w:rsid w:val="00415A13"/>
    <w:rsid w:val="00417150"/>
    <w:rsid w:val="0041722D"/>
    <w:rsid w:val="00417560"/>
    <w:rsid w:val="004209BD"/>
    <w:rsid w:val="0042197C"/>
    <w:rsid w:val="004233C2"/>
    <w:rsid w:val="00423DF6"/>
    <w:rsid w:val="004244DB"/>
    <w:rsid w:val="00424AEB"/>
    <w:rsid w:val="00424BFB"/>
    <w:rsid w:val="00424F4A"/>
    <w:rsid w:val="004255DB"/>
    <w:rsid w:val="00425922"/>
    <w:rsid w:val="00425A06"/>
    <w:rsid w:val="00425A9C"/>
    <w:rsid w:val="00425B96"/>
    <w:rsid w:val="00426A45"/>
    <w:rsid w:val="00426B39"/>
    <w:rsid w:val="0042778D"/>
    <w:rsid w:val="0043001A"/>
    <w:rsid w:val="00430C01"/>
    <w:rsid w:val="00431078"/>
    <w:rsid w:val="00431AA8"/>
    <w:rsid w:val="00431F6C"/>
    <w:rsid w:val="00432023"/>
    <w:rsid w:val="004322FD"/>
    <w:rsid w:val="00432506"/>
    <w:rsid w:val="00433276"/>
    <w:rsid w:val="00435D02"/>
    <w:rsid w:val="00435DE5"/>
    <w:rsid w:val="004404AC"/>
    <w:rsid w:val="00440948"/>
    <w:rsid w:val="0044145C"/>
    <w:rsid w:val="0044169A"/>
    <w:rsid w:val="0044253D"/>
    <w:rsid w:val="00443D5A"/>
    <w:rsid w:val="00443FED"/>
    <w:rsid w:val="00444A89"/>
    <w:rsid w:val="004453C9"/>
    <w:rsid w:val="0044548E"/>
    <w:rsid w:val="00445574"/>
    <w:rsid w:val="00446191"/>
    <w:rsid w:val="00446654"/>
    <w:rsid w:val="00446C39"/>
    <w:rsid w:val="00446F6A"/>
    <w:rsid w:val="00447635"/>
    <w:rsid w:val="00447B63"/>
    <w:rsid w:val="00447FB6"/>
    <w:rsid w:val="00450D1D"/>
    <w:rsid w:val="00450F06"/>
    <w:rsid w:val="004511B9"/>
    <w:rsid w:val="004518A7"/>
    <w:rsid w:val="00451D67"/>
    <w:rsid w:val="00453BBD"/>
    <w:rsid w:val="00454557"/>
    <w:rsid w:val="00454558"/>
    <w:rsid w:val="00455C03"/>
    <w:rsid w:val="00456902"/>
    <w:rsid w:val="0045713E"/>
    <w:rsid w:val="00457239"/>
    <w:rsid w:val="004602BD"/>
    <w:rsid w:val="0046080A"/>
    <w:rsid w:val="00460D77"/>
    <w:rsid w:val="0046138D"/>
    <w:rsid w:val="004619A3"/>
    <w:rsid w:val="00461F59"/>
    <w:rsid w:val="0046209D"/>
    <w:rsid w:val="00462793"/>
    <w:rsid w:val="00464088"/>
    <w:rsid w:val="00464847"/>
    <w:rsid w:val="0046547B"/>
    <w:rsid w:val="004656C1"/>
    <w:rsid w:val="00465873"/>
    <w:rsid w:val="00465A53"/>
    <w:rsid w:val="004662D3"/>
    <w:rsid w:val="004668BC"/>
    <w:rsid w:val="004672E3"/>
    <w:rsid w:val="0046779D"/>
    <w:rsid w:val="00467888"/>
    <w:rsid w:val="00471958"/>
    <w:rsid w:val="00471BD7"/>
    <w:rsid w:val="00471F2C"/>
    <w:rsid w:val="00472549"/>
    <w:rsid w:val="004737C2"/>
    <w:rsid w:val="00474711"/>
    <w:rsid w:val="00475845"/>
    <w:rsid w:val="00475AA0"/>
    <w:rsid w:val="00475EB1"/>
    <w:rsid w:val="00477255"/>
    <w:rsid w:val="0047759E"/>
    <w:rsid w:val="00477914"/>
    <w:rsid w:val="004801D3"/>
    <w:rsid w:val="004803FC"/>
    <w:rsid w:val="00480E9D"/>
    <w:rsid w:val="00480F4A"/>
    <w:rsid w:val="004819DF"/>
    <w:rsid w:val="004822ED"/>
    <w:rsid w:val="0048268B"/>
    <w:rsid w:val="0048335F"/>
    <w:rsid w:val="004834A1"/>
    <w:rsid w:val="00483933"/>
    <w:rsid w:val="00483B86"/>
    <w:rsid w:val="00484082"/>
    <w:rsid w:val="004848AA"/>
    <w:rsid w:val="00484FBF"/>
    <w:rsid w:val="00486845"/>
    <w:rsid w:val="0048724B"/>
    <w:rsid w:val="00487DC8"/>
    <w:rsid w:val="00490FC5"/>
    <w:rsid w:val="004910EF"/>
    <w:rsid w:val="004919DB"/>
    <w:rsid w:val="004929DC"/>
    <w:rsid w:val="00492EF2"/>
    <w:rsid w:val="00493E68"/>
    <w:rsid w:val="004940AB"/>
    <w:rsid w:val="004946E1"/>
    <w:rsid w:val="004948D3"/>
    <w:rsid w:val="004959B8"/>
    <w:rsid w:val="00495E6F"/>
    <w:rsid w:val="004970B2"/>
    <w:rsid w:val="004976F4"/>
    <w:rsid w:val="00497F9A"/>
    <w:rsid w:val="004A00E4"/>
    <w:rsid w:val="004A0768"/>
    <w:rsid w:val="004A1175"/>
    <w:rsid w:val="004A1394"/>
    <w:rsid w:val="004A1CA0"/>
    <w:rsid w:val="004A213D"/>
    <w:rsid w:val="004A472C"/>
    <w:rsid w:val="004A4A8B"/>
    <w:rsid w:val="004A4B9C"/>
    <w:rsid w:val="004A5538"/>
    <w:rsid w:val="004A6CCE"/>
    <w:rsid w:val="004A6EAD"/>
    <w:rsid w:val="004A7080"/>
    <w:rsid w:val="004A74C4"/>
    <w:rsid w:val="004A74F9"/>
    <w:rsid w:val="004A7A66"/>
    <w:rsid w:val="004B04BC"/>
    <w:rsid w:val="004B1C25"/>
    <w:rsid w:val="004B20DE"/>
    <w:rsid w:val="004B29D5"/>
    <w:rsid w:val="004B3353"/>
    <w:rsid w:val="004B3889"/>
    <w:rsid w:val="004B4972"/>
    <w:rsid w:val="004B5FE4"/>
    <w:rsid w:val="004B6ED4"/>
    <w:rsid w:val="004B6FAD"/>
    <w:rsid w:val="004B7611"/>
    <w:rsid w:val="004B7856"/>
    <w:rsid w:val="004B7EBB"/>
    <w:rsid w:val="004C05B1"/>
    <w:rsid w:val="004C09A6"/>
    <w:rsid w:val="004C0E23"/>
    <w:rsid w:val="004C143D"/>
    <w:rsid w:val="004C17D2"/>
    <w:rsid w:val="004C1B95"/>
    <w:rsid w:val="004C4D90"/>
    <w:rsid w:val="004C4FB1"/>
    <w:rsid w:val="004C5397"/>
    <w:rsid w:val="004C57FE"/>
    <w:rsid w:val="004C6558"/>
    <w:rsid w:val="004C6BE3"/>
    <w:rsid w:val="004C71E6"/>
    <w:rsid w:val="004C755E"/>
    <w:rsid w:val="004C780F"/>
    <w:rsid w:val="004C7986"/>
    <w:rsid w:val="004C7B9E"/>
    <w:rsid w:val="004D0028"/>
    <w:rsid w:val="004D176D"/>
    <w:rsid w:val="004D1ADD"/>
    <w:rsid w:val="004D25F1"/>
    <w:rsid w:val="004D2C06"/>
    <w:rsid w:val="004D2F98"/>
    <w:rsid w:val="004D3602"/>
    <w:rsid w:val="004D4F7B"/>
    <w:rsid w:val="004D5C45"/>
    <w:rsid w:val="004D6821"/>
    <w:rsid w:val="004D6A46"/>
    <w:rsid w:val="004D7479"/>
    <w:rsid w:val="004D7CE4"/>
    <w:rsid w:val="004E0062"/>
    <w:rsid w:val="004E037C"/>
    <w:rsid w:val="004E13E9"/>
    <w:rsid w:val="004E1563"/>
    <w:rsid w:val="004E18F8"/>
    <w:rsid w:val="004E1DA4"/>
    <w:rsid w:val="004E20E6"/>
    <w:rsid w:val="004E239F"/>
    <w:rsid w:val="004E28B7"/>
    <w:rsid w:val="004E2D7A"/>
    <w:rsid w:val="004E41CF"/>
    <w:rsid w:val="004E562B"/>
    <w:rsid w:val="004E58C8"/>
    <w:rsid w:val="004E5A46"/>
    <w:rsid w:val="004E61D2"/>
    <w:rsid w:val="004E6712"/>
    <w:rsid w:val="004E6A6D"/>
    <w:rsid w:val="004E6C85"/>
    <w:rsid w:val="004E744A"/>
    <w:rsid w:val="004F00B0"/>
    <w:rsid w:val="004F0120"/>
    <w:rsid w:val="004F194C"/>
    <w:rsid w:val="004F1E64"/>
    <w:rsid w:val="004F2A77"/>
    <w:rsid w:val="004F30E1"/>
    <w:rsid w:val="004F3681"/>
    <w:rsid w:val="004F4595"/>
    <w:rsid w:val="004F47ED"/>
    <w:rsid w:val="004F4902"/>
    <w:rsid w:val="004F4C00"/>
    <w:rsid w:val="004F57E7"/>
    <w:rsid w:val="004F5D8D"/>
    <w:rsid w:val="004F62A7"/>
    <w:rsid w:val="004F6A79"/>
    <w:rsid w:val="004F71A5"/>
    <w:rsid w:val="004F7E28"/>
    <w:rsid w:val="00500665"/>
    <w:rsid w:val="00500B1B"/>
    <w:rsid w:val="00501048"/>
    <w:rsid w:val="005017AD"/>
    <w:rsid w:val="00501BCE"/>
    <w:rsid w:val="00501BF4"/>
    <w:rsid w:val="00502622"/>
    <w:rsid w:val="005028DC"/>
    <w:rsid w:val="00502BE4"/>
    <w:rsid w:val="00503870"/>
    <w:rsid w:val="0050396C"/>
    <w:rsid w:val="00503A64"/>
    <w:rsid w:val="00503A6D"/>
    <w:rsid w:val="005041B5"/>
    <w:rsid w:val="0050444C"/>
    <w:rsid w:val="0050465E"/>
    <w:rsid w:val="00504765"/>
    <w:rsid w:val="0050520D"/>
    <w:rsid w:val="00505748"/>
    <w:rsid w:val="00505A33"/>
    <w:rsid w:val="00505B01"/>
    <w:rsid w:val="00505CC1"/>
    <w:rsid w:val="0050604C"/>
    <w:rsid w:val="005061FF"/>
    <w:rsid w:val="005067BF"/>
    <w:rsid w:val="00506922"/>
    <w:rsid w:val="00506AE4"/>
    <w:rsid w:val="00506B11"/>
    <w:rsid w:val="00506C2B"/>
    <w:rsid w:val="00507780"/>
    <w:rsid w:val="00507E9A"/>
    <w:rsid w:val="00507EFC"/>
    <w:rsid w:val="00510C17"/>
    <w:rsid w:val="005112EC"/>
    <w:rsid w:val="00512C64"/>
    <w:rsid w:val="005147E1"/>
    <w:rsid w:val="0051483E"/>
    <w:rsid w:val="00514A60"/>
    <w:rsid w:val="00515E93"/>
    <w:rsid w:val="005173F6"/>
    <w:rsid w:val="00517E4C"/>
    <w:rsid w:val="00521D6C"/>
    <w:rsid w:val="00522195"/>
    <w:rsid w:val="00523BD2"/>
    <w:rsid w:val="00524242"/>
    <w:rsid w:val="005242A3"/>
    <w:rsid w:val="00524785"/>
    <w:rsid w:val="005247CC"/>
    <w:rsid w:val="00524DCB"/>
    <w:rsid w:val="00525A70"/>
    <w:rsid w:val="00525C95"/>
    <w:rsid w:val="0052645A"/>
    <w:rsid w:val="00526E3E"/>
    <w:rsid w:val="0052717B"/>
    <w:rsid w:val="00527D90"/>
    <w:rsid w:val="005305F1"/>
    <w:rsid w:val="00530B47"/>
    <w:rsid w:val="00531279"/>
    <w:rsid w:val="00531549"/>
    <w:rsid w:val="00531A31"/>
    <w:rsid w:val="00532E74"/>
    <w:rsid w:val="00533CB6"/>
    <w:rsid w:val="00534584"/>
    <w:rsid w:val="00536717"/>
    <w:rsid w:val="00537D46"/>
    <w:rsid w:val="00537ED0"/>
    <w:rsid w:val="005403EB"/>
    <w:rsid w:val="005414D7"/>
    <w:rsid w:val="00541590"/>
    <w:rsid w:val="005416C7"/>
    <w:rsid w:val="005417C2"/>
    <w:rsid w:val="005417F0"/>
    <w:rsid w:val="00541B4F"/>
    <w:rsid w:val="005420B4"/>
    <w:rsid w:val="00542F24"/>
    <w:rsid w:val="00543277"/>
    <w:rsid w:val="005435DF"/>
    <w:rsid w:val="00543CE0"/>
    <w:rsid w:val="00543EFD"/>
    <w:rsid w:val="00544EE6"/>
    <w:rsid w:val="00544FD7"/>
    <w:rsid w:val="005451FD"/>
    <w:rsid w:val="00545378"/>
    <w:rsid w:val="00545806"/>
    <w:rsid w:val="00545CCE"/>
    <w:rsid w:val="00547638"/>
    <w:rsid w:val="00547ADA"/>
    <w:rsid w:val="0055082E"/>
    <w:rsid w:val="005515E0"/>
    <w:rsid w:val="00551887"/>
    <w:rsid w:val="00552A93"/>
    <w:rsid w:val="00552F5E"/>
    <w:rsid w:val="0055355C"/>
    <w:rsid w:val="00553ED0"/>
    <w:rsid w:val="00554194"/>
    <w:rsid w:val="0055508E"/>
    <w:rsid w:val="00555156"/>
    <w:rsid w:val="005555CE"/>
    <w:rsid w:val="00555C4C"/>
    <w:rsid w:val="00556355"/>
    <w:rsid w:val="0055651A"/>
    <w:rsid w:val="0055676C"/>
    <w:rsid w:val="00556CD9"/>
    <w:rsid w:val="00556D3B"/>
    <w:rsid w:val="00557794"/>
    <w:rsid w:val="005607F3"/>
    <w:rsid w:val="0056250B"/>
    <w:rsid w:val="00562CA7"/>
    <w:rsid w:val="00563038"/>
    <w:rsid w:val="005632B4"/>
    <w:rsid w:val="00563A72"/>
    <w:rsid w:val="0056790E"/>
    <w:rsid w:val="005700E7"/>
    <w:rsid w:val="00570651"/>
    <w:rsid w:val="005713DC"/>
    <w:rsid w:val="00572DE0"/>
    <w:rsid w:val="00573139"/>
    <w:rsid w:val="00574471"/>
    <w:rsid w:val="0057683F"/>
    <w:rsid w:val="0057700A"/>
    <w:rsid w:val="0057702C"/>
    <w:rsid w:val="00577233"/>
    <w:rsid w:val="00577B5F"/>
    <w:rsid w:val="0058176B"/>
    <w:rsid w:val="005824EA"/>
    <w:rsid w:val="00582793"/>
    <w:rsid w:val="0058291A"/>
    <w:rsid w:val="00582F16"/>
    <w:rsid w:val="00583863"/>
    <w:rsid w:val="00583897"/>
    <w:rsid w:val="0058402B"/>
    <w:rsid w:val="0058505F"/>
    <w:rsid w:val="005853A5"/>
    <w:rsid w:val="00585755"/>
    <w:rsid w:val="00585BCE"/>
    <w:rsid w:val="00586B99"/>
    <w:rsid w:val="005874B7"/>
    <w:rsid w:val="00587812"/>
    <w:rsid w:val="00587B94"/>
    <w:rsid w:val="00587DE5"/>
    <w:rsid w:val="005917F3"/>
    <w:rsid w:val="00592310"/>
    <w:rsid w:val="00592638"/>
    <w:rsid w:val="0059284B"/>
    <w:rsid w:val="00592B19"/>
    <w:rsid w:val="005934AF"/>
    <w:rsid w:val="00593836"/>
    <w:rsid w:val="00593A4E"/>
    <w:rsid w:val="00593FED"/>
    <w:rsid w:val="005951B9"/>
    <w:rsid w:val="005965C1"/>
    <w:rsid w:val="00596874"/>
    <w:rsid w:val="00596E3D"/>
    <w:rsid w:val="00596F04"/>
    <w:rsid w:val="00597174"/>
    <w:rsid w:val="005974F1"/>
    <w:rsid w:val="005A0474"/>
    <w:rsid w:val="005A052A"/>
    <w:rsid w:val="005A1324"/>
    <w:rsid w:val="005A1751"/>
    <w:rsid w:val="005A1BAB"/>
    <w:rsid w:val="005A1F36"/>
    <w:rsid w:val="005A2676"/>
    <w:rsid w:val="005A2A2D"/>
    <w:rsid w:val="005A2F33"/>
    <w:rsid w:val="005A3C4A"/>
    <w:rsid w:val="005A3E8C"/>
    <w:rsid w:val="005A4266"/>
    <w:rsid w:val="005A461F"/>
    <w:rsid w:val="005A4885"/>
    <w:rsid w:val="005A5165"/>
    <w:rsid w:val="005A612B"/>
    <w:rsid w:val="005A6BDE"/>
    <w:rsid w:val="005A7467"/>
    <w:rsid w:val="005A7901"/>
    <w:rsid w:val="005B0CA7"/>
    <w:rsid w:val="005B270C"/>
    <w:rsid w:val="005B2779"/>
    <w:rsid w:val="005B30C7"/>
    <w:rsid w:val="005B3871"/>
    <w:rsid w:val="005B3D86"/>
    <w:rsid w:val="005B3FCE"/>
    <w:rsid w:val="005B4658"/>
    <w:rsid w:val="005B4C76"/>
    <w:rsid w:val="005B4D9B"/>
    <w:rsid w:val="005B55B8"/>
    <w:rsid w:val="005B608A"/>
    <w:rsid w:val="005B63D4"/>
    <w:rsid w:val="005B6D35"/>
    <w:rsid w:val="005C0ABC"/>
    <w:rsid w:val="005C0CDD"/>
    <w:rsid w:val="005C0E6B"/>
    <w:rsid w:val="005C1AF0"/>
    <w:rsid w:val="005C21E0"/>
    <w:rsid w:val="005C2543"/>
    <w:rsid w:val="005C2E99"/>
    <w:rsid w:val="005C5D8B"/>
    <w:rsid w:val="005C5F8C"/>
    <w:rsid w:val="005C63C0"/>
    <w:rsid w:val="005C64CB"/>
    <w:rsid w:val="005C6D61"/>
    <w:rsid w:val="005D0A95"/>
    <w:rsid w:val="005D0F33"/>
    <w:rsid w:val="005D1A03"/>
    <w:rsid w:val="005D2327"/>
    <w:rsid w:val="005D3610"/>
    <w:rsid w:val="005D3F2E"/>
    <w:rsid w:val="005D438C"/>
    <w:rsid w:val="005D4646"/>
    <w:rsid w:val="005D4B8F"/>
    <w:rsid w:val="005D5557"/>
    <w:rsid w:val="005D5673"/>
    <w:rsid w:val="005D68CB"/>
    <w:rsid w:val="005D6A69"/>
    <w:rsid w:val="005D6ACD"/>
    <w:rsid w:val="005D6B92"/>
    <w:rsid w:val="005D7AEF"/>
    <w:rsid w:val="005E1D4E"/>
    <w:rsid w:val="005E2B7B"/>
    <w:rsid w:val="005E2E37"/>
    <w:rsid w:val="005E3EC3"/>
    <w:rsid w:val="005E5E11"/>
    <w:rsid w:val="005E7120"/>
    <w:rsid w:val="005E75C2"/>
    <w:rsid w:val="005F0060"/>
    <w:rsid w:val="005F0A4D"/>
    <w:rsid w:val="005F14DF"/>
    <w:rsid w:val="005F1B05"/>
    <w:rsid w:val="005F2DBF"/>
    <w:rsid w:val="005F2EBB"/>
    <w:rsid w:val="005F3E80"/>
    <w:rsid w:val="005F44D0"/>
    <w:rsid w:val="005F5222"/>
    <w:rsid w:val="005F532A"/>
    <w:rsid w:val="005F5B97"/>
    <w:rsid w:val="005F5C1D"/>
    <w:rsid w:val="005F64C0"/>
    <w:rsid w:val="005F698B"/>
    <w:rsid w:val="005F6D46"/>
    <w:rsid w:val="005F6E60"/>
    <w:rsid w:val="005F70E6"/>
    <w:rsid w:val="005F72C3"/>
    <w:rsid w:val="006004F3"/>
    <w:rsid w:val="00600DEC"/>
    <w:rsid w:val="00601E30"/>
    <w:rsid w:val="00601FC5"/>
    <w:rsid w:val="00602E86"/>
    <w:rsid w:val="0060362E"/>
    <w:rsid w:val="0060394B"/>
    <w:rsid w:val="006041EB"/>
    <w:rsid w:val="006045D2"/>
    <w:rsid w:val="00604A46"/>
    <w:rsid w:val="00604AC3"/>
    <w:rsid w:val="00604BAB"/>
    <w:rsid w:val="00604D6A"/>
    <w:rsid w:val="00605161"/>
    <w:rsid w:val="00605A47"/>
    <w:rsid w:val="00606A57"/>
    <w:rsid w:val="00606A8E"/>
    <w:rsid w:val="00610682"/>
    <w:rsid w:val="00611D13"/>
    <w:rsid w:val="006127DB"/>
    <w:rsid w:val="006134ED"/>
    <w:rsid w:val="00613A96"/>
    <w:rsid w:val="0061515D"/>
    <w:rsid w:val="00615A10"/>
    <w:rsid w:val="00615A29"/>
    <w:rsid w:val="00615B48"/>
    <w:rsid w:val="0061748D"/>
    <w:rsid w:val="006207F5"/>
    <w:rsid w:val="0062155D"/>
    <w:rsid w:val="006215F7"/>
    <w:rsid w:val="00621EBC"/>
    <w:rsid w:val="00622205"/>
    <w:rsid w:val="0062240E"/>
    <w:rsid w:val="00622ADF"/>
    <w:rsid w:val="00623384"/>
    <w:rsid w:val="00623E08"/>
    <w:rsid w:val="006241A9"/>
    <w:rsid w:val="006245F8"/>
    <w:rsid w:val="006247D7"/>
    <w:rsid w:val="00624F36"/>
    <w:rsid w:val="00625043"/>
    <w:rsid w:val="006255CA"/>
    <w:rsid w:val="00625974"/>
    <w:rsid w:val="00626ED1"/>
    <w:rsid w:val="0062772D"/>
    <w:rsid w:val="0063059C"/>
    <w:rsid w:val="00630EAA"/>
    <w:rsid w:val="00630EE7"/>
    <w:rsid w:val="006330E2"/>
    <w:rsid w:val="0063445C"/>
    <w:rsid w:val="006356C7"/>
    <w:rsid w:val="006366B9"/>
    <w:rsid w:val="006368CB"/>
    <w:rsid w:val="00637725"/>
    <w:rsid w:val="0063773C"/>
    <w:rsid w:val="006416C8"/>
    <w:rsid w:val="006422DD"/>
    <w:rsid w:val="00642755"/>
    <w:rsid w:val="00642BE5"/>
    <w:rsid w:val="00642CBC"/>
    <w:rsid w:val="00642F78"/>
    <w:rsid w:val="00643144"/>
    <w:rsid w:val="00643FFA"/>
    <w:rsid w:val="006446A5"/>
    <w:rsid w:val="006453C1"/>
    <w:rsid w:val="00646BE4"/>
    <w:rsid w:val="00646C33"/>
    <w:rsid w:val="00646FC9"/>
    <w:rsid w:val="006473A9"/>
    <w:rsid w:val="00647A1E"/>
    <w:rsid w:val="00647D40"/>
    <w:rsid w:val="00647EF3"/>
    <w:rsid w:val="006503D9"/>
    <w:rsid w:val="00650B0A"/>
    <w:rsid w:val="00650C5E"/>
    <w:rsid w:val="00650CD4"/>
    <w:rsid w:val="00651253"/>
    <w:rsid w:val="006516B5"/>
    <w:rsid w:val="00651B5B"/>
    <w:rsid w:val="00652247"/>
    <w:rsid w:val="006527A5"/>
    <w:rsid w:val="00652BFA"/>
    <w:rsid w:val="00652D01"/>
    <w:rsid w:val="00653709"/>
    <w:rsid w:val="00653BBD"/>
    <w:rsid w:val="00654395"/>
    <w:rsid w:val="00654C8C"/>
    <w:rsid w:val="00654E69"/>
    <w:rsid w:val="0065627A"/>
    <w:rsid w:val="00657502"/>
    <w:rsid w:val="00657A92"/>
    <w:rsid w:val="00660141"/>
    <w:rsid w:val="00660461"/>
    <w:rsid w:val="00660C25"/>
    <w:rsid w:val="0066109C"/>
    <w:rsid w:val="006610B3"/>
    <w:rsid w:val="00661A0B"/>
    <w:rsid w:val="00662059"/>
    <w:rsid w:val="00663A11"/>
    <w:rsid w:val="006645BB"/>
    <w:rsid w:val="00664671"/>
    <w:rsid w:val="006647C7"/>
    <w:rsid w:val="00664840"/>
    <w:rsid w:val="00665B6B"/>
    <w:rsid w:val="00666286"/>
    <w:rsid w:val="00667FAA"/>
    <w:rsid w:val="00670777"/>
    <w:rsid w:val="00671024"/>
    <w:rsid w:val="00672049"/>
    <w:rsid w:val="006720AC"/>
    <w:rsid w:val="00672213"/>
    <w:rsid w:val="00672B69"/>
    <w:rsid w:val="00672D0F"/>
    <w:rsid w:val="00675363"/>
    <w:rsid w:val="00675A2C"/>
    <w:rsid w:val="00680848"/>
    <w:rsid w:val="00681E1D"/>
    <w:rsid w:val="00682456"/>
    <w:rsid w:val="00682AD6"/>
    <w:rsid w:val="00682D72"/>
    <w:rsid w:val="00683625"/>
    <w:rsid w:val="006836F1"/>
    <w:rsid w:val="00685041"/>
    <w:rsid w:val="006852CA"/>
    <w:rsid w:val="00685D9F"/>
    <w:rsid w:val="00685E04"/>
    <w:rsid w:val="00687A5F"/>
    <w:rsid w:val="00687BA9"/>
    <w:rsid w:val="00690C7C"/>
    <w:rsid w:val="00690FF3"/>
    <w:rsid w:val="00691EE4"/>
    <w:rsid w:val="00691FA5"/>
    <w:rsid w:val="00692406"/>
    <w:rsid w:val="006924E4"/>
    <w:rsid w:val="0069292E"/>
    <w:rsid w:val="0069327C"/>
    <w:rsid w:val="00693F2B"/>
    <w:rsid w:val="00694878"/>
    <w:rsid w:val="00694A08"/>
    <w:rsid w:val="00694BFB"/>
    <w:rsid w:val="0069585A"/>
    <w:rsid w:val="00695960"/>
    <w:rsid w:val="006960BB"/>
    <w:rsid w:val="0069674C"/>
    <w:rsid w:val="006970C5"/>
    <w:rsid w:val="006977A6"/>
    <w:rsid w:val="006A009E"/>
    <w:rsid w:val="006A0BBB"/>
    <w:rsid w:val="006A1E63"/>
    <w:rsid w:val="006A2296"/>
    <w:rsid w:val="006A2404"/>
    <w:rsid w:val="006A2AD4"/>
    <w:rsid w:val="006A2C33"/>
    <w:rsid w:val="006A33A7"/>
    <w:rsid w:val="006A3D37"/>
    <w:rsid w:val="006A4B6C"/>
    <w:rsid w:val="006A4E38"/>
    <w:rsid w:val="006A5B11"/>
    <w:rsid w:val="006A6489"/>
    <w:rsid w:val="006A65C9"/>
    <w:rsid w:val="006A6959"/>
    <w:rsid w:val="006A7AAB"/>
    <w:rsid w:val="006B00F0"/>
    <w:rsid w:val="006B1AB8"/>
    <w:rsid w:val="006B2032"/>
    <w:rsid w:val="006B2D30"/>
    <w:rsid w:val="006B3F00"/>
    <w:rsid w:val="006B407F"/>
    <w:rsid w:val="006B4CAE"/>
    <w:rsid w:val="006B545A"/>
    <w:rsid w:val="006B5864"/>
    <w:rsid w:val="006B58FF"/>
    <w:rsid w:val="006B6554"/>
    <w:rsid w:val="006B7011"/>
    <w:rsid w:val="006B7598"/>
    <w:rsid w:val="006B7721"/>
    <w:rsid w:val="006C076C"/>
    <w:rsid w:val="006C15B9"/>
    <w:rsid w:val="006C38F5"/>
    <w:rsid w:val="006C3CCE"/>
    <w:rsid w:val="006C3F4C"/>
    <w:rsid w:val="006C5BB7"/>
    <w:rsid w:val="006C5F16"/>
    <w:rsid w:val="006C5F4B"/>
    <w:rsid w:val="006C7AC0"/>
    <w:rsid w:val="006C7F1E"/>
    <w:rsid w:val="006D07E5"/>
    <w:rsid w:val="006D1721"/>
    <w:rsid w:val="006D1C2E"/>
    <w:rsid w:val="006D1E71"/>
    <w:rsid w:val="006D2459"/>
    <w:rsid w:val="006D2EB8"/>
    <w:rsid w:val="006D32C7"/>
    <w:rsid w:val="006D469B"/>
    <w:rsid w:val="006D4B1F"/>
    <w:rsid w:val="006D58FA"/>
    <w:rsid w:val="006D60A5"/>
    <w:rsid w:val="006D686D"/>
    <w:rsid w:val="006D6D9F"/>
    <w:rsid w:val="006D7B51"/>
    <w:rsid w:val="006E0010"/>
    <w:rsid w:val="006E01E0"/>
    <w:rsid w:val="006E0419"/>
    <w:rsid w:val="006E0837"/>
    <w:rsid w:val="006E0E2B"/>
    <w:rsid w:val="006E1267"/>
    <w:rsid w:val="006E1B80"/>
    <w:rsid w:val="006E204D"/>
    <w:rsid w:val="006E2A1A"/>
    <w:rsid w:val="006E352D"/>
    <w:rsid w:val="006E363F"/>
    <w:rsid w:val="006E37B9"/>
    <w:rsid w:val="006E3B32"/>
    <w:rsid w:val="006E5415"/>
    <w:rsid w:val="006E6623"/>
    <w:rsid w:val="006E6D16"/>
    <w:rsid w:val="006E7051"/>
    <w:rsid w:val="006E740F"/>
    <w:rsid w:val="006E7C3E"/>
    <w:rsid w:val="006F0698"/>
    <w:rsid w:val="006F0B14"/>
    <w:rsid w:val="006F1624"/>
    <w:rsid w:val="006F1B1E"/>
    <w:rsid w:val="006F2538"/>
    <w:rsid w:val="006F348B"/>
    <w:rsid w:val="006F45E5"/>
    <w:rsid w:val="006F54A3"/>
    <w:rsid w:val="006F647E"/>
    <w:rsid w:val="006F72A9"/>
    <w:rsid w:val="006F7B49"/>
    <w:rsid w:val="006F7EFE"/>
    <w:rsid w:val="00700284"/>
    <w:rsid w:val="007005FB"/>
    <w:rsid w:val="00701BC7"/>
    <w:rsid w:val="007026CC"/>
    <w:rsid w:val="00702AC8"/>
    <w:rsid w:val="00702B0E"/>
    <w:rsid w:val="00703827"/>
    <w:rsid w:val="00703A47"/>
    <w:rsid w:val="00705676"/>
    <w:rsid w:val="0070596B"/>
    <w:rsid w:val="00705E33"/>
    <w:rsid w:val="00707527"/>
    <w:rsid w:val="00707CD5"/>
    <w:rsid w:val="00710FD5"/>
    <w:rsid w:val="00711AA7"/>
    <w:rsid w:val="00712986"/>
    <w:rsid w:val="00712A86"/>
    <w:rsid w:val="007136C5"/>
    <w:rsid w:val="00715A9C"/>
    <w:rsid w:val="00717327"/>
    <w:rsid w:val="00717449"/>
    <w:rsid w:val="00720C55"/>
    <w:rsid w:val="00721580"/>
    <w:rsid w:val="007224B9"/>
    <w:rsid w:val="007231C4"/>
    <w:rsid w:val="00723433"/>
    <w:rsid w:val="0072377C"/>
    <w:rsid w:val="00723931"/>
    <w:rsid w:val="00724A03"/>
    <w:rsid w:val="00724E77"/>
    <w:rsid w:val="0072648F"/>
    <w:rsid w:val="007267C9"/>
    <w:rsid w:val="00726925"/>
    <w:rsid w:val="00730FB5"/>
    <w:rsid w:val="00731249"/>
    <w:rsid w:val="0073151F"/>
    <w:rsid w:val="00731FF6"/>
    <w:rsid w:val="00733016"/>
    <w:rsid w:val="0073335E"/>
    <w:rsid w:val="00733EA8"/>
    <w:rsid w:val="00734461"/>
    <w:rsid w:val="00734B85"/>
    <w:rsid w:val="007352EC"/>
    <w:rsid w:val="007353C8"/>
    <w:rsid w:val="00735B0F"/>
    <w:rsid w:val="007360A9"/>
    <w:rsid w:val="007360E4"/>
    <w:rsid w:val="007367EF"/>
    <w:rsid w:val="0073711C"/>
    <w:rsid w:val="007376C8"/>
    <w:rsid w:val="00740CEC"/>
    <w:rsid w:val="00740DEE"/>
    <w:rsid w:val="007414EE"/>
    <w:rsid w:val="00743327"/>
    <w:rsid w:val="00743AB8"/>
    <w:rsid w:val="00743C0C"/>
    <w:rsid w:val="00743CFE"/>
    <w:rsid w:val="0074451D"/>
    <w:rsid w:val="007446D2"/>
    <w:rsid w:val="00744EDB"/>
    <w:rsid w:val="00744F5C"/>
    <w:rsid w:val="007462CE"/>
    <w:rsid w:val="0074717F"/>
    <w:rsid w:val="00747425"/>
    <w:rsid w:val="007476FC"/>
    <w:rsid w:val="00747B38"/>
    <w:rsid w:val="00750369"/>
    <w:rsid w:val="007504BA"/>
    <w:rsid w:val="00750DEB"/>
    <w:rsid w:val="0075141D"/>
    <w:rsid w:val="007514FA"/>
    <w:rsid w:val="00751B31"/>
    <w:rsid w:val="00751CFE"/>
    <w:rsid w:val="00752F2D"/>
    <w:rsid w:val="00752F91"/>
    <w:rsid w:val="00753486"/>
    <w:rsid w:val="00753E5D"/>
    <w:rsid w:val="00753E8F"/>
    <w:rsid w:val="007549DD"/>
    <w:rsid w:val="00754FE1"/>
    <w:rsid w:val="00755308"/>
    <w:rsid w:val="00755F22"/>
    <w:rsid w:val="00756197"/>
    <w:rsid w:val="007576ED"/>
    <w:rsid w:val="00757708"/>
    <w:rsid w:val="00757731"/>
    <w:rsid w:val="0075789B"/>
    <w:rsid w:val="007578B6"/>
    <w:rsid w:val="007617E8"/>
    <w:rsid w:val="00761A06"/>
    <w:rsid w:val="00761E13"/>
    <w:rsid w:val="00762043"/>
    <w:rsid w:val="00764952"/>
    <w:rsid w:val="00764C40"/>
    <w:rsid w:val="00764D5C"/>
    <w:rsid w:val="0076516C"/>
    <w:rsid w:val="00765696"/>
    <w:rsid w:val="00765C65"/>
    <w:rsid w:val="007660EF"/>
    <w:rsid w:val="00766BB0"/>
    <w:rsid w:val="007672ED"/>
    <w:rsid w:val="00767681"/>
    <w:rsid w:val="007700CE"/>
    <w:rsid w:val="00770A0D"/>
    <w:rsid w:val="00771453"/>
    <w:rsid w:val="007714BF"/>
    <w:rsid w:val="00771548"/>
    <w:rsid w:val="007716A3"/>
    <w:rsid w:val="00771BDC"/>
    <w:rsid w:val="0077245D"/>
    <w:rsid w:val="00773684"/>
    <w:rsid w:val="007741C3"/>
    <w:rsid w:val="007771A2"/>
    <w:rsid w:val="00777462"/>
    <w:rsid w:val="007802A2"/>
    <w:rsid w:val="00780938"/>
    <w:rsid w:val="00780D34"/>
    <w:rsid w:val="00781012"/>
    <w:rsid w:val="0078103B"/>
    <w:rsid w:val="007816CB"/>
    <w:rsid w:val="00782484"/>
    <w:rsid w:val="00782AD2"/>
    <w:rsid w:val="00782B19"/>
    <w:rsid w:val="00783910"/>
    <w:rsid w:val="00784621"/>
    <w:rsid w:val="00784DD0"/>
    <w:rsid w:val="00784DEE"/>
    <w:rsid w:val="00784E2B"/>
    <w:rsid w:val="007877AF"/>
    <w:rsid w:val="00787DE2"/>
    <w:rsid w:val="00787FF9"/>
    <w:rsid w:val="0079099D"/>
    <w:rsid w:val="00790AB3"/>
    <w:rsid w:val="00790C7F"/>
    <w:rsid w:val="00791924"/>
    <w:rsid w:val="0079272F"/>
    <w:rsid w:val="007931C5"/>
    <w:rsid w:val="0079357C"/>
    <w:rsid w:val="00794A41"/>
    <w:rsid w:val="00795354"/>
    <w:rsid w:val="00795AEB"/>
    <w:rsid w:val="007961A0"/>
    <w:rsid w:val="007964FA"/>
    <w:rsid w:val="00796672"/>
    <w:rsid w:val="00796E1D"/>
    <w:rsid w:val="00796EBB"/>
    <w:rsid w:val="00796F3F"/>
    <w:rsid w:val="00797BD5"/>
    <w:rsid w:val="00797E3E"/>
    <w:rsid w:val="00797FD4"/>
    <w:rsid w:val="007A1DF2"/>
    <w:rsid w:val="007A2728"/>
    <w:rsid w:val="007A2E09"/>
    <w:rsid w:val="007A339A"/>
    <w:rsid w:val="007A419D"/>
    <w:rsid w:val="007A4C2F"/>
    <w:rsid w:val="007A50C3"/>
    <w:rsid w:val="007A550A"/>
    <w:rsid w:val="007A6D77"/>
    <w:rsid w:val="007A7305"/>
    <w:rsid w:val="007A7386"/>
    <w:rsid w:val="007B025D"/>
    <w:rsid w:val="007B0691"/>
    <w:rsid w:val="007B1EE1"/>
    <w:rsid w:val="007B290D"/>
    <w:rsid w:val="007B3A98"/>
    <w:rsid w:val="007B45C3"/>
    <w:rsid w:val="007B4F37"/>
    <w:rsid w:val="007B5697"/>
    <w:rsid w:val="007B69AC"/>
    <w:rsid w:val="007B6CF9"/>
    <w:rsid w:val="007C0F67"/>
    <w:rsid w:val="007C2BB5"/>
    <w:rsid w:val="007C31D2"/>
    <w:rsid w:val="007C42E1"/>
    <w:rsid w:val="007C5536"/>
    <w:rsid w:val="007C5E00"/>
    <w:rsid w:val="007C5E37"/>
    <w:rsid w:val="007C5F99"/>
    <w:rsid w:val="007C6960"/>
    <w:rsid w:val="007C6EE0"/>
    <w:rsid w:val="007C6F60"/>
    <w:rsid w:val="007C6FC5"/>
    <w:rsid w:val="007D0520"/>
    <w:rsid w:val="007D110A"/>
    <w:rsid w:val="007D1BCA"/>
    <w:rsid w:val="007D1BD0"/>
    <w:rsid w:val="007D25F0"/>
    <w:rsid w:val="007D2819"/>
    <w:rsid w:val="007D5021"/>
    <w:rsid w:val="007D6AC8"/>
    <w:rsid w:val="007E1E6D"/>
    <w:rsid w:val="007E3A98"/>
    <w:rsid w:val="007E3CC1"/>
    <w:rsid w:val="007E5143"/>
    <w:rsid w:val="007E5784"/>
    <w:rsid w:val="007E5D3C"/>
    <w:rsid w:val="007E648F"/>
    <w:rsid w:val="007E6858"/>
    <w:rsid w:val="007E6C6B"/>
    <w:rsid w:val="007E6F2E"/>
    <w:rsid w:val="007E6F6A"/>
    <w:rsid w:val="007E7CD4"/>
    <w:rsid w:val="007F0710"/>
    <w:rsid w:val="007F1F9B"/>
    <w:rsid w:val="007F2758"/>
    <w:rsid w:val="007F29DE"/>
    <w:rsid w:val="007F33E5"/>
    <w:rsid w:val="007F343D"/>
    <w:rsid w:val="007F3B87"/>
    <w:rsid w:val="007F4F0A"/>
    <w:rsid w:val="007F4FD1"/>
    <w:rsid w:val="007F5655"/>
    <w:rsid w:val="007F6797"/>
    <w:rsid w:val="007F6B40"/>
    <w:rsid w:val="007F6D42"/>
    <w:rsid w:val="007F7504"/>
    <w:rsid w:val="007F7AA4"/>
    <w:rsid w:val="007F7C31"/>
    <w:rsid w:val="007F7DEC"/>
    <w:rsid w:val="0080048A"/>
    <w:rsid w:val="008006F6"/>
    <w:rsid w:val="0080087D"/>
    <w:rsid w:val="008018A6"/>
    <w:rsid w:val="00803A5B"/>
    <w:rsid w:val="00803E30"/>
    <w:rsid w:val="00804F94"/>
    <w:rsid w:val="008058D7"/>
    <w:rsid w:val="00805F60"/>
    <w:rsid w:val="00806066"/>
    <w:rsid w:val="008100B8"/>
    <w:rsid w:val="00810249"/>
    <w:rsid w:val="00810731"/>
    <w:rsid w:val="00810AB2"/>
    <w:rsid w:val="00810FC1"/>
    <w:rsid w:val="0081200E"/>
    <w:rsid w:val="00812893"/>
    <w:rsid w:val="00812F1F"/>
    <w:rsid w:val="00813C7B"/>
    <w:rsid w:val="0081433B"/>
    <w:rsid w:val="008168A0"/>
    <w:rsid w:val="00817FF2"/>
    <w:rsid w:val="0082013F"/>
    <w:rsid w:val="00821115"/>
    <w:rsid w:val="00821412"/>
    <w:rsid w:val="00821E74"/>
    <w:rsid w:val="00822945"/>
    <w:rsid w:val="008230A8"/>
    <w:rsid w:val="008232CE"/>
    <w:rsid w:val="008232D7"/>
    <w:rsid w:val="0082372F"/>
    <w:rsid w:val="0082423A"/>
    <w:rsid w:val="00824C7A"/>
    <w:rsid w:val="008258D6"/>
    <w:rsid w:val="00827785"/>
    <w:rsid w:val="00827C4F"/>
    <w:rsid w:val="00827EFA"/>
    <w:rsid w:val="008311B6"/>
    <w:rsid w:val="00831276"/>
    <w:rsid w:val="00831416"/>
    <w:rsid w:val="008325CD"/>
    <w:rsid w:val="00833392"/>
    <w:rsid w:val="008333AA"/>
    <w:rsid w:val="00833837"/>
    <w:rsid w:val="00833D4D"/>
    <w:rsid w:val="00834361"/>
    <w:rsid w:val="008346D5"/>
    <w:rsid w:val="008348FE"/>
    <w:rsid w:val="00834AF8"/>
    <w:rsid w:val="00834D4D"/>
    <w:rsid w:val="00834EC7"/>
    <w:rsid w:val="0083592A"/>
    <w:rsid w:val="00835A59"/>
    <w:rsid w:val="00836624"/>
    <w:rsid w:val="0083691B"/>
    <w:rsid w:val="008371BC"/>
    <w:rsid w:val="00837EF2"/>
    <w:rsid w:val="0084065C"/>
    <w:rsid w:val="00840C78"/>
    <w:rsid w:val="00841485"/>
    <w:rsid w:val="008417FF"/>
    <w:rsid w:val="00841C95"/>
    <w:rsid w:val="00842D5F"/>
    <w:rsid w:val="008431AE"/>
    <w:rsid w:val="0084354A"/>
    <w:rsid w:val="00843BF6"/>
    <w:rsid w:val="00844696"/>
    <w:rsid w:val="0084485E"/>
    <w:rsid w:val="00844B6D"/>
    <w:rsid w:val="00845223"/>
    <w:rsid w:val="00846EE1"/>
    <w:rsid w:val="008476A7"/>
    <w:rsid w:val="00847ADB"/>
    <w:rsid w:val="00847E0C"/>
    <w:rsid w:val="00850A51"/>
    <w:rsid w:val="00850FAC"/>
    <w:rsid w:val="00851322"/>
    <w:rsid w:val="008513DE"/>
    <w:rsid w:val="00851BE1"/>
    <w:rsid w:val="0085216C"/>
    <w:rsid w:val="00852A0F"/>
    <w:rsid w:val="00853055"/>
    <w:rsid w:val="0085335B"/>
    <w:rsid w:val="00853566"/>
    <w:rsid w:val="00853758"/>
    <w:rsid w:val="00855454"/>
    <w:rsid w:val="00855558"/>
    <w:rsid w:val="00855D17"/>
    <w:rsid w:val="008561CA"/>
    <w:rsid w:val="00856E32"/>
    <w:rsid w:val="00857536"/>
    <w:rsid w:val="008619ED"/>
    <w:rsid w:val="008631E7"/>
    <w:rsid w:val="00863B63"/>
    <w:rsid w:val="008649F8"/>
    <w:rsid w:val="00865259"/>
    <w:rsid w:val="008655B8"/>
    <w:rsid w:val="0086590C"/>
    <w:rsid w:val="00865C5E"/>
    <w:rsid w:val="008669A7"/>
    <w:rsid w:val="008703DC"/>
    <w:rsid w:val="00870892"/>
    <w:rsid w:val="00870C6F"/>
    <w:rsid w:val="0087123A"/>
    <w:rsid w:val="008735DD"/>
    <w:rsid w:val="008743F0"/>
    <w:rsid w:val="00875357"/>
    <w:rsid w:val="008769A2"/>
    <w:rsid w:val="00876E70"/>
    <w:rsid w:val="00877CD8"/>
    <w:rsid w:val="00880761"/>
    <w:rsid w:val="00880A8D"/>
    <w:rsid w:val="00881399"/>
    <w:rsid w:val="008813C7"/>
    <w:rsid w:val="00882869"/>
    <w:rsid w:val="00882E44"/>
    <w:rsid w:val="00883E43"/>
    <w:rsid w:val="008844B5"/>
    <w:rsid w:val="00884787"/>
    <w:rsid w:val="00884903"/>
    <w:rsid w:val="00885B60"/>
    <w:rsid w:val="00885ED7"/>
    <w:rsid w:val="00886999"/>
    <w:rsid w:val="00886ADC"/>
    <w:rsid w:val="0088732A"/>
    <w:rsid w:val="00887D05"/>
    <w:rsid w:val="00890403"/>
    <w:rsid w:val="008908CA"/>
    <w:rsid w:val="00892278"/>
    <w:rsid w:val="008926E8"/>
    <w:rsid w:val="00892991"/>
    <w:rsid w:val="00892B27"/>
    <w:rsid w:val="00892C43"/>
    <w:rsid w:val="008930AB"/>
    <w:rsid w:val="00893811"/>
    <w:rsid w:val="00893F80"/>
    <w:rsid w:val="00894A36"/>
    <w:rsid w:val="00894E5E"/>
    <w:rsid w:val="00895423"/>
    <w:rsid w:val="0089563D"/>
    <w:rsid w:val="00895E69"/>
    <w:rsid w:val="0089608B"/>
    <w:rsid w:val="00896AA9"/>
    <w:rsid w:val="008A0BA2"/>
    <w:rsid w:val="008A15B8"/>
    <w:rsid w:val="008A2206"/>
    <w:rsid w:val="008A2C7F"/>
    <w:rsid w:val="008A3249"/>
    <w:rsid w:val="008A3815"/>
    <w:rsid w:val="008A3C7B"/>
    <w:rsid w:val="008A48C2"/>
    <w:rsid w:val="008A4B5A"/>
    <w:rsid w:val="008A5AA8"/>
    <w:rsid w:val="008A67E9"/>
    <w:rsid w:val="008B0A31"/>
    <w:rsid w:val="008B0A33"/>
    <w:rsid w:val="008B1509"/>
    <w:rsid w:val="008B1E07"/>
    <w:rsid w:val="008B256A"/>
    <w:rsid w:val="008B3F2C"/>
    <w:rsid w:val="008B46DF"/>
    <w:rsid w:val="008B4A75"/>
    <w:rsid w:val="008B5AC7"/>
    <w:rsid w:val="008B633E"/>
    <w:rsid w:val="008B6391"/>
    <w:rsid w:val="008B6D56"/>
    <w:rsid w:val="008C00F5"/>
    <w:rsid w:val="008C0B64"/>
    <w:rsid w:val="008C0F9E"/>
    <w:rsid w:val="008C180C"/>
    <w:rsid w:val="008C1AE6"/>
    <w:rsid w:val="008C2419"/>
    <w:rsid w:val="008C3DC9"/>
    <w:rsid w:val="008C408C"/>
    <w:rsid w:val="008C4640"/>
    <w:rsid w:val="008C4726"/>
    <w:rsid w:val="008C4C86"/>
    <w:rsid w:val="008C511A"/>
    <w:rsid w:val="008C78B2"/>
    <w:rsid w:val="008D0BD9"/>
    <w:rsid w:val="008D1307"/>
    <w:rsid w:val="008D1441"/>
    <w:rsid w:val="008D1D9B"/>
    <w:rsid w:val="008D316E"/>
    <w:rsid w:val="008D3299"/>
    <w:rsid w:val="008D3683"/>
    <w:rsid w:val="008D37C5"/>
    <w:rsid w:val="008D399F"/>
    <w:rsid w:val="008D411A"/>
    <w:rsid w:val="008D7647"/>
    <w:rsid w:val="008E0419"/>
    <w:rsid w:val="008E1732"/>
    <w:rsid w:val="008E2021"/>
    <w:rsid w:val="008E24CA"/>
    <w:rsid w:val="008E2939"/>
    <w:rsid w:val="008E40F4"/>
    <w:rsid w:val="008E4167"/>
    <w:rsid w:val="008E45D8"/>
    <w:rsid w:val="008E4A71"/>
    <w:rsid w:val="008E57EE"/>
    <w:rsid w:val="008E5BAD"/>
    <w:rsid w:val="008E609C"/>
    <w:rsid w:val="008E60AD"/>
    <w:rsid w:val="008E7707"/>
    <w:rsid w:val="008E7BE7"/>
    <w:rsid w:val="008F0402"/>
    <w:rsid w:val="008F092A"/>
    <w:rsid w:val="008F0B3F"/>
    <w:rsid w:val="008F1492"/>
    <w:rsid w:val="008F180B"/>
    <w:rsid w:val="008F1B95"/>
    <w:rsid w:val="008F1E57"/>
    <w:rsid w:val="008F22A3"/>
    <w:rsid w:val="008F36A3"/>
    <w:rsid w:val="008F3859"/>
    <w:rsid w:val="008F4089"/>
    <w:rsid w:val="008F46B8"/>
    <w:rsid w:val="008F4F71"/>
    <w:rsid w:val="008F5188"/>
    <w:rsid w:val="008F53A6"/>
    <w:rsid w:val="008F62D4"/>
    <w:rsid w:val="008F6862"/>
    <w:rsid w:val="008F6D42"/>
    <w:rsid w:val="008F7CB4"/>
    <w:rsid w:val="00903182"/>
    <w:rsid w:val="009035B1"/>
    <w:rsid w:val="00903C59"/>
    <w:rsid w:val="00903CD1"/>
    <w:rsid w:val="00904078"/>
    <w:rsid w:val="009052F8"/>
    <w:rsid w:val="00907EFF"/>
    <w:rsid w:val="00910039"/>
    <w:rsid w:val="00910ADE"/>
    <w:rsid w:val="00910BE3"/>
    <w:rsid w:val="00911713"/>
    <w:rsid w:val="009124BE"/>
    <w:rsid w:val="009125AC"/>
    <w:rsid w:val="00912CE5"/>
    <w:rsid w:val="00913116"/>
    <w:rsid w:val="00913DC1"/>
    <w:rsid w:val="00914209"/>
    <w:rsid w:val="00914C4C"/>
    <w:rsid w:val="00915105"/>
    <w:rsid w:val="009157EA"/>
    <w:rsid w:val="009161C1"/>
    <w:rsid w:val="009162EA"/>
    <w:rsid w:val="00916C72"/>
    <w:rsid w:val="0091711A"/>
    <w:rsid w:val="00920075"/>
    <w:rsid w:val="009208BB"/>
    <w:rsid w:val="009208ED"/>
    <w:rsid w:val="00920D83"/>
    <w:rsid w:val="00921111"/>
    <w:rsid w:val="00922CDC"/>
    <w:rsid w:val="009234EF"/>
    <w:rsid w:val="00924547"/>
    <w:rsid w:val="009245D9"/>
    <w:rsid w:val="0092465C"/>
    <w:rsid w:val="00924B9D"/>
    <w:rsid w:val="00924FA6"/>
    <w:rsid w:val="00926969"/>
    <w:rsid w:val="00926A22"/>
    <w:rsid w:val="00926E78"/>
    <w:rsid w:val="00931438"/>
    <w:rsid w:val="009321CC"/>
    <w:rsid w:val="00932445"/>
    <w:rsid w:val="0093270D"/>
    <w:rsid w:val="009327B6"/>
    <w:rsid w:val="00932CBE"/>
    <w:rsid w:val="00932E98"/>
    <w:rsid w:val="009332DE"/>
    <w:rsid w:val="009346BC"/>
    <w:rsid w:val="00934BD1"/>
    <w:rsid w:val="00935D48"/>
    <w:rsid w:val="00936EDC"/>
    <w:rsid w:val="0093722A"/>
    <w:rsid w:val="009374AE"/>
    <w:rsid w:val="00937C93"/>
    <w:rsid w:val="009400A8"/>
    <w:rsid w:val="0094025A"/>
    <w:rsid w:val="009402CD"/>
    <w:rsid w:val="0094098B"/>
    <w:rsid w:val="00941057"/>
    <w:rsid w:val="00941716"/>
    <w:rsid w:val="009426B3"/>
    <w:rsid w:val="009426D8"/>
    <w:rsid w:val="009442BB"/>
    <w:rsid w:val="009442FF"/>
    <w:rsid w:val="0094459F"/>
    <w:rsid w:val="00944910"/>
    <w:rsid w:val="00944954"/>
    <w:rsid w:val="009455ED"/>
    <w:rsid w:val="00946164"/>
    <w:rsid w:val="0094644F"/>
    <w:rsid w:val="0094672E"/>
    <w:rsid w:val="00946EF2"/>
    <w:rsid w:val="009505EB"/>
    <w:rsid w:val="00950AD9"/>
    <w:rsid w:val="00950F96"/>
    <w:rsid w:val="00952438"/>
    <w:rsid w:val="00952478"/>
    <w:rsid w:val="00952BF7"/>
    <w:rsid w:val="009542C2"/>
    <w:rsid w:val="0095494B"/>
    <w:rsid w:val="00954BC8"/>
    <w:rsid w:val="00954E2E"/>
    <w:rsid w:val="00954E7B"/>
    <w:rsid w:val="00954F8C"/>
    <w:rsid w:val="00955D93"/>
    <w:rsid w:val="00957185"/>
    <w:rsid w:val="00957247"/>
    <w:rsid w:val="009577FF"/>
    <w:rsid w:val="0096010F"/>
    <w:rsid w:val="009602A4"/>
    <w:rsid w:val="00960357"/>
    <w:rsid w:val="009606EC"/>
    <w:rsid w:val="009608B2"/>
    <w:rsid w:val="00960E8D"/>
    <w:rsid w:val="0096180E"/>
    <w:rsid w:val="009622C6"/>
    <w:rsid w:val="009634CF"/>
    <w:rsid w:val="0096418A"/>
    <w:rsid w:val="0096474A"/>
    <w:rsid w:val="00964795"/>
    <w:rsid w:val="009665E5"/>
    <w:rsid w:val="00967A45"/>
    <w:rsid w:val="00967FA8"/>
    <w:rsid w:val="00970C43"/>
    <w:rsid w:val="00972E01"/>
    <w:rsid w:val="00973326"/>
    <w:rsid w:val="0097360F"/>
    <w:rsid w:val="00973A82"/>
    <w:rsid w:val="0097406C"/>
    <w:rsid w:val="00974983"/>
    <w:rsid w:val="00976B10"/>
    <w:rsid w:val="00976C35"/>
    <w:rsid w:val="00976D0D"/>
    <w:rsid w:val="009779F6"/>
    <w:rsid w:val="009806F9"/>
    <w:rsid w:val="00980A95"/>
    <w:rsid w:val="00982707"/>
    <w:rsid w:val="009834DD"/>
    <w:rsid w:val="00984245"/>
    <w:rsid w:val="00984637"/>
    <w:rsid w:val="00984641"/>
    <w:rsid w:val="00984C4F"/>
    <w:rsid w:val="00984F55"/>
    <w:rsid w:val="009855AB"/>
    <w:rsid w:val="0098594C"/>
    <w:rsid w:val="009864FA"/>
    <w:rsid w:val="009866C3"/>
    <w:rsid w:val="009871FF"/>
    <w:rsid w:val="009875C8"/>
    <w:rsid w:val="009903AC"/>
    <w:rsid w:val="00990BF4"/>
    <w:rsid w:val="00991E6C"/>
    <w:rsid w:val="00991FE2"/>
    <w:rsid w:val="00992C68"/>
    <w:rsid w:val="009934A7"/>
    <w:rsid w:val="00993976"/>
    <w:rsid w:val="00993A2A"/>
    <w:rsid w:val="00993F20"/>
    <w:rsid w:val="00994B2B"/>
    <w:rsid w:val="00994DA8"/>
    <w:rsid w:val="00994EF2"/>
    <w:rsid w:val="00995ABD"/>
    <w:rsid w:val="00995D37"/>
    <w:rsid w:val="00995FA7"/>
    <w:rsid w:val="009962C7"/>
    <w:rsid w:val="00996573"/>
    <w:rsid w:val="0099737B"/>
    <w:rsid w:val="009A0374"/>
    <w:rsid w:val="009A05F9"/>
    <w:rsid w:val="009A1BDC"/>
    <w:rsid w:val="009A2152"/>
    <w:rsid w:val="009A3068"/>
    <w:rsid w:val="009A35EC"/>
    <w:rsid w:val="009A386F"/>
    <w:rsid w:val="009A38DA"/>
    <w:rsid w:val="009A4205"/>
    <w:rsid w:val="009A4C32"/>
    <w:rsid w:val="009A4CDE"/>
    <w:rsid w:val="009A4D75"/>
    <w:rsid w:val="009A4D7C"/>
    <w:rsid w:val="009A5D46"/>
    <w:rsid w:val="009A6F11"/>
    <w:rsid w:val="009A70CB"/>
    <w:rsid w:val="009A7C35"/>
    <w:rsid w:val="009A7F2C"/>
    <w:rsid w:val="009B059D"/>
    <w:rsid w:val="009B0E54"/>
    <w:rsid w:val="009B20F6"/>
    <w:rsid w:val="009B2230"/>
    <w:rsid w:val="009B3621"/>
    <w:rsid w:val="009B56C1"/>
    <w:rsid w:val="009B5879"/>
    <w:rsid w:val="009B6719"/>
    <w:rsid w:val="009B6FAF"/>
    <w:rsid w:val="009B7745"/>
    <w:rsid w:val="009B78B4"/>
    <w:rsid w:val="009C0650"/>
    <w:rsid w:val="009C16A1"/>
    <w:rsid w:val="009C209A"/>
    <w:rsid w:val="009C3BF0"/>
    <w:rsid w:val="009C3C6C"/>
    <w:rsid w:val="009C41F3"/>
    <w:rsid w:val="009C4AD2"/>
    <w:rsid w:val="009C4BD7"/>
    <w:rsid w:val="009C5479"/>
    <w:rsid w:val="009C5AB9"/>
    <w:rsid w:val="009C5B3E"/>
    <w:rsid w:val="009C64A0"/>
    <w:rsid w:val="009C6AE9"/>
    <w:rsid w:val="009C730F"/>
    <w:rsid w:val="009C769B"/>
    <w:rsid w:val="009D07DA"/>
    <w:rsid w:val="009D1543"/>
    <w:rsid w:val="009D2C2D"/>
    <w:rsid w:val="009D3052"/>
    <w:rsid w:val="009D34B6"/>
    <w:rsid w:val="009D36CB"/>
    <w:rsid w:val="009D3D6E"/>
    <w:rsid w:val="009D3F61"/>
    <w:rsid w:val="009D3FC6"/>
    <w:rsid w:val="009D4BA2"/>
    <w:rsid w:val="009D5C45"/>
    <w:rsid w:val="009D6D81"/>
    <w:rsid w:val="009D7446"/>
    <w:rsid w:val="009D7557"/>
    <w:rsid w:val="009E010A"/>
    <w:rsid w:val="009E0826"/>
    <w:rsid w:val="009E08F7"/>
    <w:rsid w:val="009E0FA3"/>
    <w:rsid w:val="009E123B"/>
    <w:rsid w:val="009E18E1"/>
    <w:rsid w:val="009E275E"/>
    <w:rsid w:val="009E2885"/>
    <w:rsid w:val="009E36BF"/>
    <w:rsid w:val="009E438D"/>
    <w:rsid w:val="009E4862"/>
    <w:rsid w:val="009E5D58"/>
    <w:rsid w:val="009E606C"/>
    <w:rsid w:val="009E6596"/>
    <w:rsid w:val="009E6DE2"/>
    <w:rsid w:val="009E6EFD"/>
    <w:rsid w:val="009E788F"/>
    <w:rsid w:val="009E7C49"/>
    <w:rsid w:val="009F005C"/>
    <w:rsid w:val="009F1CB4"/>
    <w:rsid w:val="009F1CF7"/>
    <w:rsid w:val="009F1F1F"/>
    <w:rsid w:val="009F22BF"/>
    <w:rsid w:val="009F27D3"/>
    <w:rsid w:val="009F449B"/>
    <w:rsid w:val="009F49DD"/>
    <w:rsid w:val="009F4B86"/>
    <w:rsid w:val="009F5392"/>
    <w:rsid w:val="009F598A"/>
    <w:rsid w:val="009F659C"/>
    <w:rsid w:val="009F68A7"/>
    <w:rsid w:val="009F6D39"/>
    <w:rsid w:val="009F7281"/>
    <w:rsid w:val="009F7F62"/>
    <w:rsid w:val="00A002AB"/>
    <w:rsid w:val="00A0048A"/>
    <w:rsid w:val="00A00766"/>
    <w:rsid w:val="00A00CB3"/>
    <w:rsid w:val="00A01066"/>
    <w:rsid w:val="00A011B9"/>
    <w:rsid w:val="00A016C6"/>
    <w:rsid w:val="00A016F4"/>
    <w:rsid w:val="00A01F72"/>
    <w:rsid w:val="00A022D0"/>
    <w:rsid w:val="00A02F3F"/>
    <w:rsid w:val="00A03C97"/>
    <w:rsid w:val="00A04BAD"/>
    <w:rsid w:val="00A05030"/>
    <w:rsid w:val="00A050DA"/>
    <w:rsid w:val="00A060C9"/>
    <w:rsid w:val="00A075CB"/>
    <w:rsid w:val="00A07921"/>
    <w:rsid w:val="00A103F5"/>
    <w:rsid w:val="00A10739"/>
    <w:rsid w:val="00A10E58"/>
    <w:rsid w:val="00A110F3"/>
    <w:rsid w:val="00A12A5E"/>
    <w:rsid w:val="00A1352E"/>
    <w:rsid w:val="00A13E3E"/>
    <w:rsid w:val="00A14680"/>
    <w:rsid w:val="00A14C5B"/>
    <w:rsid w:val="00A156FD"/>
    <w:rsid w:val="00A158AC"/>
    <w:rsid w:val="00A15963"/>
    <w:rsid w:val="00A15A05"/>
    <w:rsid w:val="00A15D98"/>
    <w:rsid w:val="00A16AF1"/>
    <w:rsid w:val="00A16C96"/>
    <w:rsid w:val="00A170DF"/>
    <w:rsid w:val="00A1759D"/>
    <w:rsid w:val="00A175A3"/>
    <w:rsid w:val="00A175BE"/>
    <w:rsid w:val="00A177C7"/>
    <w:rsid w:val="00A20A57"/>
    <w:rsid w:val="00A20C95"/>
    <w:rsid w:val="00A21117"/>
    <w:rsid w:val="00A2205C"/>
    <w:rsid w:val="00A223B3"/>
    <w:rsid w:val="00A22960"/>
    <w:rsid w:val="00A22A3A"/>
    <w:rsid w:val="00A22EA3"/>
    <w:rsid w:val="00A22F46"/>
    <w:rsid w:val="00A23275"/>
    <w:rsid w:val="00A235FB"/>
    <w:rsid w:val="00A24F72"/>
    <w:rsid w:val="00A25AF9"/>
    <w:rsid w:val="00A25F3D"/>
    <w:rsid w:val="00A2678D"/>
    <w:rsid w:val="00A271CE"/>
    <w:rsid w:val="00A277B4"/>
    <w:rsid w:val="00A278C2"/>
    <w:rsid w:val="00A27C82"/>
    <w:rsid w:val="00A31302"/>
    <w:rsid w:val="00A31579"/>
    <w:rsid w:val="00A31D4F"/>
    <w:rsid w:val="00A31DB5"/>
    <w:rsid w:val="00A341AB"/>
    <w:rsid w:val="00A34A9D"/>
    <w:rsid w:val="00A35E5A"/>
    <w:rsid w:val="00A36CE6"/>
    <w:rsid w:val="00A36F6B"/>
    <w:rsid w:val="00A37BAD"/>
    <w:rsid w:val="00A37EE1"/>
    <w:rsid w:val="00A403C9"/>
    <w:rsid w:val="00A42015"/>
    <w:rsid w:val="00A42857"/>
    <w:rsid w:val="00A43036"/>
    <w:rsid w:val="00A43468"/>
    <w:rsid w:val="00A43997"/>
    <w:rsid w:val="00A43C85"/>
    <w:rsid w:val="00A4453D"/>
    <w:rsid w:val="00A45B47"/>
    <w:rsid w:val="00A4627C"/>
    <w:rsid w:val="00A478A9"/>
    <w:rsid w:val="00A47C1C"/>
    <w:rsid w:val="00A50486"/>
    <w:rsid w:val="00A506E9"/>
    <w:rsid w:val="00A50C92"/>
    <w:rsid w:val="00A51156"/>
    <w:rsid w:val="00A5271D"/>
    <w:rsid w:val="00A542D2"/>
    <w:rsid w:val="00A5439D"/>
    <w:rsid w:val="00A54B5E"/>
    <w:rsid w:val="00A54EB7"/>
    <w:rsid w:val="00A568F5"/>
    <w:rsid w:val="00A571BD"/>
    <w:rsid w:val="00A571D6"/>
    <w:rsid w:val="00A57575"/>
    <w:rsid w:val="00A57BCB"/>
    <w:rsid w:val="00A57C35"/>
    <w:rsid w:val="00A6021B"/>
    <w:rsid w:val="00A60258"/>
    <w:rsid w:val="00A610C1"/>
    <w:rsid w:val="00A61953"/>
    <w:rsid w:val="00A629F1"/>
    <w:rsid w:val="00A62EF0"/>
    <w:rsid w:val="00A6326C"/>
    <w:rsid w:val="00A636D4"/>
    <w:rsid w:val="00A63EEA"/>
    <w:rsid w:val="00A645FE"/>
    <w:rsid w:val="00A6553C"/>
    <w:rsid w:val="00A65F1E"/>
    <w:rsid w:val="00A65F39"/>
    <w:rsid w:val="00A672F2"/>
    <w:rsid w:val="00A70355"/>
    <w:rsid w:val="00A719EE"/>
    <w:rsid w:val="00A73BD3"/>
    <w:rsid w:val="00A73CBE"/>
    <w:rsid w:val="00A73F9D"/>
    <w:rsid w:val="00A741FB"/>
    <w:rsid w:val="00A74E9F"/>
    <w:rsid w:val="00A75A3D"/>
    <w:rsid w:val="00A76313"/>
    <w:rsid w:val="00A76383"/>
    <w:rsid w:val="00A76B21"/>
    <w:rsid w:val="00A76C05"/>
    <w:rsid w:val="00A81CAB"/>
    <w:rsid w:val="00A81E22"/>
    <w:rsid w:val="00A829DD"/>
    <w:rsid w:val="00A83310"/>
    <w:rsid w:val="00A83688"/>
    <w:rsid w:val="00A8386B"/>
    <w:rsid w:val="00A8411E"/>
    <w:rsid w:val="00A84C28"/>
    <w:rsid w:val="00A86895"/>
    <w:rsid w:val="00A87008"/>
    <w:rsid w:val="00A902EB"/>
    <w:rsid w:val="00A90402"/>
    <w:rsid w:val="00A90800"/>
    <w:rsid w:val="00A91025"/>
    <w:rsid w:val="00A910CB"/>
    <w:rsid w:val="00A910DB"/>
    <w:rsid w:val="00A91B9F"/>
    <w:rsid w:val="00A9240C"/>
    <w:rsid w:val="00A9258D"/>
    <w:rsid w:val="00A92ACC"/>
    <w:rsid w:val="00A936B0"/>
    <w:rsid w:val="00A93A0F"/>
    <w:rsid w:val="00A940A9"/>
    <w:rsid w:val="00A94460"/>
    <w:rsid w:val="00A94761"/>
    <w:rsid w:val="00A94EBB"/>
    <w:rsid w:val="00A9578B"/>
    <w:rsid w:val="00A96405"/>
    <w:rsid w:val="00A9655A"/>
    <w:rsid w:val="00A96D66"/>
    <w:rsid w:val="00A9711D"/>
    <w:rsid w:val="00A97D5A"/>
    <w:rsid w:val="00AA0029"/>
    <w:rsid w:val="00AA0336"/>
    <w:rsid w:val="00AA0364"/>
    <w:rsid w:val="00AA2298"/>
    <w:rsid w:val="00AA270B"/>
    <w:rsid w:val="00AA3388"/>
    <w:rsid w:val="00AA3BAB"/>
    <w:rsid w:val="00AA4048"/>
    <w:rsid w:val="00AA4CE9"/>
    <w:rsid w:val="00AA4DB0"/>
    <w:rsid w:val="00AA511A"/>
    <w:rsid w:val="00AA53AB"/>
    <w:rsid w:val="00AA5B34"/>
    <w:rsid w:val="00AA665C"/>
    <w:rsid w:val="00AA66AA"/>
    <w:rsid w:val="00AA75B4"/>
    <w:rsid w:val="00AA7719"/>
    <w:rsid w:val="00AB00E2"/>
    <w:rsid w:val="00AB05F5"/>
    <w:rsid w:val="00AB0CF9"/>
    <w:rsid w:val="00AB1E7B"/>
    <w:rsid w:val="00AB234D"/>
    <w:rsid w:val="00AB2797"/>
    <w:rsid w:val="00AB3C90"/>
    <w:rsid w:val="00AB4D8B"/>
    <w:rsid w:val="00AB604E"/>
    <w:rsid w:val="00AB6D32"/>
    <w:rsid w:val="00AB72BD"/>
    <w:rsid w:val="00AC0B14"/>
    <w:rsid w:val="00AC0EF0"/>
    <w:rsid w:val="00AC3C9D"/>
    <w:rsid w:val="00AC53D3"/>
    <w:rsid w:val="00AC57EA"/>
    <w:rsid w:val="00AC6E5A"/>
    <w:rsid w:val="00AC7415"/>
    <w:rsid w:val="00AC753B"/>
    <w:rsid w:val="00AC767B"/>
    <w:rsid w:val="00AC7D1B"/>
    <w:rsid w:val="00AC7E0B"/>
    <w:rsid w:val="00AD14A7"/>
    <w:rsid w:val="00AD179B"/>
    <w:rsid w:val="00AD17BB"/>
    <w:rsid w:val="00AD2B15"/>
    <w:rsid w:val="00AD3C82"/>
    <w:rsid w:val="00AD3EC3"/>
    <w:rsid w:val="00AD4DC2"/>
    <w:rsid w:val="00AD4E08"/>
    <w:rsid w:val="00AD65E6"/>
    <w:rsid w:val="00AD6B49"/>
    <w:rsid w:val="00AD7096"/>
    <w:rsid w:val="00AD73A8"/>
    <w:rsid w:val="00AD74A8"/>
    <w:rsid w:val="00AD7766"/>
    <w:rsid w:val="00AD7C66"/>
    <w:rsid w:val="00AD7E0F"/>
    <w:rsid w:val="00AE0414"/>
    <w:rsid w:val="00AE04E7"/>
    <w:rsid w:val="00AE0607"/>
    <w:rsid w:val="00AE0AE8"/>
    <w:rsid w:val="00AE179D"/>
    <w:rsid w:val="00AE1B8F"/>
    <w:rsid w:val="00AE1F17"/>
    <w:rsid w:val="00AE2427"/>
    <w:rsid w:val="00AE2845"/>
    <w:rsid w:val="00AE3833"/>
    <w:rsid w:val="00AE38CC"/>
    <w:rsid w:val="00AE3C0A"/>
    <w:rsid w:val="00AE3D56"/>
    <w:rsid w:val="00AE4005"/>
    <w:rsid w:val="00AE4605"/>
    <w:rsid w:val="00AE4922"/>
    <w:rsid w:val="00AE62B3"/>
    <w:rsid w:val="00AE695A"/>
    <w:rsid w:val="00AF0A17"/>
    <w:rsid w:val="00AF0C94"/>
    <w:rsid w:val="00AF1698"/>
    <w:rsid w:val="00AF20D0"/>
    <w:rsid w:val="00AF33EF"/>
    <w:rsid w:val="00AF427C"/>
    <w:rsid w:val="00AF5841"/>
    <w:rsid w:val="00AF5E19"/>
    <w:rsid w:val="00B00211"/>
    <w:rsid w:val="00B01E7E"/>
    <w:rsid w:val="00B020A8"/>
    <w:rsid w:val="00B0211A"/>
    <w:rsid w:val="00B02607"/>
    <w:rsid w:val="00B03CFF"/>
    <w:rsid w:val="00B040AA"/>
    <w:rsid w:val="00B0431A"/>
    <w:rsid w:val="00B053C2"/>
    <w:rsid w:val="00B05A45"/>
    <w:rsid w:val="00B0701E"/>
    <w:rsid w:val="00B07E77"/>
    <w:rsid w:val="00B12247"/>
    <w:rsid w:val="00B12252"/>
    <w:rsid w:val="00B12AC0"/>
    <w:rsid w:val="00B12F73"/>
    <w:rsid w:val="00B15036"/>
    <w:rsid w:val="00B154B2"/>
    <w:rsid w:val="00B15A61"/>
    <w:rsid w:val="00B15F72"/>
    <w:rsid w:val="00B16575"/>
    <w:rsid w:val="00B16D9F"/>
    <w:rsid w:val="00B207CD"/>
    <w:rsid w:val="00B20BE2"/>
    <w:rsid w:val="00B21022"/>
    <w:rsid w:val="00B211F6"/>
    <w:rsid w:val="00B21718"/>
    <w:rsid w:val="00B22CDD"/>
    <w:rsid w:val="00B233F1"/>
    <w:rsid w:val="00B23415"/>
    <w:rsid w:val="00B236FA"/>
    <w:rsid w:val="00B254D2"/>
    <w:rsid w:val="00B2555C"/>
    <w:rsid w:val="00B25A42"/>
    <w:rsid w:val="00B25F01"/>
    <w:rsid w:val="00B26385"/>
    <w:rsid w:val="00B263E0"/>
    <w:rsid w:val="00B279F0"/>
    <w:rsid w:val="00B304D7"/>
    <w:rsid w:val="00B30939"/>
    <w:rsid w:val="00B31D21"/>
    <w:rsid w:val="00B332E0"/>
    <w:rsid w:val="00B3440A"/>
    <w:rsid w:val="00B34812"/>
    <w:rsid w:val="00B34F21"/>
    <w:rsid w:val="00B35A71"/>
    <w:rsid w:val="00B35F8F"/>
    <w:rsid w:val="00B3604A"/>
    <w:rsid w:val="00B363B5"/>
    <w:rsid w:val="00B374F6"/>
    <w:rsid w:val="00B37690"/>
    <w:rsid w:val="00B379FF"/>
    <w:rsid w:val="00B37BEC"/>
    <w:rsid w:val="00B40129"/>
    <w:rsid w:val="00B40248"/>
    <w:rsid w:val="00B40481"/>
    <w:rsid w:val="00B41304"/>
    <w:rsid w:val="00B42324"/>
    <w:rsid w:val="00B43674"/>
    <w:rsid w:val="00B43694"/>
    <w:rsid w:val="00B4372E"/>
    <w:rsid w:val="00B44D7B"/>
    <w:rsid w:val="00B45840"/>
    <w:rsid w:val="00B45DA0"/>
    <w:rsid w:val="00B463F5"/>
    <w:rsid w:val="00B46635"/>
    <w:rsid w:val="00B46777"/>
    <w:rsid w:val="00B5262E"/>
    <w:rsid w:val="00B527B9"/>
    <w:rsid w:val="00B52CED"/>
    <w:rsid w:val="00B53814"/>
    <w:rsid w:val="00B53C32"/>
    <w:rsid w:val="00B53E19"/>
    <w:rsid w:val="00B53F4B"/>
    <w:rsid w:val="00B54310"/>
    <w:rsid w:val="00B55916"/>
    <w:rsid w:val="00B55F86"/>
    <w:rsid w:val="00B56A58"/>
    <w:rsid w:val="00B61D28"/>
    <w:rsid w:val="00B6224C"/>
    <w:rsid w:val="00B6425A"/>
    <w:rsid w:val="00B64547"/>
    <w:rsid w:val="00B64858"/>
    <w:rsid w:val="00B656CC"/>
    <w:rsid w:val="00B658BB"/>
    <w:rsid w:val="00B658E8"/>
    <w:rsid w:val="00B65AAF"/>
    <w:rsid w:val="00B66D4E"/>
    <w:rsid w:val="00B67075"/>
    <w:rsid w:val="00B70BF5"/>
    <w:rsid w:val="00B70C42"/>
    <w:rsid w:val="00B711E1"/>
    <w:rsid w:val="00B71218"/>
    <w:rsid w:val="00B71A84"/>
    <w:rsid w:val="00B727AA"/>
    <w:rsid w:val="00B74970"/>
    <w:rsid w:val="00B75018"/>
    <w:rsid w:val="00B76473"/>
    <w:rsid w:val="00B76BB5"/>
    <w:rsid w:val="00B76DE7"/>
    <w:rsid w:val="00B800AA"/>
    <w:rsid w:val="00B8098D"/>
    <w:rsid w:val="00B82380"/>
    <w:rsid w:val="00B82A6D"/>
    <w:rsid w:val="00B835B1"/>
    <w:rsid w:val="00B8427C"/>
    <w:rsid w:val="00B84461"/>
    <w:rsid w:val="00B84B85"/>
    <w:rsid w:val="00B85FA5"/>
    <w:rsid w:val="00B869A7"/>
    <w:rsid w:val="00B86D19"/>
    <w:rsid w:val="00B87A8A"/>
    <w:rsid w:val="00B90038"/>
    <w:rsid w:val="00B9116B"/>
    <w:rsid w:val="00B9134D"/>
    <w:rsid w:val="00B91787"/>
    <w:rsid w:val="00B91E7C"/>
    <w:rsid w:val="00B9225B"/>
    <w:rsid w:val="00B92B89"/>
    <w:rsid w:val="00B92CCC"/>
    <w:rsid w:val="00B94485"/>
    <w:rsid w:val="00B96453"/>
    <w:rsid w:val="00B96B56"/>
    <w:rsid w:val="00B96F8E"/>
    <w:rsid w:val="00B97570"/>
    <w:rsid w:val="00B97FD7"/>
    <w:rsid w:val="00BA0389"/>
    <w:rsid w:val="00BA0B9C"/>
    <w:rsid w:val="00BA25FC"/>
    <w:rsid w:val="00BA26F9"/>
    <w:rsid w:val="00BA2BAA"/>
    <w:rsid w:val="00BA3DE1"/>
    <w:rsid w:val="00BA442E"/>
    <w:rsid w:val="00BA65D4"/>
    <w:rsid w:val="00BA6CE6"/>
    <w:rsid w:val="00BA6D6A"/>
    <w:rsid w:val="00BA7457"/>
    <w:rsid w:val="00BA7AE2"/>
    <w:rsid w:val="00BA7D03"/>
    <w:rsid w:val="00BB0D20"/>
    <w:rsid w:val="00BB0DD5"/>
    <w:rsid w:val="00BB0F80"/>
    <w:rsid w:val="00BB20CC"/>
    <w:rsid w:val="00BB264A"/>
    <w:rsid w:val="00BB2BDC"/>
    <w:rsid w:val="00BB3046"/>
    <w:rsid w:val="00BB37A2"/>
    <w:rsid w:val="00BB37BF"/>
    <w:rsid w:val="00BB38D8"/>
    <w:rsid w:val="00BB3BA1"/>
    <w:rsid w:val="00BB4ADA"/>
    <w:rsid w:val="00BB56C8"/>
    <w:rsid w:val="00BB5CA2"/>
    <w:rsid w:val="00BB6A62"/>
    <w:rsid w:val="00BB6C13"/>
    <w:rsid w:val="00BC0600"/>
    <w:rsid w:val="00BC1B31"/>
    <w:rsid w:val="00BC2B7C"/>
    <w:rsid w:val="00BC4030"/>
    <w:rsid w:val="00BC4899"/>
    <w:rsid w:val="00BC48EF"/>
    <w:rsid w:val="00BC4AD7"/>
    <w:rsid w:val="00BC5040"/>
    <w:rsid w:val="00BC5480"/>
    <w:rsid w:val="00BC59C0"/>
    <w:rsid w:val="00BC5BC5"/>
    <w:rsid w:val="00BC60B0"/>
    <w:rsid w:val="00BC665C"/>
    <w:rsid w:val="00BC6F2C"/>
    <w:rsid w:val="00BC765C"/>
    <w:rsid w:val="00BC7F3D"/>
    <w:rsid w:val="00BD222F"/>
    <w:rsid w:val="00BD29DE"/>
    <w:rsid w:val="00BD2FEE"/>
    <w:rsid w:val="00BD38E9"/>
    <w:rsid w:val="00BD3DE9"/>
    <w:rsid w:val="00BD3E85"/>
    <w:rsid w:val="00BD4AF8"/>
    <w:rsid w:val="00BD6169"/>
    <w:rsid w:val="00BD71EC"/>
    <w:rsid w:val="00BD7D9A"/>
    <w:rsid w:val="00BE0062"/>
    <w:rsid w:val="00BE161E"/>
    <w:rsid w:val="00BE162F"/>
    <w:rsid w:val="00BE167C"/>
    <w:rsid w:val="00BE1B27"/>
    <w:rsid w:val="00BE20D3"/>
    <w:rsid w:val="00BE2692"/>
    <w:rsid w:val="00BE2730"/>
    <w:rsid w:val="00BE2C6F"/>
    <w:rsid w:val="00BE30BD"/>
    <w:rsid w:val="00BE362B"/>
    <w:rsid w:val="00BE56C1"/>
    <w:rsid w:val="00BE5FC6"/>
    <w:rsid w:val="00BE63D9"/>
    <w:rsid w:val="00BE6401"/>
    <w:rsid w:val="00BE716E"/>
    <w:rsid w:val="00BE73A3"/>
    <w:rsid w:val="00BF011C"/>
    <w:rsid w:val="00BF0C63"/>
    <w:rsid w:val="00BF14A7"/>
    <w:rsid w:val="00BF1EDB"/>
    <w:rsid w:val="00BF2919"/>
    <w:rsid w:val="00BF2C00"/>
    <w:rsid w:val="00BF30A5"/>
    <w:rsid w:val="00BF3A75"/>
    <w:rsid w:val="00BF3C22"/>
    <w:rsid w:val="00BF4BF4"/>
    <w:rsid w:val="00BF53A4"/>
    <w:rsid w:val="00BF5985"/>
    <w:rsid w:val="00BF59FB"/>
    <w:rsid w:val="00BF78C3"/>
    <w:rsid w:val="00C00DCD"/>
    <w:rsid w:val="00C01123"/>
    <w:rsid w:val="00C01D61"/>
    <w:rsid w:val="00C02485"/>
    <w:rsid w:val="00C02D10"/>
    <w:rsid w:val="00C03EB3"/>
    <w:rsid w:val="00C040D4"/>
    <w:rsid w:val="00C0541D"/>
    <w:rsid w:val="00C05612"/>
    <w:rsid w:val="00C05740"/>
    <w:rsid w:val="00C05862"/>
    <w:rsid w:val="00C10607"/>
    <w:rsid w:val="00C108DC"/>
    <w:rsid w:val="00C10D77"/>
    <w:rsid w:val="00C1161A"/>
    <w:rsid w:val="00C11CBF"/>
    <w:rsid w:val="00C1218C"/>
    <w:rsid w:val="00C12848"/>
    <w:rsid w:val="00C14418"/>
    <w:rsid w:val="00C14DA5"/>
    <w:rsid w:val="00C15561"/>
    <w:rsid w:val="00C15BB4"/>
    <w:rsid w:val="00C16B5B"/>
    <w:rsid w:val="00C16E7E"/>
    <w:rsid w:val="00C16EA7"/>
    <w:rsid w:val="00C206F4"/>
    <w:rsid w:val="00C21622"/>
    <w:rsid w:val="00C2180F"/>
    <w:rsid w:val="00C22895"/>
    <w:rsid w:val="00C22A3C"/>
    <w:rsid w:val="00C245BE"/>
    <w:rsid w:val="00C25885"/>
    <w:rsid w:val="00C25C56"/>
    <w:rsid w:val="00C263E6"/>
    <w:rsid w:val="00C268A5"/>
    <w:rsid w:val="00C27F50"/>
    <w:rsid w:val="00C304E2"/>
    <w:rsid w:val="00C30A98"/>
    <w:rsid w:val="00C31102"/>
    <w:rsid w:val="00C31371"/>
    <w:rsid w:val="00C3259F"/>
    <w:rsid w:val="00C32669"/>
    <w:rsid w:val="00C32AC3"/>
    <w:rsid w:val="00C32B15"/>
    <w:rsid w:val="00C33123"/>
    <w:rsid w:val="00C33C1B"/>
    <w:rsid w:val="00C33C9A"/>
    <w:rsid w:val="00C3446B"/>
    <w:rsid w:val="00C34740"/>
    <w:rsid w:val="00C34CBA"/>
    <w:rsid w:val="00C351D3"/>
    <w:rsid w:val="00C363E6"/>
    <w:rsid w:val="00C37080"/>
    <w:rsid w:val="00C37159"/>
    <w:rsid w:val="00C37389"/>
    <w:rsid w:val="00C374F4"/>
    <w:rsid w:val="00C37A1B"/>
    <w:rsid w:val="00C37ACC"/>
    <w:rsid w:val="00C37B84"/>
    <w:rsid w:val="00C405F7"/>
    <w:rsid w:val="00C4084A"/>
    <w:rsid w:val="00C40A37"/>
    <w:rsid w:val="00C418F9"/>
    <w:rsid w:val="00C4201C"/>
    <w:rsid w:val="00C426CC"/>
    <w:rsid w:val="00C437AB"/>
    <w:rsid w:val="00C439C8"/>
    <w:rsid w:val="00C43C77"/>
    <w:rsid w:val="00C4408F"/>
    <w:rsid w:val="00C4416D"/>
    <w:rsid w:val="00C448DE"/>
    <w:rsid w:val="00C44F0C"/>
    <w:rsid w:val="00C45468"/>
    <w:rsid w:val="00C45D9F"/>
    <w:rsid w:val="00C461D7"/>
    <w:rsid w:val="00C469EF"/>
    <w:rsid w:val="00C46BC6"/>
    <w:rsid w:val="00C470AF"/>
    <w:rsid w:val="00C471D1"/>
    <w:rsid w:val="00C51255"/>
    <w:rsid w:val="00C51432"/>
    <w:rsid w:val="00C518CE"/>
    <w:rsid w:val="00C52D0A"/>
    <w:rsid w:val="00C539C2"/>
    <w:rsid w:val="00C54BDA"/>
    <w:rsid w:val="00C55E4D"/>
    <w:rsid w:val="00C571AC"/>
    <w:rsid w:val="00C575DD"/>
    <w:rsid w:val="00C57864"/>
    <w:rsid w:val="00C5793A"/>
    <w:rsid w:val="00C57ED1"/>
    <w:rsid w:val="00C6080D"/>
    <w:rsid w:val="00C6236A"/>
    <w:rsid w:val="00C6262A"/>
    <w:rsid w:val="00C63D6E"/>
    <w:rsid w:val="00C63DE2"/>
    <w:rsid w:val="00C641CE"/>
    <w:rsid w:val="00C64DAF"/>
    <w:rsid w:val="00C65805"/>
    <w:rsid w:val="00C65DD8"/>
    <w:rsid w:val="00C6640C"/>
    <w:rsid w:val="00C666F8"/>
    <w:rsid w:val="00C66787"/>
    <w:rsid w:val="00C66793"/>
    <w:rsid w:val="00C671E5"/>
    <w:rsid w:val="00C67E6C"/>
    <w:rsid w:val="00C70611"/>
    <w:rsid w:val="00C707D6"/>
    <w:rsid w:val="00C71180"/>
    <w:rsid w:val="00C71518"/>
    <w:rsid w:val="00C71EF9"/>
    <w:rsid w:val="00C72AE2"/>
    <w:rsid w:val="00C7332A"/>
    <w:rsid w:val="00C742D8"/>
    <w:rsid w:val="00C744DB"/>
    <w:rsid w:val="00C75D13"/>
    <w:rsid w:val="00C760F9"/>
    <w:rsid w:val="00C76456"/>
    <w:rsid w:val="00C76497"/>
    <w:rsid w:val="00C76580"/>
    <w:rsid w:val="00C7735F"/>
    <w:rsid w:val="00C801B5"/>
    <w:rsid w:val="00C804C8"/>
    <w:rsid w:val="00C80595"/>
    <w:rsid w:val="00C819B4"/>
    <w:rsid w:val="00C8368B"/>
    <w:rsid w:val="00C83816"/>
    <w:rsid w:val="00C83C3F"/>
    <w:rsid w:val="00C83F4D"/>
    <w:rsid w:val="00C84139"/>
    <w:rsid w:val="00C8446D"/>
    <w:rsid w:val="00C86461"/>
    <w:rsid w:val="00C87ACB"/>
    <w:rsid w:val="00C87DC7"/>
    <w:rsid w:val="00C87F1C"/>
    <w:rsid w:val="00C903BC"/>
    <w:rsid w:val="00C90887"/>
    <w:rsid w:val="00C909EC"/>
    <w:rsid w:val="00C91908"/>
    <w:rsid w:val="00C91E65"/>
    <w:rsid w:val="00C92BDF"/>
    <w:rsid w:val="00C93427"/>
    <w:rsid w:val="00C939A3"/>
    <w:rsid w:val="00C9676C"/>
    <w:rsid w:val="00C96AB5"/>
    <w:rsid w:val="00C975CA"/>
    <w:rsid w:val="00C9773D"/>
    <w:rsid w:val="00CA0040"/>
    <w:rsid w:val="00CA0CD3"/>
    <w:rsid w:val="00CA15C9"/>
    <w:rsid w:val="00CA1CA2"/>
    <w:rsid w:val="00CA23D7"/>
    <w:rsid w:val="00CA270A"/>
    <w:rsid w:val="00CA2AF6"/>
    <w:rsid w:val="00CA388A"/>
    <w:rsid w:val="00CA3EB0"/>
    <w:rsid w:val="00CA45A3"/>
    <w:rsid w:val="00CA4983"/>
    <w:rsid w:val="00CA5A1F"/>
    <w:rsid w:val="00CA5DA0"/>
    <w:rsid w:val="00CA5E38"/>
    <w:rsid w:val="00CA60F5"/>
    <w:rsid w:val="00CA6BD9"/>
    <w:rsid w:val="00CA6FE9"/>
    <w:rsid w:val="00CA7513"/>
    <w:rsid w:val="00CA7850"/>
    <w:rsid w:val="00CB01A7"/>
    <w:rsid w:val="00CB0FA2"/>
    <w:rsid w:val="00CB16B8"/>
    <w:rsid w:val="00CB175E"/>
    <w:rsid w:val="00CB19D1"/>
    <w:rsid w:val="00CB1B48"/>
    <w:rsid w:val="00CB1BF1"/>
    <w:rsid w:val="00CB1DD0"/>
    <w:rsid w:val="00CB25A9"/>
    <w:rsid w:val="00CB2E2B"/>
    <w:rsid w:val="00CB339D"/>
    <w:rsid w:val="00CB3D7D"/>
    <w:rsid w:val="00CB42D7"/>
    <w:rsid w:val="00CB5218"/>
    <w:rsid w:val="00CB5302"/>
    <w:rsid w:val="00CB5455"/>
    <w:rsid w:val="00CB5A85"/>
    <w:rsid w:val="00CB5B7F"/>
    <w:rsid w:val="00CB622F"/>
    <w:rsid w:val="00CB672D"/>
    <w:rsid w:val="00CB697B"/>
    <w:rsid w:val="00CB70E3"/>
    <w:rsid w:val="00CC037C"/>
    <w:rsid w:val="00CC096B"/>
    <w:rsid w:val="00CC18EA"/>
    <w:rsid w:val="00CC2334"/>
    <w:rsid w:val="00CC2D16"/>
    <w:rsid w:val="00CC2F61"/>
    <w:rsid w:val="00CC3BD7"/>
    <w:rsid w:val="00CC4103"/>
    <w:rsid w:val="00CC5876"/>
    <w:rsid w:val="00CC5F93"/>
    <w:rsid w:val="00CC657A"/>
    <w:rsid w:val="00CC71AF"/>
    <w:rsid w:val="00CC7476"/>
    <w:rsid w:val="00CC74AE"/>
    <w:rsid w:val="00CC751B"/>
    <w:rsid w:val="00CD03FF"/>
    <w:rsid w:val="00CD0FBF"/>
    <w:rsid w:val="00CD2549"/>
    <w:rsid w:val="00CD276E"/>
    <w:rsid w:val="00CD2855"/>
    <w:rsid w:val="00CD3FF8"/>
    <w:rsid w:val="00CD4B70"/>
    <w:rsid w:val="00CD4BD4"/>
    <w:rsid w:val="00CD509A"/>
    <w:rsid w:val="00CD56D7"/>
    <w:rsid w:val="00CD5795"/>
    <w:rsid w:val="00CD6A21"/>
    <w:rsid w:val="00CD702B"/>
    <w:rsid w:val="00CD705B"/>
    <w:rsid w:val="00CD7211"/>
    <w:rsid w:val="00CD7E7A"/>
    <w:rsid w:val="00CE0193"/>
    <w:rsid w:val="00CE0991"/>
    <w:rsid w:val="00CE0E41"/>
    <w:rsid w:val="00CE15BE"/>
    <w:rsid w:val="00CE1816"/>
    <w:rsid w:val="00CE1A73"/>
    <w:rsid w:val="00CE1BDD"/>
    <w:rsid w:val="00CE1DEE"/>
    <w:rsid w:val="00CE1E91"/>
    <w:rsid w:val="00CE2162"/>
    <w:rsid w:val="00CE2494"/>
    <w:rsid w:val="00CE27A2"/>
    <w:rsid w:val="00CE2D68"/>
    <w:rsid w:val="00CE3B29"/>
    <w:rsid w:val="00CE3BE9"/>
    <w:rsid w:val="00CE4F1E"/>
    <w:rsid w:val="00CE5C4B"/>
    <w:rsid w:val="00CE6317"/>
    <w:rsid w:val="00CE6627"/>
    <w:rsid w:val="00CE7141"/>
    <w:rsid w:val="00CF0685"/>
    <w:rsid w:val="00CF0FBE"/>
    <w:rsid w:val="00CF1069"/>
    <w:rsid w:val="00CF13A1"/>
    <w:rsid w:val="00CF32D8"/>
    <w:rsid w:val="00CF345C"/>
    <w:rsid w:val="00CF5852"/>
    <w:rsid w:val="00CF6B2F"/>
    <w:rsid w:val="00CF71AC"/>
    <w:rsid w:val="00CF7613"/>
    <w:rsid w:val="00CF7F8E"/>
    <w:rsid w:val="00D0058A"/>
    <w:rsid w:val="00D01168"/>
    <w:rsid w:val="00D0237C"/>
    <w:rsid w:val="00D025FE"/>
    <w:rsid w:val="00D02E4E"/>
    <w:rsid w:val="00D03F56"/>
    <w:rsid w:val="00D04270"/>
    <w:rsid w:val="00D04278"/>
    <w:rsid w:val="00D04366"/>
    <w:rsid w:val="00D04909"/>
    <w:rsid w:val="00D057CB"/>
    <w:rsid w:val="00D05AA2"/>
    <w:rsid w:val="00D05E94"/>
    <w:rsid w:val="00D0649B"/>
    <w:rsid w:val="00D06662"/>
    <w:rsid w:val="00D067F9"/>
    <w:rsid w:val="00D077F5"/>
    <w:rsid w:val="00D079FE"/>
    <w:rsid w:val="00D100D5"/>
    <w:rsid w:val="00D101E4"/>
    <w:rsid w:val="00D1059C"/>
    <w:rsid w:val="00D109F5"/>
    <w:rsid w:val="00D11125"/>
    <w:rsid w:val="00D11787"/>
    <w:rsid w:val="00D117A5"/>
    <w:rsid w:val="00D126CC"/>
    <w:rsid w:val="00D127CC"/>
    <w:rsid w:val="00D12B1F"/>
    <w:rsid w:val="00D13639"/>
    <w:rsid w:val="00D13E31"/>
    <w:rsid w:val="00D14148"/>
    <w:rsid w:val="00D14735"/>
    <w:rsid w:val="00D15F04"/>
    <w:rsid w:val="00D1640B"/>
    <w:rsid w:val="00D16ABB"/>
    <w:rsid w:val="00D17B2D"/>
    <w:rsid w:val="00D21C5A"/>
    <w:rsid w:val="00D2259E"/>
    <w:rsid w:val="00D23B39"/>
    <w:rsid w:val="00D245AC"/>
    <w:rsid w:val="00D249C6"/>
    <w:rsid w:val="00D24B4F"/>
    <w:rsid w:val="00D24C2C"/>
    <w:rsid w:val="00D2548A"/>
    <w:rsid w:val="00D259C0"/>
    <w:rsid w:val="00D26123"/>
    <w:rsid w:val="00D26D64"/>
    <w:rsid w:val="00D2754B"/>
    <w:rsid w:val="00D27F15"/>
    <w:rsid w:val="00D27FE4"/>
    <w:rsid w:val="00D30A8C"/>
    <w:rsid w:val="00D31EEC"/>
    <w:rsid w:val="00D31F10"/>
    <w:rsid w:val="00D32B83"/>
    <w:rsid w:val="00D3435E"/>
    <w:rsid w:val="00D35370"/>
    <w:rsid w:val="00D35C11"/>
    <w:rsid w:val="00D361A1"/>
    <w:rsid w:val="00D37031"/>
    <w:rsid w:val="00D373CF"/>
    <w:rsid w:val="00D405D0"/>
    <w:rsid w:val="00D411D3"/>
    <w:rsid w:val="00D42334"/>
    <w:rsid w:val="00D432AF"/>
    <w:rsid w:val="00D436FF"/>
    <w:rsid w:val="00D43EFF"/>
    <w:rsid w:val="00D445B6"/>
    <w:rsid w:val="00D449F7"/>
    <w:rsid w:val="00D459CE"/>
    <w:rsid w:val="00D46095"/>
    <w:rsid w:val="00D47233"/>
    <w:rsid w:val="00D47977"/>
    <w:rsid w:val="00D47C6F"/>
    <w:rsid w:val="00D51128"/>
    <w:rsid w:val="00D5126B"/>
    <w:rsid w:val="00D51FE7"/>
    <w:rsid w:val="00D52BE4"/>
    <w:rsid w:val="00D54488"/>
    <w:rsid w:val="00D55247"/>
    <w:rsid w:val="00D552B1"/>
    <w:rsid w:val="00D5618A"/>
    <w:rsid w:val="00D56474"/>
    <w:rsid w:val="00D56B69"/>
    <w:rsid w:val="00D56C85"/>
    <w:rsid w:val="00D56E06"/>
    <w:rsid w:val="00D57B17"/>
    <w:rsid w:val="00D60117"/>
    <w:rsid w:val="00D60CFB"/>
    <w:rsid w:val="00D61878"/>
    <w:rsid w:val="00D61B85"/>
    <w:rsid w:val="00D61C2D"/>
    <w:rsid w:val="00D61DA9"/>
    <w:rsid w:val="00D62AC0"/>
    <w:rsid w:val="00D62CAD"/>
    <w:rsid w:val="00D630B8"/>
    <w:rsid w:val="00D633BF"/>
    <w:rsid w:val="00D63A49"/>
    <w:rsid w:val="00D6411B"/>
    <w:rsid w:val="00D64DFE"/>
    <w:rsid w:val="00D659E2"/>
    <w:rsid w:val="00D65CDD"/>
    <w:rsid w:val="00D662B8"/>
    <w:rsid w:val="00D6636C"/>
    <w:rsid w:val="00D66FD1"/>
    <w:rsid w:val="00D700E2"/>
    <w:rsid w:val="00D704D7"/>
    <w:rsid w:val="00D716A1"/>
    <w:rsid w:val="00D7195C"/>
    <w:rsid w:val="00D72956"/>
    <w:rsid w:val="00D73784"/>
    <w:rsid w:val="00D73BE8"/>
    <w:rsid w:val="00D744DD"/>
    <w:rsid w:val="00D755F4"/>
    <w:rsid w:val="00D75A31"/>
    <w:rsid w:val="00D75B42"/>
    <w:rsid w:val="00D76BD5"/>
    <w:rsid w:val="00D772C7"/>
    <w:rsid w:val="00D7798B"/>
    <w:rsid w:val="00D77C7E"/>
    <w:rsid w:val="00D80F26"/>
    <w:rsid w:val="00D81053"/>
    <w:rsid w:val="00D81CE1"/>
    <w:rsid w:val="00D81DB7"/>
    <w:rsid w:val="00D8271B"/>
    <w:rsid w:val="00D827BB"/>
    <w:rsid w:val="00D837AB"/>
    <w:rsid w:val="00D83A4F"/>
    <w:rsid w:val="00D84662"/>
    <w:rsid w:val="00D84841"/>
    <w:rsid w:val="00D86180"/>
    <w:rsid w:val="00D867BF"/>
    <w:rsid w:val="00D869E3"/>
    <w:rsid w:val="00D86AA5"/>
    <w:rsid w:val="00D87109"/>
    <w:rsid w:val="00D87F8E"/>
    <w:rsid w:val="00D900EB"/>
    <w:rsid w:val="00D90517"/>
    <w:rsid w:val="00D90D1E"/>
    <w:rsid w:val="00D90F11"/>
    <w:rsid w:val="00D9214C"/>
    <w:rsid w:val="00D9299B"/>
    <w:rsid w:val="00D92CCE"/>
    <w:rsid w:val="00D94143"/>
    <w:rsid w:val="00D942B3"/>
    <w:rsid w:val="00D95493"/>
    <w:rsid w:val="00D97FAF"/>
    <w:rsid w:val="00D97FCB"/>
    <w:rsid w:val="00DA12C0"/>
    <w:rsid w:val="00DA17BE"/>
    <w:rsid w:val="00DA4514"/>
    <w:rsid w:val="00DA4B0D"/>
    <w:rsid w:val="00DA51C2"/>
    <w:rsid w:val="00DA59C8"/>
    <w:rsid w:val="00DA5C4F"/>
    <w:rsid w:val="00DA7057"/>
    <w:rsid w:val="00DA7169"/>
    <w:rsid w:val="00DA775D"/>
    <w:rsid w:val="00DB111F"/>
    <w:rsid w:val="00DB1A88"/>
    <w:rsid w:val="00DB3715"/>
    <w:rsid w:val="00DB38F7"/>
    <w:rsid w:val="00DB466E"/>
    <w:rsid w:val="00DB49F4"/>
    <w:rsid w:val="00DB5E63"/>
    <w:rsid w:val="00DB6681"/>
    <w:rsid w:val="00DB75CB"/>
    <w:rsid w:val="00DB7653"/>
    <w:rsid w:val="00DB7C7D"/>
    <w:rsid w:val="00DC1B5B"/>
    <w:rsid w:val="00DC4393"/>
    <w:rsid w:val="00DC4571"/>
    <w:rsid w:val="00DC45E4"/>
    <w:rsid w:val="00DC57BE"/>
    <w:rsid w:val="00DC7D05"/>
    <w:rsid w:val="00DD0DFB"/>
    <w:rsid w:val="00DD1642"/>
    <w:rsid w:val="00DD16A7"/>
    <w:rsid w:val="00DD1C31"/>
    <w:rsid w:val="00DD27D7"/>
    <w:rsid w:val="00DD3086"/>
    <w:rsid w:val="00DD30B8"/>
    <w:rsid w:val="00DD542D"/>
    <w:rsid w:val="00DD5504"/>
    <w:rsid w:val="00DD60A4"/>
    <w:rsid w:val="00DD69D6"/>
    <w:rsid w:val="00DD6DA9"/>
    <w:rsid w:val="00DD76B7"/>
    <w:rsid w:val="00DD77D6"/>
    <w:rsid w:val="00DE0CCC"/>
    <w:rsid w:val="00DE1088"/>
    <w:rsid w:val="00DE1638"/>
    <w:rsid w:val="00DE2FD4"/>
    <w:rsid w:val="00DE4457"/>
    <w:rsid w:val="00DE44B9"/>
    <w:rsid w:val="00DE4530"/>
    <w:rsid w:val="00DE4E25"/>
    <w:rsid w:val="00DE540C"/>
    <w:rsid w:val="00DE5441"/>
    <w:rsid w:val="00DE591F"/>
    <w:rsid w:val="00DE592A"/>
    <w:rsid w:val="00DE618A"/>
    <w:rsid w:val="00DE61E5"/>
    <w:rsid w:val="00DE6713"/>
    <w:rsid w:val="00DE6CCD"/>
    <w:rsid w:val="00DE6FD4"/>
    <w:rsid w:val="00DE7058"/>
    <w:rsid w:val="00DE775D"/>
    <w:rsid w:val="00DE78D6"/>
    <w:rsid w:val="00DE7D37"/>
    <w:rsid w:val="00DF001A"/>
    <w:rsid w:val="00DF09B3"/>
    <w:rsid w:val="00DF1AC1"/>
    <w:rsid w:val="00DF20B5"/>
    <w:rsid w:val="00DF2251"/>
    <w:rsid w:val="00DF256F"/>
    <w:rsid w:val="00DF2C01"/>
    <w:rsid w:val="00DF2D1E"/>
    <w:rsid w:val="00DF3B3D"/>
    <w:rsid w:val="00DF5E9F"/>
    <w:rsid w:val="00DF5EA4"/>
    <w:rsid w:val="00DF7B11"/>
    <w:rsid w:val="00E017D3"/>
    <w:rsid w:val="00E01999"/>
    <w:rsid w:val="00E019FB"/>
    <w:rsid w:val="00E02106"/>
    <w:rsid w:val="00E02295"/>
    <w:rsid w:val="00E04218"/>
    <w:rsid w:val="00E04314"/>
    <w:rsid w:val="00E05D51"/>
    <w:rsid w:val="00E0671F"/>
    <w:rsid w:val="00E07391"/>
    <w:rsid w:val="00E07D4D"/>
    <w:rsid w:val="00E07F3E"/>
    <w:rsid w:val="00E10270"/>
    <w:rsid w:val="00E10BBC"/>
    <w:rsid w:val="00E12C7F"/>
    <w:rsid w:val="00E13744"/>
    <w:rsid w:val="00E15590"/>
    <w:rsid w:val="00E15D2B"/>
    <w:rsid w:val="00E1623E"/>
    <w:rsid w:val="00E162FA"/>
    <w:rsid w:val="00E16423"/>
    <w:rsid w:val="00E16C3A"/>
    <w:rsid w:val="00E174F0"/>
    <w:rsid w:val="00E17D19"/>
    <w:rsid w:val="00E17FDF"/>
    <w:rsid w:val="00E2009F"/>
    <w:rsid w:val="00E201B9"/>
    <w:rsid w:val="00E2029C"/>
    <w:rsid w:val="00E20DFE"/>
    <w:rsid w:val="00E24086"/>
    <w:rsid w:val="00E244ED"/>
    <w:rsid w:val="00E24C4C"/>
    <w:rsid w:val="00E26122"/>
    <w:rsid w:val="00E266B7"/>
    <w:rsid w:val="00E27648"/>
    <w:rsid w:val="00E30375"/>
    <w:rsid w:val="00E30499"/>
    <w:rsid w:val="00E30708"/>
    <w:rsid w:val="00E30BF9"/>
    <w:rsid w:val="00E31D2C"/>
    <w:rsid w:val="00E32621"/>
    <w:rsid w:val="00E32780"/>
    <w:rsid w:val="00E33B95"/>
    <w:rsid w:val="00E340D9"/>
    <w:rsid w:val="00E34618"/>
    <w:rsid w:val="00E348EC"/>
    <w:rsid w:val="00E35563"/>
    <w:rsid w:val="00E357BE"/>
    <w:rsid w:val="00E372E5"/>
    <w:rsid w:val="00E37E9E"/>
    <w:rsid w:val="00E4017F"/>
    <w:rsid w:val="00E40D4D"/>
    <w:rsid w:val="00E40FEA"/>
    <w:rsid w:val="00E4115B"/>
    <w:rsid w:val="00E4160D"/>
    <w:rsid w:val="00E418B5"/>
    <w:rsid w:val="00E425A2"/>
    <w:rsid w:val="00E4278A"/>
    <w:rsid w:val="00E44F5C"/>
    <w:rsid w:val="00E4581F"/>
    <w:rsid w:val="00E45CC7"/>
    <w:rsid w:val="00E45D9C"/>
    <w:rsid w:val="00E45E3C"/>
    <w:rsid w:val="00E460D9"/>
    <w:rsid w:val="00E46B1F"/>
    <w:rsid w:val="00E477B6"/>
    <w:rsid w:val="00E47A87"/>
    <w:rsid w:val="00E47B0C"/>
    <w:rsid w:val="00E50195"/>
    <w:rsid w:val="00E50AD4"/>
    <w:rsid w:val="00E5159E"/>
    <w:rsid w:val="00E54F4E"/>
    <w:rsid w:val="00E54FC3"/>
    <w:rsid w:val="00E557C1"/>
    <w:rsid w:val="00E55EED"/>
    <w:rsid w:val="00E5635D"/>
    <w:rsid w:val="00E5670E"/>
    <w:rsid w:val="00E56751"/>
    <w:rsid w:val="00E56B7D"/>
    <w:rsid w:val="00E56EEC"/>
    <w:rsid w:val="00E57044"/>
    <w:rsid w:val="00E574EA"/>
    <w:rsid w:val="00E57AD6"/>
    <w:rsid w:val="00E57BC6"/>
    <w:rsid w:val="00E57DEF"/>
    <w:rsid w:val="00E60987"/>
    <w:rsid w:val="00E61818"/>
    <w:rsid w:val="00E62C9D"/>
    <w:rsid w:val="00E64BD4"/>
    <w:rsid w:val="00E65396"/>
    <w:rsid w:val="00E65B13"/>
    <w:rsid w:val="00E65DDA"/>
    <w:rsid w:val="00E66EA3"/>
    <w:rsid w:val="00E67037"/>
    <w:rsid w:val="00E7139C"/>
    <w:rsid w:val="00E71420"/>
    <w:rsid w:val="00E71FED"/>
    <w:rsid w:val="00E727C5"/>
    <w:rsid w:val="00E72FD5"/>
    <w:rsid w:val="00E7376A"/>
    <w:rsid w:val="00E73F0C"/>
    <w:rsid w:val="00E74387"/>
    <w:rsid w:val="00E744D0"/>
    <w:rsid w:val="00E7541A"/>
    <w:rsid w:val="00E7624D"/>
    <w:rsid w:val="00E77262"/>
    <w:rsid w:val="00E7727A"/>
    <w:rsid w:val="00E774A5"/>
    <w:rsid w:val="00E777B3"/>
    <w:rsid w:val="00E77A00"/>
    <w:rsid w:val="00E80999"/>
    <w:rsid w:val="00E81484"/>
    <w:rsid w:val="00E81C0D"/>
    <w:rsid w:val="00E81F39"/>
    <w:rsid w:val="00E82078"/>
    <w:rsid w:val="00E82342"/>
    <w:rsid w:val="00E8250B"/>
    <w:rsid w:val="00E828DD"/>
    <w:rsid w:val="00E829E8"/>
    <w:rsid w:val="00E82DD8"/>
    <w:rsid w:val="00E8373D"/>
    <w:rsid w:val="00E8375E"/>
    <w:rsid w:val="00E83957"/>
    <w:rsid w:val="00E84022"/>
    <w:rsid w:val="00E8513D"/>
    <w:rsid w:val="00E85363"/>
    <w:rsid w:val="00E85F8B"/>
    <w:rsid w:val="00E860E7"/>
    <w:rsid w:val="00E8623E"/>
    <w:rsid w:val="00E862B8"/>
    <w:rsid w:val="00E86ABB"/>
    <w:rsid w:val="00E8779E"/>
    <w:rsid w:val="00E87E80"/>
    <w:rsid w:val="00E87F3F"/>
    <w:rsid w:val="00E87FF6"/>
    <w:rsid w:val="00E90A8F"/>
    <w:rsid w:val="00E911E6"/>
    <w:rsid w:val="00E91212"/>
    <w:rsid w:val="00E915B3"/>
    <w:rsid w:val="00E9163E"/>
    <w:rsid w:val="00E9344F"/>
    <w:rsid w:val="00E93E64"/>
    <w:rsid w:val="00E9502B"/>
    <w:rsid w:val="00E95B98"/>
    <w:rsid w:val="00E972B0"/>
    <w:rsid w:val="00EA070A"/>
    <w:rsid w:val="00EA1751"/>
    <w:rsid w:val="00EA1873"/>
    <w:rsid w:val="00EA2550"/>
    <w:rsid w:val="00EA2CB6"/>
    <w:rsid w:val="00EA3DBB"/>
    <w:rsid w:val="00EA42DB"/>
    <w:rsid w:val="00EA4FA9"/>
    <w:rsid w:val="00EA734A"/>
    <w:rsid w:val="00EA7631"/>
    <w:rsid w:val="00EA770A"/>
    <w:rsid w:val="00EA7720"/>
    <w:rsid w:val="00EA7DEE"/>
    <w:rsid w:val="00EA7E79"/>
    <w:rsid w:val="00EB0E92"/>
    <w:rsid w:val="00EB121D"/>
    <w:rsid w:val="00EB1C0A"/>
    <w:rsid w:val="00EB1EC5"/>
    <w:rsid w:val="00EB2434"/>
    <w:rsid w:val="00EB2853"/>
    <w:rsid w:val="00EB35D2"/>
    <w:rsid w:val="00EB35FE"/>
    <w:rsid w:val="00EB36E2"/>
    <w:rsid w:val="00EB38BE"/>
    <w:rsid w:val="00EB6083"/>
    <w:rsid w:val="00EB6E08"/>
    <w:rsid w:val="00EB7128"/>
    <w:rsid w:val="00EB712C"/>
    <w:rsid w:val="00EB7618"/>
    <w:rsid w:val="00EB7673"/>
    <w:rsid w:val="00EC0112"/>
    <w:rsid w:val="00EC07A1"/>
    <w:rsid w:val="00EC13C9"/>
    <w:rsid w:val="00EC26B2"/>
    <w:rsid w:val="00EC2811"/>
    <w:rsid w:val="00EC324D"/>
    <w:rsid w:val="00EC341F"/>
    <w:rsid w:val="00EC379F"/>
    <w:rsid w:val="00EC37E5"/>
    <w:rsid w:val="00EC485C"/>
    <w:rsid w:val="00EC508A"/>
    <w:rsid w:val="00EC5200"/>
    <w:rsid w:val="00EC58DD"/>
    <w:rsid w:val="00EC71D4"/>
    <w:rsid w:val="00EC7858"/>
    <w:rsid w:val="00ED2289"/>
    <w:rsid w:val="00ED26B1"/>
    <w:rsid w:val="00ED26B8"/>
    <w:rsid w:val="00ED28FD"/>
    <w:rsid w:val="00ED297A"/>
    <w:rsid w:val="00ED2DC3"/>
    <w:rsid w:val="00ED3374"/>
    <w:rsid w:val="00ED3579"/>
    <w:rsid w:val="00ED3661"/>
    <w:rsid w:val="00ED3C73"/>
    <w:rsid w:val="00ED41AD"/>
    <w:rsid w:val="00ED4469"/>
    <w:rsid w:val="00ED5688"/>
    <w:rsid w:val="00ED783E"/>
    <w:rsid w:val="00ED793A"/>
    <w:rsid w:val="00EE07D4"/>
    <w:rsid w:val="00EE0C62"/>
    <w:rsid w:val="00EE16DA"/>
    <w:rsid w:val="00EE1961"/>
    <w:rsid w:val="00EE36EF"/>
    <w:rsid w:val="00EE3762"/>
    <w:rsid w:val="00EE3926"/>
    <w:rsid w:val="00EE3ECC"/>
    <w:rsid w:val="00EE4460"/>
    <w:rsid w:val="00EE50FC"/>
    <w:rsid w:val="00EE5237"/>
    <w:rsid w:val="00EE59F6"/>
    <w:rsid w:val="00EE6BAC"/>
    <w:rsid w:val="00EE75D7"/>
    <w:rsid w:val="00EF0C90"/>
    <w:rsid w:val="00EF1B97"/>
    <w:rsid w:val="00EF2169"/>
    <w:rsid w:val="00EF2640"/>
    <w:rsid w:val="00EF3F00"/>
    <w:rsid w:val="00EF4EC6"/>
    <w:rsid w:val="00EF5C23"/>
    <w:rsid w:val="00EF60DA"/>
    <w:rsid w:val="00EF7647"/>
    <w:rsid w:val="00EF7FBE"/>
    <w:rsid w:val="00F0002A"/>
    <w:rsid w:val="00F0032C"/>
    <w:rsid w:val="00F0049A"/>
    <w:rsid w:val="00F00F79"/>
    <w:rsid w:val="00F01F3D"/>
    <w:rsid w:val="00F030B7"/>
    <w:rsid w:val="00F03375"/>
    <w:rsid w:val="00F037C7"/>
    <w:rsid w:val="00F038BB"/>
    <w:rsid w:val="00F038D7"/>
    <w:rsid w:val="00F03B51"/>
    <w:rsid w:val="00F04017"/>
    <w:rsid w:val="00F0426C"/>
    <w:rsid w:val="00F0509B"/>
    <w:rsid w:val="00F05342"/>
    <w:rsid w:val="00F06098"/>
    <w:rsid w:val="00F06205"/>
    <w:rsid w:val="00F0740B"/>
    <w:rsid w:val="00F07973"/>
    <w:rsid w:val="00F1099F"/>
    <w:rsid w:val="00F114B8"/>
    <w:rsid w:val="00F11D1B"/>
    <w:rsid w:val="00F124A0"/>
    <w:rsid w:val="00F12B31"/>
    <w:rsid w:val="00F15064"/>
    <w:rsid w:val="00F1558C"/>
    <w:rsid w:val="00F158A8"/>
    <w:rsid w:val="00F15EE5"/>
    <w:rsid w:val="00F21E08"/>
    <w:rsid w:val="00F221A7"/>
    <w:rsid w:val="00F22327"/>
    <w:rsid w:val="00F22668"/>
    <w:rsid w:val="00F22C34"/>
    <w:rsid w:val="00F2308D"/>
    <w:rsid w:val="00F2309F"/>
    <w:rsid w:val="00F23571"/>
    <w:rsid w:val="00F2375E"/>
    <w:rsid w:val="00F23840"/>
    <w:rsid w:val="00F23862"/>
    <w:rsid w:val="00F24B57"/>
    <w:rsid w:val="00F253E2"/>
    <w:rsid w:val="00F25A12"/>
    <w:rsid w:val="00F25DA6"/>
    <w:rsid w:val="00F271FA"/>
    <w:rsid w:val="00F278A4"/>
    <w:rsid w:val="00F27ABE"/>
    <w:rsid w:val="00F30006"/>
    <w:rsid w:val="00F30034"/>
    <w:rsid w:val="00F30A9E"/>
    <w:rsid w:val="00F3115A"/>
    <w:rsid w:val="00F317C2"/>
    <w:rsid w:val="00F32536"/>
    <w:rsid w:val="00F32D56"/>
    <w:rsid w:val="00F33333"/>
    <w:rsid w:val="00F334A9"/>
    <w:rsid w:val="00F3351D"/>
    <w:rsid w:val="00F336FC"/>
    <w:rsid w:val="00F3372B"/>
    <w:rsid w:val="00F33863"/>
    <w:rsid w:val="00F33874"/>
    <w:rsid w:val="00F33CC9"/>
    <w:rsid w:val="00F341F2"/>
    <w:rsid w:val="00F357B9"/>
    <w:rsid w:val="00F35B5F"/>
    <w:rsid w:val="00F35C82"/>
    <w:rsid w:val="00F363D4"/>
    <w:rsid w:val="00F36CDA"/>
    <w:rsid w:val="00F3763F"/>
    <w:rsid w:val="00F37A31"/>
    <w:rsid w:val="00F416DF"/>
    <w:rsid w:val="00F41871"/>
    <w:rsid w:val="00F418DE"/>
    <w:rsid w:val="00F41C0E"/>
    <w:rsid w:val="00F42801"/>
    <w:rsid w:val="00F42A5E"/>
    <w:rsid w:val="00F43D86"/>
    <w:rsid w:val="00F444F7"/>
    <w:rsid w:val="00F44B48"/>
    <w:rsid w:val="00F44B9F"/>
    <w:rsid w:val="00F46492"/>
    <w:rsid w:val="00F502BA"/>
    <w:rsid w:val="00F5065B"/>
    <w:rsid w:val="00F51127"/>
    <w:rsid w:val="00F5136C"/>
    <w:rsid w:val="00F51996"/>
    <w:rsid w:val="00F51BC1"/>
    <w:rsid w:val="00F51C84"/>
    <w:rsid w:val="00F51D66"/>
    <w:rsid w:val="00F53E6E"/>
    <w:rsid w:val="00F53EEF"/>
    <w:rsid w:val="00F545A6"/>
    <w:rsid w:val="00F5488C"/>
    <w:rsid w:val="00F56546"/>
    <w:rsid w:val="00F56CCB"/>
    <w:rsid w:val="00F57326"/>
    <w:rsid w:val="00F578B4"/>
    <w:rsid w:val="00F61021"/>
    <w:rsid w:val="00F6102A"/>
    <w:rsid w:val="00F62EE9"/>
    <w:rsid w:val="00F63003"/>
    <w:rsid w:val="00F63F58"/>
    <w:rsid w:val="00F64097"/>
    <w:rsid w:val="00F64368"/>
    <w:rsid w:val="00F64A1C"/>
    <w:rsid w:val="00F6527D"/>
    <w:rsid w:val="00F65667"/>
    <w:rsid w:val="00F669CB"/>
    <w:rsid w:val="00F6728A"/>
    <w:rsid w:val="00F67D78"/>
    <w:rsid w:val="00F67F3A"/>
    <w:rsid w:val="00F701E0"/>
    <w:rsid w:val="00F7125D"/>
    <w:rsid w:val="00F715C2"/>
    <w:rsid w:val="00F717D7"/>
    <w:rsid w:val="00F71EDC"/>
    <w:rsid w:val="00F71FEA"/>
    <w:rsid w:val="00F72F7A"/>
    <w:rsid w:val="00F738D9"/>
    <w:rsid w:val="00F740D4"/>
    <w:rsid w:val="00F74F9B"/>
    <w:rsid w:val="00F756D7"/>
    <w:rsid w:val="00F759FB"/>
    <w:rsid w:val="00F8007D"/>
    <w:rsid w:val="00F8088A"/>
    <w:rsid w:val="00F81206"/>
    <w:rsid w:val="00F81302"/>
    <w:rsid w:val="00F81591"/>
    <w:rsid w:val="00F821A4"/>
    <w:rsid w:val="00F82218"/>
    <w:rsid w:val="00F83807"/>
    <w:rsid w:val="00F83EBC"/>
    <w:rsid w:val="00F84D70"/>
    <w:rsid w:val="00F84E18"/>
    <w:rsid w:val="00F85C28"/>
    <w:rsid w:val="00F87EEF"/>
    <w:rsid w:val="00F90F25"/>
    <w:rsid w:val="00F919F2"/>
    <w:rsid w:val="00F91D66"/>
    <w:rsid w:val="00F930D4"/>
    <w:rsid w:val="00F9318F"/>
    <w:rsid w:val="00F94A61"/>
    <w:rsid w:val="00F94A72"/>
    <w:rsid w:val="00F964B6"/>
    <w:rsid w:val="00F973BC"/>
    <w:rsid w:val="00F97654"/>
    <w:rsid w:val="00FA0E48"/>
    <w:rsid w:val="00FA16E5"/>
    <w:rsid w:val="00FA26B0"/>
    <w:rsid w:val="00FA2DFE"/>
    <w:rsid w:val="00FA3133"/>
    <w:rsid w:val="00FA4353"/>
    <w:rsid w:val="00FA45EC"/>
    <w:rsid w:val="00FA4F32"/>
    <w:rsid w:val="00FA51FC"/>
    <w:rsid w:val="00FA5575"/>
    <w:rsid w:val="00FA56FC"/>
    <w:rsid w:val="00FA6356"/>
    <w:rsid w:val="00FA63AF"/>
    <w:rsid w:val="00FA66D3"/>
    <w:rsid w:val="00FA6727"/>
    <w:rsid w:val="00FB0A9E"/>
    <w:rsid w:val="00FB0B48"/>
    <w:rsid w:val="00FB0E93"/>
    <w:rsid w:val="00FB2224"/>
    <w:rsid w:val="00FB3052"/>
    <w:rsid w:val="00FB3DC3"/>
    <w:rsid w:val="00FB4142"/>
    <w:rsid w:val="00FB530C"/>
    <w:rsid w:val="00FB6EAF"/>
    <w:rsid w:val="00FB7C46"/>
    <w:rsid w:val="00FC05E6"/>
    <w:rsid w:val="00FC0849"/>
    <w:rsid w:val="00FC0BFE"/>
    <w:rsid w:val="00FC38C3"/>
    <w:rsid w:val="00FC3C3C"/>
    <w:rsid w:val="00FC4CE9"/>
    <w:rsid w:val="00FC4DBF"/>
    <w:rsid w:val="00FC4DED"/>
    <w:rsid w:val="00FC5684"/>
    <w:rsid w:val="00FC5770"/>
    <w:rsid w:val="00FC5EA0"/>
    <w:rsid w:val="00FC6000"/>
    <w:rsid w:val="00FC6416"/>
    <w:rsid w:val="00FC6F3B"/>
    <w:rsid w:val="00FC7457"/>
    <w:rsid w:val="00FC7917"/>
    <w:rsid w:val="00FC7F18"/>
    <w:rsid w:val="00FD0907"/>
    <w:rsid w:val="00FD0A83"/>
    <w:rsid w:val="00FD0B9A"/>
    <w:rsid w:val="00FD1349"/>
    <w:rsid w:val="00FD13A2"/>
    <w:rsid w:val="00FD1B75"/>
    <w:rsid w:val="00FD1E33"/>
    <w:rsid w:val="00FD22D9"/>
    <w:rsid w:val="00FD33CD"/>
    <w:rsid w:val="00FD39CA"/>
    <w:rsid w:val="00FD3F0E"/>
    <w:rsid w:val="00FD3FBD"/>
    <w:rsid w:val="00FD4433"/>
    <w:rsid w:val="00FD52F3"/>
    <w:rsid w:val="00FD5791"/>
    <w:rsid w:val="00FD5AE9"/>
    <w:rsid w:val="00FD630C"/>
    <w:rsid w:val="00FD6646"/>
    <w:rsid w:val="00FD6BB6"/>
    <w:rsid w:val="00FD7B46"/>
    <w:rsid w:val="00FD7B4C"/>
    <w:rsid w:val="00FE17B4"/>
    <w:rsid w:val="00FE29D8"/>
    <w:rsid w:val="00FE32B7"/>
    <w:rsid w:val="00FE38A7"/>
    <w:rsid w:val="00FE3C55"/>
    <w:rsid w:val="00FE3F4C"/>
    <w:rsid w:val="00FE47C6"/>
    <w:rsid w:val="00FE608C"/>
    <w:rsid w:val="00FE6329"/>
    <w:rsid w:val="00FE6382"/>
    <w:rsid w:val="00FE6EC0"/>
    <w:rsid w:val="00FE7778"/>
    <w:rsid w:val="00FE78A7"/>
    <w:rsid w:val="00FE7BAD"/>
    <w:rsid w:val="00FF13F4"/>
    <w:rsid w:val="00FF1801"/>
    <w:rsid w:val="00FF1E7E"/>
    <w:rsid w:val="00FF284A"/>
    <w:rsid w:val="00FF30AA"/>
    <w:rsid w:val="00FF4E08"/>
    <w:rsid w:val="00FF522A"/>
    <w:rsid w:val="00FF5C56"/>
    <w:rsid w:val="00FF5F7D"/>
    <w:rsid w:val="00FF608A"/>
    <w:rsid w:val="00FF60F9"/>
    <w:rsid w:val="00FF6DA1"/>
    <w:rsid w:val="00FF78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C6BF77"/>
  <w15:docId w15:val="{670F474C-576D-4D43-BE6C-A52B3DA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lsdException w:name="heading 4" w:locked="1" w:qFormat="1"/>
    <w:lsdException w:name="heading 5" w:locked="1" w:qFormat="1"/>
    <w:lsdException w:name="heading 6" w:locked="1" w:qFormat="1"/>
    <w:lsdException w:name="heading 7" w:locked="1" w:qFormat="1"/>
    <w:lsdException w:name="heading 8" w:locked="1"/>
    <w:lsdException w:name="heading 9" w:lock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cyte Normal"/>
    <w:qFormat/>
    <w:rsid w:val="000B3AE0"/>
    <w:pPr>
      <w:spacing w:before="120" w:after="120" w:line="276" w:lineRule="auto"/>
    </w:pPr>
    <w:rPr>
      <w:rFonts w:ascii="Tahoma" w:eastAsiaTheme="minorEastAsia" w:hAnsi="Tahoma" w:cs="Arial"/>
      <w:sz w:val="22"/>
      <w:szCs w:val="22"/>
      <w:lang w:val="en-US"/>
    </w:rPr>
  </w:style>
  <w:style w:type="paragraph" w:styleId="Ttulo1">
    <w:name w:val="heading 1"/>
    <w:aliases w:val="Heading 1 (Incyte),Chapter"/>
    <w:next w:val="Normal"/>
    <w:link w:val="Ttulo1Carter"/>
    <w:uiPriority w:val="99"/>
    <w:qFormat/>
    <w:rsid w:val="000B3AE0"/>
    <w:pPr>
      <w:keepNext/>
      <w:keepLines/>
      <w:pageBreakBefore/>
      <w:numPr>
        <w:numId w:val="7"/>
      </w:numPr>
      <w:suppressAutoHyphens/>
      <w:spacing w:after="240" w:line="276" w:lineRule="auto"/>
      <w:outlineLvl w:val="0"/>
    </w:pPr>
    <w:rPr>
      <w:rFonts w:ascii="Tahoma" w:eastAsiaTheme="minorEastAsia" w:hAnsi="Tahoma" w:cs="Arial"/>
      <w:b/>
      <w:iCs/>
      <w:smallCaps/>
      <w:noProof/>
      <w:color w:val="002D62" w:themeColor="accent1"/>
      <w:kern w:val="1"/>
      <w:sz w:val="28"/>
      <w:szCs w:val="28"/>
      <w:lang w:val="en-GB" w:eastAsia="en-GB"/>
    </w:rPr>
  </w:style>
  <w:style w:type="paragraph" w:styleId="Ttulo2">
    <w:name w:val="heading 2"/>
    <w:aliases w:val="Heading 2 (Incyte)"/>
    <w:basedOn w:val="Ttulo4"/>
    <w:next w:val="Normal"/>
    <w:link w:val="Ttulo2Carter"/>
    <w:uiPriority w:val="99"/>
    <w:qFormat/>
    <w:rsid w:val="000B3AE0"/>
    <w:pPr>
      <w:numPr>
        <w:ilvl w:val="1"/>
      </w:numPr>
      <w:spacing w:before="240"/>
      <w:outlineLvl w:val="1"/>
    </w:pPr>
    <w:rPr>
      <w:rFonts w:ascii="Tahoma" w:hAnsi="Tahoma"/>
      <w:color w:val="456E7F" w:themeColor="accent2" w:themeShade="BF"/>
      <w:sz w:val="24"/>
      <w:szCs w:val="24"/>
    </w:rPr>
  </w:style>
  <w:style w:type="paragraph" w:styleId="Ttulo3">
    <w:name w:val="heading 3"/>
    <w:aliases w:val="Chapter 3"/>
    <w:basedOn w:val="Ttulo2"/>
    <w:next w:val="Textbody"/>
    <w:link w:val="Ttulo3Carter"/>
    <w:uiPriority w:val="9"/>
    <w:rsid w:val="001232DF"/>
    <w:pPr>
      <w:numPr>
        <w:ilvl w:val="2"/>
      </w:numPr>
      <w:tabs>
        <w:tab w:val="left" w:pos="993"/>
      </w:tabs>
      <w:spacing w:before="400"/>
      <w:outlineLvl w:val="2"/>
    </w:pPr>
    <w:rPr>
      <w:sz w:val="20"/>
      <w:szCs w:val="20"/>
    </w:rPr>
  </w:style>
  <w:style w:type="paragraph" w:styleId="Ttulo4">
    <w:name w:val="heading 4"/>
    <w:basedOn w:val="Standard"/>
    <w:next w:val="Textbody"/>
    <w:link w:val="Ttulo4Carter"/>
    <w:uiPriority w:val="99"/>
    <w:qFormat/>
    <w:rsid w:val="000054C4"/>
    <w:pPr>
      <w:keepNext/>
      <w:widowControl w:val="0"/>
      <w:numPr>
        <w:ilvl w:val="3"/>
        <w:numId w:val="7"/>
      </w:numPr>
      <w:spacing w:before="300" w:after="140"/>
      <w:outlineLvl w:val="3"/>
    </w:pPr>
    <w:rPr>
      <w:rFonts w:ascii="Arial" w:eastAsia="MS Mincho" w:hAnsi="Arial" w:cs="Arial"/>
      <w:b/>
      <w:color w:val="002D62"/>
      <w:sz w:val="22"/>
      <w:szCs w:val="22"/>
    </w:rPr>
  </w:style>
  <w:style w:type="paragraph" w:styleId="Ttulo5">
    <w:name w:val="heading 5"/>
    <w:basedOn w:val="Normal"/>
    <w:next w:val="Normal"/>
    <w:link w:val="Ttulo5Carter"/>
    <w:uiPriority w:val="99"/>
    <w:unhideWhenUsed/>
    <w:qFormat/>
    <w:rsid w:val="000054C4"/>
    <w:pPr>
      <w:numPr>
        <w:ilvl w:val="4"/>
        <w:numId w:val="7"/>
      </w:numPr>
      <w:spacing w:before="200" w:after="0"/>
      <w:outlineLvl w:val="4"/>
    </w:pPr>
    <w:rPr>
      <w:smallCaps/>
      <w:color w:val="456E7F" w:themeColor="accent2" w:themeShade="BF"/>
      <w:spacing w:val="10"/>
      <w:szCs w:val="26"/>
    </w:rPr>
  </w:style>
  <w:style w:type="paragraph" w:styleId="Ttulo6">
    <w:name w:val="heading 6"/>
    <w:basedOn w:val="Normal"/>
    <w:next w:val="Normal"/>
    <w:link w:val="Ttulo6Carter"/>
    <w:uiPriority w:val="99"/>
    <w:unhideWhenUsed/>
    <w:qFormat/>
    <w:rsid w:val="000054C4"/>
    <w:pPr>
      <w:numPr>
        <w:ilvl w:val="5"/>
        <w:numId w:val="7"/>
      </w:numPr>
      <w:spacing w:after="0"/>
      <w:outlineLvl w:val="5"/>
    </w:pPr>
    <w:rPr>
      <w:smallCaps/>
      <w:color w:val="5F93A8" w:themeColor="accent2"/>
      <w:spacing w:val="5"/>
    </w:rPr>
  </w:style>
  <w:style w:type="paragraph" w:styleId="Ttulo7">
    <w:name w:val="heading 7"/>
    <w:basedOn w:val="Normal"/>
    <w:next w:val="Normal"/>
    <w:link w:val="Ttulo7Carter"/>
    <w:uiPriority w:val="99"/>
    <w:unhideWhenUsed/>
    <w:qFormat/>
    <w:rsid w:val="000054C4"/>
    <w:pPr>
      <w:numPr>
        <w:ilvl w:val="6"/>
        <w:numId w:val="7"/>
      </w:numPr>
      <w:spacing w:after="0"/>
      <w:outlineLvl w:val="6"/>
    </w:pPr>
    <w:rPr>
      <w:b/>
      <w:smallCaps/>
      <w:color w:val="5F93A8" w:themeColor="accent2"/>
      <w:spacing w:val="10"/>
    </w:rPr>
  </w:style>
  <w:style w:type="paragraph" w:styleId="Ttulo8">
    <w:name w:val="heading 8"/>
    <w:aliases w:val="Title 2,Annex,Appendix"/>
    <w:basedOn w:val="Normal"/>
    <w:next w:val="Normal"/>
    <w:link w:val="Ttulo8Carter"/>
    <w:uiPriority w:val="99"/>
    <w:rsid w:val="00CE0991"/>
    <w:pPr>
      <w:numPr>
        <w:ilvl w:val="7"/>
        <w:numId w:val="7"/>
      </w:numPr>
      <w:jc w:val="right"/>
      <w:outlineLvl w:val="7"/>
    </w:pPr>
    <w:rPr>
      <w:rFonts w:ascii="Trebuchet MS" w:hAnsi="Trebuchet MS"/>
      <w:color w:val="002D62" w:themeColor="accent1"/>
      <w:sz w:val="38"/>
      <w:szCs w:val="38"/>
      <w:lang w:val="en-GB" w:eastAsia="en-GB"/>
    </w:rPr>
  </w:style>
  <w:style w:type="paragraph" w:styleId="Ttulo9">
    <w:name w:val="heading 9"/>
    <w:aliases w:val="Title1,Annex1, Appen 1,Appen 1"/>
    <w:basedOn w:val="Normal"/>
    <w:next w:val="Normal"/>
    <w:link w:val="Ttulo9Carter"/>
    <w:uiPriority w:val="99"/>
    <w:qFormat/>
    <w:rsid w:val="000054C4"/>
    <w:pPr>
      <w:framePr w:hSpace="180" w:wrap="around" w:vAnchor="page" w:hAnchor="margin" w:y="4221"/>
      <w:widowControl w:val="0"/>
      <w:numPr>
        <w:ilvl w:val="8"/>
        <w:numId w:val="7"/>
      </w:numPr>
      <w:suppressAutoHyphens/>
      <w:spacing w:before="0" w:after="0"/>
      <w:jc w:val="right"/>
      <w:outlineLvl w:val="8"/>
    </w:pPr>
    <w:rPr>
      <w:rFonts w:ascii="Trebuchet MS" w:hAnsi="Trebuchet MS"/>
      <w:b/>
      <w:color w:val="002D62"/>
      <w:kern w:val="16"/>
      <w:sz w:val="4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arter"/>
    <w:uiPriority w:val="99"/>
    <w:rsid w:val="007E648F"/>
    <w:pPr>
      <w:spacing w:line="480" w:lineRule="auto"/>
    </w:pPr>
  </w:style>
  <w:style w:type="character" w:customStyle="1" w:styleId="Corpodetexto2Carter">
    <w:name w:val="Corpo de texto 2 Caráter"/>
    <w:basedOn w:val="Tipodeletrapredefinidodopargrafo"/>
    <w:link w:val="Corpodetexto2"/>
    <w:uiPriority w:val="99"/>
    <w:locked/>
    <w:rsid w:val="007E648F"/>
    <w:rPr>
      <w:rFonts w:ascii="Arial" w:hAnsi="Arial" w:cs="Times New Roman"/>
      <w:sz w:val="24"/>
      <w:szCs w:val="24"/>
      <w:lang w:val="en-GB" w:eastAsia="en-GB"/>
    </w:rPr>
  </w:style>
  <w:style w:type="character" w:customStyle="1" w:styleId="Ttulo1Carter">
    <w:name w:val="Título 1 Caráter"/>
    <w:aliases w:val="Heading 1 (Incyte) Caráter,Chapter Caráter"/>
    <w:basedOn w:val="Tipodeletrapredefinidodopargrafo"/>
    <w:link w:val="Ttulo1"/>
    <w:uiPriority w:val="99"/>
    <w:locked/>
    <w:rsid w:val="000B3AE0"/>
    <w:rPr>
      <w:rFonts w:ascii="Tahoma" w:eastAsiaTheme="minorEastAsia" w:hAnsi="Tahoma" w:cs="Arial"/>
      <w:b/>
      <w:iCs/>
      <w:smallCaps/>
      <w:noProof/>
      <w:color w:val="002D62" w:themeColor="accent1"/>
      <w:kern w:val="1"/>
      <w:sz w:val="28"/>
      <w:szCs w:val="28"/>
      <w:lang w:val="en-GB" w:eastAsia="en-GB"/>
    </w:rPr>
  </w:style>
  <w:style w:type="paragraph" w:customStyle="1" w:styleId="Textbody">
    <w:name w:val="Text body"/>
    <w:basedOn w:val="Standard"/>
    <w:uiPriority w:val="99"/>
    <w:rsid w:val="00834D4D"/>
    <w:pPr>
      <w:widowControl w:val="0"/>
      <w:spacing w:after="120"/>
    </w:pPr>
    <w:rPr>
      <w:rFonts w:ascii="Arial" w:eastAsia="Calibri" w:hAnsi="Arial"/>
      <w:sz w:val="21"/>
    </w:rPr>
  </w:style>
  <w:style w:type="paragraph" w:customStyle="1" w:styleId="Standard">
    <w:name w:val="Standard"/>
    <w:link w:val="StandardChar"/>
    <w:uiPriority w:val="99"/>
    <w:rsid w:val="00834D4D"/>
    <w:pPr>
      <w:suppressAutoHyphens/>
    </w:pPr>
    <w:rPr>
      <w:rFonts w:ascii="Times New Roman" w:eastAsia="Times New Roman" w:hAnsi="Times New Roman"/>
      <w:sz w:val="24"/>
      <w:szCs w:val="24"/>
    </w:rPr>
  </w:style>
  <w:style w:type="character" w:customStyle="1" w:styleId="StandardChar">
    <w:name w:val="Standard Char"/>
    <w:basedOn w:val="Tipodeletrapredefinidodopargrafo"/>
    <w:link w:val="Standard"/>
    <w:uiPriority w:val="99"/>
    <w:rsid w:val="0098594C"/>
    <w:rPr>
      <w:rFonts w:ascii="Times New Roman" w:eastAsia="Times New Roman" w:hAnsi="Times New Roman"/>
      <w:sz w:val="24"/>
      <w:szCs w:val="24"/>
      <w:lang w:val="en-AU" w:eastAsia="en-AU" w:bidi="ar-SA"/>
    </w:rPr>
  </w:style>
  <w:style w:type="character" w:customStyle="1" w:styleId="Ttulo2Carter">
    <w:name w:val="Título 2 Caráter"/>
    <w:aliases w:val="Heading 2 (Incyte) Caráter"/>
    <w:basedOn w:val="Tipodeletrapredefinidodopargrafo"/>
    <w:link w:val="Ttulo2"/>
    <w:uiPriority w:val="99"/>
    <w:locked/>
    <w:rsid w:val="000B3AE0"/>
    <w:rPr>
      <w:rFonts w:ascii="Tahoma" w:eastAsia="MS Mincho" w:hAnsi="Tahoma" w:cs="Arial"/>
      <w:b/>
      <w:color w:val="456E7F" w:themeColor="accent2" w:themeShade="BF"/>
      <w:sz w:val="24"/>
      <w:szCs w:val="24"/>
    </w:rPr>
  </w:style>
  <w:style w:type="character" w:customStyle="1" w:styleId="Ttulo3Carter">
    <w:name w:val="Título 3 Caráter"/>
    <w:aliases w:val="Chapter 3 Caráter"/>
    <w:basedOn w:val="Tipodeletrapredefinidodopargrafo"/>
    <w:link w:val="Ttulo3"/>
    <w:uiPriority w:val="9"/>
    <w:locked/>
    <w:rsid w:val="001232DF"/>
    <w:rPr>
      <w:rFonts w:ascii="Tahoma" w:eastAsia="MS Mincho" w:hAnsi="Tahoma" w:cs="Arial"/>
      <w:b/>
      <w:color w:val="456E7F" w:themeColor="accent2" w:themeShade="BF"/>
    </w:rPr>
  </w:style>
  <w:style w:type="character" w:customStyle="1" w:styleId="Ttulo4Carter">
    <w:name w:val="Título 4 Caráter"/>
    <w:basedOn w:val="Tipodeletrapredefinidodopargrafo"/>
    <w:link w:val="Ttulo4"/>
    <w:uiPriority w:val="99"/>
    <w:locked/>
    <w:rsid w:val="000054C4"/>
    <w:rPr>
      <w:rFonts w:ascii="Arial" w:eastAsia="MS Mincho" w:hAnsi="Arial" w:cs="Arial"/>
      <w:b/>
      <w:color w:val="002D62"/>
      <w:sz w:val="22"/>
      <w:szCs w:val="22"/>
    </w:rPr>
  </w:style>
  <w:style w:type="character" w:customStyle="1" w:styleId="Ttulo5Carter">
    <w:name w:val="Título 5 Caráter"/>
    <w:basedOn w:val="Tipodeletrapredefinidodopargrafo"/>
    <w:link w:val="Ttulo5"/>
    <w:uiPriority w:val="99"/>
    <w:locked/>
    <w:rsid w:val="000054C4"/>
    <w:rPr>
      <w:rFonts w:ascii="Tahoma" w:eastAsiaTheme="minorEastAsia" w:hAnsi="Tahoma" w:cs="Arial"/>
      <w:smallCaps/>
      <w:color w:val="456E7F" w:themeColor="accent2" w:themeShade="BF"/>
      <w:spacing w:val="10"/>
      <w:sz w:val="22"/>
      <w:szCs w:val="26"/>
      <w:lang w:val="en-US"/>
    </w:rPr>
  </w:style>
  <w:style w:type="character" w:customStyle="1" w:styleId="Ttulo6Carter">
    <w:name w:val="Título 6 Caráter"/>
    <w:basedOn w:val="Tipodeletrapredefinidodopargrafo"/>
    <w:link w:val="Ttulo6"/>
    <w:uiPriority w:val="99"/>
    <w:locked/>
    <w:rsid w:val="000054C4"/>
    <w:rPr>
      <w:rFonts w:ascii="Tahoma" w:eastAsiaTheme="minorEastAsia" w:hAnsi="Tahoma" w:cs="Arial"/>
      <w:smallCaps/>
      <w:color w:val="5F93A8" w:themeColor="accent2"/>
      <w:spacing w:val="5"/>
      <w:sz w:val="22"/>
      <w:szCs w:val="22"/>
      <w:lang w:val="en-US"/>
    </w:rPr>
  </w:style>
  <w:style w:type="character" w:customStyle="1" w:styleId="Ttulo7Carter">
    <w:name w:val="Título 7 Caráter"/>
    <w:basedOn w:val="Tipodeletrapredefinidodopargrafo"/>
    <w:link w:val="Ttulo7"/>
    <w:uiPriority w:val="99"/>
    <w:locked/>
    <w:rsid w:val="000054C4"/>
    <w:rPr>
      <w:rFonts w:ascii="Tahoma" w:eastAsiaTheme="minorEastAsia" w:hAnsi="Tahoma" w:cs="Arial"/>
      <w:b/>
      <w:smallCaps/>
      <w:color w:val="5F93A8" w:themeColor="accent2"/>
      <w:spacing w:val="10"/>
      <w:sz w:val="22"/>
      <w:szCs w:val="22"/>
      <w:lang w:val="en-US"/>
    </w:rPr>
  </w:style>
  <w:style w:type="character" w:customStyle="1" w:styleId="Ttulo8Carter">
    <w:name w:val="Título 8 Caráter"/>
    <w:aliases w:val="Title 2 Caráter,Annex Caráter,Appendix Caráter"/>
    <w:basedOn w:val="Tipodeletrapredefinidodopargrafo"/>
    <w:link w:val="Ttulo8"/>
    <w:uiPriority w:val="99"/>
    <w:locked/>
    <w:rsid w:val="00CE0991"/>
    <w:rPr>
      <w:rFonts w:ascii="Trebuchet MS" w:eastAsiaTheme="minorEastAsia" w:hAnsi="Trebuchet MS" w:cs="Arial"/>
      <w:color w:val="002D62" w:themeColor="accent1"/>
      <w:sz w:val="38"/>
      <w:szCs w:val="38"/>
      <w:lang w:val="en-GB" w:eastAsia="en-GB"/>
    </w:rPr>
  </w:style>
  <w:style w:type="character" w:customStyle="1" w:styleId="Ttulo9Carter">
    <w:name w:val="Título 9 Caráter"/>
    <w:aliases w:val="Title1 Caráter,Annex1 Caráter, Appen 1 Caráter,Appen 1 Caráter"/>
    <w:basedOn w:val="Tipodeletrapredefinidodopargrafo"/>
    <w:link w:val="Ttulo9"/>
    <w:uiPriority w:val="99"/>
    <w:locked/>
    <w:rsid w:val="000054C4"/>
    <w:rPr>
      <w:rFonts w:ascii="Trebuchet MS" w:eastAsiaTheme="minorEastAsia" w:hAnsi="Trebuchet MS" w:cs="Arial"/>
      <w:b/>
      <w:color w:val="002D62"/>
      <w:kern w:val="16"/>
      <w:sz w:val="48"/>
      <w:szCs w:val="32"/>
      <w:lang w:val="en-US"/>
    </w:rPr>
  </w:style>
  <w:style w:type="paragraph" w:styleId="Subttulo">
    <w:name w:val="Subtitle"/>
    <w:aliases w:val="Incyte sub-bullet"/>
    <w:basedOn w:val="PargrafodaLista"/>
    <w:link w:val="SubttuloCarter"/>
    <w:uiPriority w:val="99"/>
    <w:qFormat/>
    <w:rsid w:val="00913DC1"/>
    <w:pPr>
      <w:numPr>
        <w:numId w:val="9"/>
      </w:numPr>
    </w:pPr>
  </w:style>
  <w:style w:type="character" w:customStyle="1" w:styleId="SubttuloCarter">
    <w:name w:val="Subtítulo Caráter"/>
    <w:aliases w:val="Incyte sub-bullet Caráter"/>
    <w:basedOn w:val="Tipodeletrapredefinidodopargrafo"/>
    <w:link w:val="Subttulo"/>
    <w:uiPriority w:val="99"/>
    <w:locked/>
    <w:rsid w:val="00913DC1"/>
    <w:rPr>
      <w:rFonts w:ascii="Tahoma" w:eastAsiaTheme="minorEastAsia" w:hAnsi="Tahoma" w:cs="Arial"/>
      <w:sz w:val="22"/>
      <w:szCs w:val="22"/>
      <w:lang w:val="en-US"/>
    </w:rPr>
  </w:style>
  <w:style w:type="paragraph" w:customStyle="1" w:styleId="Footnote">
    <w:name w:val="Footnote"/>
    <w:basedOn w:val="Normal"/>
    <w:uiPriority w:val="99"/>
    <w:rsid w:val="00990BF4"/>
  </w:style>
  <w:style w:type="paragraph" w:customStyle="1" w:styleId="BulletList1">
    <w:name w:val="Bullet List 1"/>
    <w:basedOn w:val="Standard"/>
    <w:link w:val="BulletList1Char"/>
    <w:uiPriority w:val="99"/>
    <w:rsid w:val="00A96D66"/>
    <w:pPr>
      <w:tabs>
        <w:tab w:val="num" w:pos="0"/>
      </w:tabs>
      <w:suppressAutoHyphens w:val="0"/>
      <w:spacing w:before="120" w:after="120" w:line="287" w:lineRule="auto"/>
    </w:pPr>
    <w:rPr>
      <w:rFonts w:ascii="Arial" w:hAnsi="Arial"/>
      <w:sz w:val="20"/>
      <w:lang w:val="en-GB" w:eastAsia="en-GB"/>
    </w:rPr>
  </w:style>
  <w:style w:type="character" w:customStyle="1" w:styleId="BulletList1Char">
    <w:name w:val="Bullet List 1 Char"/>
    <w:basedOn w:val="StandardChar"/>
    <w:link w:val="BulletList1"/>
    <w:uiPriority w:val="99"/>
    <w:rsid w:val="0098594C"/>
    <w:rPr>
      <w:rFonts w:ascii="Arial" w:eastAsia="Times New Roman" w:hAnsi="Arial"/>
      <w:sz w:val="24"/>
      <w:szCs w:val="24"/>
      <w:lang w:val="en-GB" w:eastAsia="en-GB" w:bidi="ar-SA"/>
    </w:rPr>
  </w:style>
  <w:style w:type="character" w:customStyle="1" w:styleId="Internetlink">
    <w:name w:val="Internet link"/>
    <w:basedOn w:val="Hiperligao"/>
    <w:uiPriority w:val="99"/>
    <w:rsid w:val="00834D4D"/>
    <w:rPr>
      <w:rFonts w:cs="Times New Roman"/>
      <w:color w:val="000080"/>
      <w:u w:val="single"/>
      <w:lang w:val="en-AU"/>
    </w:rPr>
  </w:style>
  <w:style w:type="character" w:styleId="Hiperligao">
    <w:name w:val="Hyperlink"/>
    <w:basedOn w:val="Tipodeletrapredefinidodopargrafo"/>
    <w:uiPriority w:val="99"/>
    <w:rsid w:val="00834D4D"/>
    <w:rPr>
      <w:rFonts w:cs="Times New Roman"/>
      <w:color w:val="0000FF"/>
      <w:u w:val="single"/>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
    <w:basedOn w:val="Tipodeletrapredefinidodopargrafo"/>
    <w:uiPriority w:val="99"/>
    <w:rsid w:val="00D02E4E"/>
    <w:rPr>
      <w:rFonts w:cs="Times New Roman"/>
      <w:sz w:val="18"/>
    </w:rPr>
  </w:style>
  <w:style w:type="character" w:styleId="Refdecomentrio">
    <w:name w:val="annotation reference"/>
    <w:basedOn w:val="Tipodeletrapredefinidodopargrafo"/>
    <w:uiPriority w:val="99"/>
    <w:rsid w:val="00834D4D"/>
    <w:rPr>
      <w:rFonts w:cs="Times New Roman"/>
      <w:sz w:val="16"/>
      <w:szCs w:val="16"/>
      <w:lang w:val="en-AU"/>
    </w:rPr>
  </w:style>
  <w:style w:type="character" w:customStyle="1" w:styleId="notereference">
    <w:name w:val="note reference"/>
    <w:basedOn w:val="Tipodeletrapredefinidodopargrafo"/>
    <w:uiPriority w:val="99"/>
    <w:semiHidden/>
    <w:rsid w:val="00834D4D"/>
    <w:rPr>
      <w:rFonts w:cs="Times New Roman"/>
      <w:vertAlign w:val="superscript"/>
      <w:lang w:val="en-AU"/>
    </w:rPr>
  </w:style>
  <w:style w:type="paragraph" w:styleId="ndice1">
    <w:name w:val="toc 1"/>
    <w:basedOn w:val="Normal"/>
    <w:autoRedefine/>
    <w:uiPriority w:val="39"/>
    <w:rsid w:val="00995ABD"/>
    <w:pPr>
      <w:tabs>
        <w:tab w:val="left" w:pos="362"/>
        <w:tab w:val="right" w:leader="dot" w:pos="9011"/>
      </w:tabs>
      <w:spacing w:after="0"/>
    </w:pPr>
    <w:rPr>
      <w:rFonts w:asciiTheme="majorHAnsi" w:hAnsiTheme="majorHAnsi"/>
      <w:b/>
      <w:bCs/>
      <w:noProof/>
      <w:color w:val="456E7F" w:themeColor="accent2" w:themeShade="BF"/>
      <w:szCs w:val="24"/>
    </w:rPr>
  </w:style>
  <w:style w:type="paragraph" w:styleId="ndice2">
    <w:name w:val="toc 2"/>
    <w:basedOn w:val="Normal"/>
    <w:autoRedefine/>
    <w:uiPriority w:val="39"/>
    <w:rsid w:val="008B1E07"/>
    <w:pPr>
      <w:tabs>
        <w:tab w:val="left" w:pos="529"/>
        <w:tab w:val="right" w:leader="dot" w:pos="9011"/>
      </w:tabs>
      <w:spacing w:before="0" w:after="0"/>
    </w:pPr>
    <w:rPr>
      <w:noProof/>
    </w:rPr>
  </w:style>
  <w:style w:type="paragraph" w:styleId="ndice3">
    <w:name w:val="toc 3"/>
    <w:basedOn w:val="Normal"/>
    <w:autoRedefine/>
    <w:uiPriority w:val="39"/>
    <w:rsid w:val="008E4A71"/>
    <w:pPr>
      <w:spacing w:before="0" w:after="0"/>
      <w:ind w:left="240"/>
    </w:pPr>
  </w:style>
  <w:style w:type="paragraph" w:styleId="ndice4">
    <w:name w:val="toc 4"/>
    <w:basedOn w:val="Normal"/>
    <w:autoRedefine/>
    <w:uiPriority w:val="99"/>
    <w:rsid w:val="008E4A71"/>
    <w:pPr>
      <w:pBdr>
        <w:between w:val="double" w:sz="6" w:space="0" w:color="auto"/>
      </w:pBdr>
      <w:spacing w:before="0" w:after="0"/>
      <w:ind w:left="480"/>
    </w:pPr>
  </w:style>
  <w:style w:type="paragraph" w:styleId="Textodebalo">
    <w:name w:val="Balloon Text"/>
    <w:basedOn w:val="Normal"/>
    <w:link w:val="TextodebaloCarter"/>
    <w:uiPriority w:val="99"/>
    <w:rsid w:val="00834D4D"/>
    <w:rPr>
      <w:sz w:val="16"/>
      <w:szCs w:val="16"/>
    </w:rPr>
  </w:style>
  <w:style w:type="character" w:customStyle="1" w:styleId="TextodebaloCarter">
    <w:name w:val="Texto de balão Caráter"/>
    <w:basedOn w:val="Tipodeletrapredefinidodopargrafo"/>
    <w:link w:val="Textodebalo"/>
    <w:uiPriority w:val="99"/>
    <w:locked/>
    <w:rsid w:val="00834D4D"/>
    <w:rPr>
      <w:rFonts w:ascii="Tahoma" w:hAnsi="Tahoma" w:cs="Tahoma"/>
      <w:sz w:val="16"/>
      <w:szCs w:val="16"/>
      <w:lang w:eastAsia="en-AU"/>
    </w:rPr>
  </w:style>
  <w:style w:type="paragraph" w:styleId="Rodap">
    <w:name w:val="footer"/>
    <w:basedOn w:val="Normal"/>
    <w:link w:val="RodapCarter"/>
    <w:rsid w:val="00834D4D"/>
    <w:pPr>
      <w:tabs>
        <w:tab w:val="center" w:pos="4513"/>
        <w:tab w:val="right" w:pos="9026"/>
      </w:tabs>
    </w:pPr>
  </w:style>
  <w:style w:type="character" w:customStyle="1" w:styleId="RodapCarter">
    <w:name w:val="Rodapé Caráter"/>
    <w:basedOn w:val="Tipodeletrapredefinidodopargrafo"/>
    <w:link w:val="Rodap"/>
    <w:locked/>
    <w:rsid w:val="00834D4D"/>
    <w:rPr>
      <w:rFonts w:ascii="Times New Roman" w:hAnsi="Times New Roman" w:cs="Tahoma"/>
      <w:sz w:val="24"/>
      <w:szCs w:val="24"/>
      <w:lang w:eastAsia="en-AU"/>
    </w:rPr>
  </w:style>
  <w:style w:type="paragraph" w:styleId="Corpodetexto">
    <w:name w:val="Body Text"/>
    <w:aliases w:val="bt,heading3,Body Text - Level 2,Body,b,(Ctrl Shift B),Body Text Char1 Char,Body Text Char1 Char Char,NoticeText-List,Concepto,ELI PD text,body,Concepto Char,ELI PD text Char,BodyText Char,body Char,text Char"/>
    <w:basedOn w:val="Normal"/>
    <w:link w:val="CorpodetextoCarter"/>
    <w:uiPriority w:val="99"/>
    <w:rsid w:val="00BD7D9A"/>
  </w:style>
  <w:style w:type="character" w:customStyle="1" w:styleId="CorpodetextoCarter">
    <w:name w:val="Corpo de texto Caráter"/>
    <w:aliases w:val="bt Caráter,heading3 Caráter,Body Text - Level 2 Caráter,Body Caráter,b Caráter,(Ctrl Shift B) Caráter,Body Text Char1 Char Caráter,Body Text Char1 Char Char Caráter,NoticeText-List Caráter,Concepto Caráter,ELI PD text Caráter"/>
    <w:basedOn w:val="Tipodeletrapredefinidodopargrafo"/>
    <w:link w:val="Corpodetexto"/>
    <w:uiPriority w:val="99"/>
    <w:locked/>
    <w:rsid w:val="00BD7D9A"/>
    <w:rPr>
      <w:rFonts w:ascii="Arial" w:hAnsi="Arial" w:cs="Times New Roman"/>
      <w:sz w:val="24"/>
      <w:szCs w:val="24"/>
      <w:lang w:val="en-GB" w:eastAsia="en-GB"/>
    </w:rPr>
  </w:style>
  <w:style w:type="paragraph" w:customStyle="1" w:styleId="TocTitle">
    <w:name w:val="Toc Title"/>
    <w:basedOn w:val="Corpodetexto"/>
    <w:uiPriority w:val="99"/>
    <w:rsid w:val="00CD4BD4"/>
    <w:rPr>
      <w:b/>
      <w:color w:val="4F2683"/>
    </w:rPr>
  </w:style>
  <w:style w:type="character" w:styleId="Refdenotaderodap">
    <w:name w:val="footnote reference"/>
    <w:aliases w:val="Appel note de bas de p,ftref,16 Point,Superscript 6 Point,fr,Appel note de bas de p + 11 pt,Italic,(NECG) Footnote Reference,(NECG) Footnote Reference1,(NECG) Footnote Reference2,Footnote symbol,Nota,Style 6,Style 20"/>
    <w:basedOn w:val="Tipodeletrapredefinidodopargrafo"/>
    <w:uiPriority w:val="99"/>
    <w:rsid w:val="00990BF4"/>
    <w:rPr>
      <w:rFonts w:cs="Times New Roman"/>
      <w:vertAlign w:val="superscript"/>
    </w:rPr>
  </w:style>
  <w:style w:type="paragraph" w:styleId="PargrafodaLista">
    <w:name w:val="List Paragraph"/>
    <w:basedOn w:val="Normal"/>
    <w:link w:val="PargrafodaListaCarter"/>
    <w:uiPriority w:val="34"/>
    <w:qFormat/>
    <w:rsid w:val="00F2309F"/>
    <w:pPr>
      <w:contextualSpacing/>
    </w:pPr>
  </w:style>
  <w:style w:type="character" w:customStyle="1" w:styleId="apple-style-span">
    <w:name w:val="apple-style-span"/>
    <w:basedOn w:val="Tipodeletrapredefinidodopargrafo"/>
    <w:rsid w:val="0004118F"/>
    <w:rPr>
      <w:rFonts w:cs="Times New Roman"/>
    </w:rPr>
  </w:style>
  <w:style w:type="paragraph" w:customStyle="1" w:styleId="Heading2unnumbered">
    <w:name w:val="Heading 2 unnumbered"/>
    <w:basedOn w:val="Ttulo2"/>
    <w:next w:val="Corpodetexto"/>
    <w:uiPriority w:val="99"/>
    <w:rsid w:val="008333AA"/>
    <w:pPr>
      <w:numPr>
        <w:ilvl w:val="0"/>
        <w:numId w:val="0"/>
      </w:numPr>
    </w:pPr>
  </w:style>
  <w:style w:type="paragraph" w:styleId="Legenda">
    <w:name w:val="caption"/>
    <w:basedOn w:val="Normal"/>
    <w:next w:val="Normal"/>
    <w:link w:val="LegendaCarter"/>
    <w:unhideWhenUsed/>
    <w:qFormat/>
    <w:rsid w:val="000054C4"/>
    <w:rPr>
      <w:b/>
      <w:bCs/>
      <w:caps/>
      <w:sz w:val="16"/>
    </w:rPr>
  </w:style>
  <w:style w:type="character" w:customStyle="1" w:styleId="LegendaCarter">
    <w:name w:val="Legenda Caráter"/>
    <w:link w:val="Legenda"/>
    <w:rsid w:val="00844B6D"/>
    <w:rPr>
      <w:b/>
      <w:bCs/>
      <w:caps/>
      <w:sz w:val="16"/>
      <w:szCs w:val="18"/>
    </w:rPr>
  </w:style>
  <w:style w:type="paragraph" w:customStyle="1" w:styleId="western">
    <w:name w:val="western"/>
    <w:basedOn w:val="Normal"/>
    <w:uiPriority w:val="99"/>
    <w:rsid w:val="00764C40"/>
    <w:pPr>
      <w:spacing w:before="115" w:after="115"/>
      <w:ind w:left="907"/>
    </w:pPr>
  </w:style>
  <w:style w:type="paragraph" w:styleId="Avanodecorpodetexto2">
    <w:name w:val="Body Text Indent 2"/>
    <w:basedOn w:val="Normal"/>
    <w:link w:val="Avanodecorpodetexto2Carter"/>
    <w:uiPriority w:val="99"/>
    <w:rsid w:val="007E648F"/>
    <w:pPr>
      <w:spacing w:line="480" w:lineRule="auto"/>
      <w:ind w:left="283"/>
    </w:pPr>
  </w:style>
  <w:style w:type="character" w:customStyle="1" w:styleId="Avanodecorpodetexto2Carter">
    <w:name w:val="Avanço de corpo de texto 2 Caráter"/>
    <w:basedOn w:val="Tipodeletrapredefinidodopargrafo"/>
    <w:link w:val="Avanodecorpodetexto2"/>
    <w:uiPriority w:val="99"/>
    <w:locked/>
    <w:rsid w:val="007E648F"/>
    <w:rPr>
      <w:rFonts w:ascii="Arial" w:hAnsi="Arial" w:cs="Times New Roman"/>
      <w:sz w:val="24"/>
      <w:szCs w:val="24"/>
      <w:lang w:val="en-GB" w:eastAsia="en-GB"/>
    </w:rPr>
  </w:style>
  <w:style w:type="paragraph" w:customStyle="1" w:styleId="ConsTitle">
    <w:name w:val="ConsTitle"/>
    <w:basedOn w:val="Normal"/>
    <w:uiPriority w:val="99"/>
    <w:rsid w:val="007E648F"/>
    <w:pPr>
      <w:spacing w:before="0" w:after="0"/>
      <w:jc w:val="center"/>
    </w:pPr>
    <w:rPr>
      <w:rFonts w:ascii="Times New Roman" w:hAnsi="Times New Roman"/>
      <w:b/>
      <w:bCs/>
      <w:lang w:val="en-CA"/>
    </w:rPr>
  </w:style>
  <w:style w:type="paragraph" w:customStyle="1" w:styleId="top">
    <w:name w:val="top"/>
    <w:basedOn w:val="Ttulo2"/>
    <w:link w:val="topChar"/>
    <w:uiPriority w:val="99"/>
    <w:rsid w:val="007E648F"/>
    <w:pPr>
      <w:numPr>
        <w:ilvl w:val="0"/>
        <w:numId w:val="0"/>
      </w:numPr>
      <w:spacing w:after="0"/>
    </w:pPr>
    <w:rPr>
      <w:rFonts w:ascii="Times New Roman" w:hAnsi="Times New Roman" w:cs="Times New Roman"/>
      <w:b w:val="0"/>
      <w:iCs/>
      <w:caps/>
      <w:color w:val="auto"/>
      <w:lang w:eastAsia="en-US"/>
    </w:rPr>
  </w:style>
  <w:style w:type="character" w:customStyle="1" w:styleId="topChar">
    <w:name w:val="top Char"/>
    <w:basedOn w:val="Tipodeletrapredefinidodopargrafo"/>
    <w:link w:val="top"/>
    <w:uiPriority w:val="99"/>
    <w:locked/>
    <w:rsid w:val="007E648F"/>
    <w:rPr>
      <w:rFonts w:ascii="Times New Roman" w:hAnsi="Times New Roman" w:cs="Times New Roman"/>
      <w:caps/>
      <w:sz w:val="24"/>
      <w:szCs w:val="24"/>
      <w:lang w:val="en-GB"/>
    </w:rPr>
  </w:style>
  <w:style w:type="paragraph" w:customStyle="1" w:styleId="Bullet">
    <w:name w:val="Bullet"/>
    <w:aliases w:val="(Ctrl Alt B),(Ctrl Alt B) Char,(Ctrl Alt B) Char + Bold,Bullet Char Char...,Bullet Char Ch...,(Ctrl Alt B) Char Char,Bullet Char Char Char Char,(Ctrl Alt B) + Verdana,9 pt,Left:  0 cm,First line:  0 cm"/>
    <w:basedOn w:val="Normal"/>
    <w:link w:val="BulletChar"/>
    <w:rsid w:val="005E2B7B"/>
    <w:pPr>
      <w:tabs>
        <w:tab w:val="num" w:pos="720"/>
      </w:tabs>
      <w:spacing w:before="0" w:after="0"/>
      <w:ind w:left="720" w:hanging="720"/>
    </w:pPr>
    <w:rPr>
      <w:rFonts w:ascii="Times New Roman" w:hAnsi="Times New Roman"/>
      <w:noProof/>
      <w:lang w:val="en-CA" w:eastAsia="es-ES"/>
    </w:rPr>
  </w:style>
  <w:style w:type="character" w:customStyle="1" w:styleId="BulletChar">
    <w:name w:val="Bullet Char"/>
    <w:aliases w:val="(Ctrl Alt B) Char1,(Ctrl Alt B) Char + Bold Char Char,(Ctrl Alt B) Char Char1,(Ctrl Alt B) Char Char Char,Bullet Char Char... Char Char,(Ctrl Alt B) Char + Bold Char,Bullet Char Ch... Char Char"/>
    <w:basedOn w:val="Tipodeletrapredefinidodopargrafo"/>
    <w:link w:val="Bullet"/>
    <w:rsid w:val="006F7B49"/>
    <w:rPr>
      <w:rFonts w:ascii="Times New Roman" w:eastAsia="Times New Roman" w:hAnsi="Times New Roman"/>
      <w:noProof/>
      <w:sz w:val="24"/>
      <w:szCs w:val="18"/>
      <w:lang w:val="en-CA" w:eastAsia="es-ES"/>
    </w:rPr>
  </w:style>
  <w:style w:type="paragraph" w:customStyle="1" w:styleId="IncyteBoxtext">
    <w:name w:val="Incyte Box text"/>
    <w:basedOn w:val="Avanodecorpodetexto2"/>
    <w:link w:val="IncyteBoxtextChar"/>
    <w:uiPriority w:val="99"/>
    <w:rsid w:val="00CF6B2F"/>
    <w:pPr>
      <w:spacing w:after="0" w:line="240" w:lineRule="auto"/>
      <w:ind w:left="0"/>
    </w:pPr>
    <w:rPr>
      <w:bCs/>
    </w:rPr>
  </w:style>
  <w:style w:type="character" w:customStyle="1" w:styleId="IncyteBoxtextChar">
    <w:name w:val="Incyte Box text Char"/>
    <w:basedOn w:val="Avanodecorpodetexto2Carter"/>
    <w:link w:val="IncyteBoxtext"/>
    <w:uiPriority w:val="99"/>
    <w:locked/>
    <w:rsid w:val="00CF6B2F"/>
    <w:rPr>
      <w:rFonts w:ascii="Arial" w:hAnsi="Arial" w:cs="Times New Roman"/>
      <w:bCs/>
      <w:sz w:val="24"/>
      <w:szCs w:val="24"/>
      <w:lang w:val="en-GB" w:eastAsia="en-GB"/>
    </w:rPr>
  </w:style>
  <w:style w:type="paragraph" w:styleId="ndice5">
    <w:name w:val="toc 5"/>
    <w:basedOn w:val="Normal"/>
    <w:next w:val="Normal"/>
    <w:autoRedefine/>
    <w:uiPriority w:val="99"/>
    <w:rsid w:val="008E4A71"/>
    <w:pPr>
      <w:pBdr>
        <w:between w:val="double" w:sz="6" w:space="0" w:color="auto"/>
      </w:pBdr>
      <w:spacing w:before="0" w:after="0"/>
      <w:ind w:left="720"/>
    </w:pPr>
  </w:style>
  <w:style w:type="paragraph" w:styleId="ndice6">
    <w:name w:val="toc 6"/>
    <w:basedOn w:val="Normal"/>
    <w:next w:val="Normal"/>
    <w:autoRedefine/>
    <w:uiPriority w:val="99"/>
    <w:rsid w:val="00CF6B2F"/>
    <w:pPr>
      <w:pBdr>
        <w:between w:val="double" w:sz="6" w:space="0" w:color="auto"/>
      </w:pBdr>
      <w:spacing w:before="0" w:after="0"/>
      <w:ind w:left="960"/>
    </w:pPr>
    <w:rPr>
      <w:rFonts w:asciiTheme="minorHAnsi" w:hAnsiTheme="minorHAnsi"/>
      <w:sz w:val="20"/>
    </w:rPr>
  </w:style>
  <w:style w:type="paragraph" w:styleId="ndice7">
    <w:name w:val="toc 7"/>
    <w:basedOn w:val="Normal"/>
    <w:next w:val="Normal"/>
    <w:autoRedefine/>
    <w:uiPriority w:val="99"/>
    <w:rsid w:val="00CF6B2F"/>
    <w:pPr>
      <w:pBdr>
        <w:between w:val="double" w:sz="6" w:space="0" w:color="auto"/>
      </w:pBdr>
      <w:spacing w:before="0" w:after="0"/>
      <w:ind w:left="1200"/>
    </w:pPr>
    <w:rPr>
      <w:rFonts w:asciiTheme="minorHAnsi" w:hAnsiTheme="minorHAnsi"/>
      <w:sz w:val="20"/>
    </w:rPr>
  </w:style>
  <w:style w:type="paragraph" w:styleId="ndice8">
    <w:name w:val="toc 8"/>
    <w:basedOn w:val="Normal"/>
    <w:next w:val="Normal"/>
    <w:autoRedefine/>
    <w:uiPriority w:val="99"/>
    <w:rsid w:val="00CF6B2F"/>
    <w:pPr>
      <w:pBdr>
        <w:between w:val="double" w:sz="6" w:space="0" w:color="auto"/>
      </w:pBdr>
      <w:spacing w:before="0" w:after="0"/>
      <w:ind w:left="1440"/>
    </w:pPr>
    <w:rPr>
      <w:rFonts w:asciiTheme="minorHAnsi" w:hAnsiTheme="minorHAnsi"/>
      <w:sz w:val="20"/>
    </w:rPr>
  </w:style>
  <w:style w:type="paragraph" w:styleId="ndice9">
    <w:name w:val="toc 9"/>
    <w:basedOn w:val="Normal"/>
    <w:next w:val="Normal"/>
    <w:autoRedefine/>
    <w:uiPriority w:val="99"/>
    <w:rsid w:val="00CF6B2F"/>
    <w:pPr>
      <w:pBdr>
        <w:between w:val="double" w:sz="6" w:space="0" w:color="auto"/>
      </w:pBdr>
      <w:spacing w:before="0" w:after="0"/>
      <w:ind w:left="1680"/>
    </w:pPr>
    <w:rPr>
      <w:rFonts w:asciiTheme="minorHAnsi" w:hAnsiTheme="minorHAnsi"/>
      <w:sz w:val="20"/>
    </w:rPr>
  </w:style>
  <w:style w:type="paragraph" w:styleId="Textodecomentrio">
    <w:name w:val="annotation text"/>
    <w:basedOn w:val="Normal"/>
    <w:link w:val="TextodecomentrioCarter"/>
    <w:uiPriority w:val="99"/>
    <w:rsid w:val="001414A6"/>
  </w:style>
  <w:style w:type="character" w:customStyle="1" w:styleId="TextodecomentrioCarter">
    <w:name w:val="Texto de comentário Caráter"/>
    <w:basedOn w:val="Tipodeletrapredefinidodopargrafo"/>
    <w:link w:val="Textodecomentrio"/>
    <w:uiPriority w:val="99"/>
    <w:locked/>
    <w:rsid w:val="001414A6"/>
    <w:rPr>
      <w:rFonts w:ascii="Arial" w:hAnsi="Arial" w:cs="Times New Roman"/>
      <w:sz w:val="20"/>
      <w:szCs w:val="20"/>
      <w:lang w:val="en-GB" w:eastAsia="en-GB"/>
    </w:rPr>
  </w:style>
  <w:style w:type="paragraph" w:styleId="Textodenotaderodap">
    <w:name w:val="footnote text"/>
    <w:aliases w:val="Footnote Text Char Char,Footnote Text Char2 Char Char,Footnote Text Char3 Char1 Char Char,Footnote Text Char2 Char1 Char1 Char Char,Footnote Text Char3 Char1 Char Char Char Char,Footnote Text Char2,Footnote Text Char3,f,fn,FA,FA "/>
    <w:basedOn w:val="Normal"/>
    <w:link w:val="TextodenotaderodapCarter"/>
    <w:qFormat/>
    <w:rsid w:val="002A2AF4"/>
    <w:pPr>
      <w:spacing w:before="0" w:after="0"/>
    </w:pPr>
    <w:rPr>
      <w:sz w:val="20"/>
    </w:rPr>
  </w:style>
  <w:style w:type="character" w:customStyle="1" w:styleId="TextodenotaderodapCarter">
    <w:name w:val="Texto de nota de rodapé Caráter"/>
    <w:aliases w:val="Footnote Text Char Char Caráter,Footnote Text Char2 Char Char Caráter,Footnote Text Char3 Char1 Char Char Caráter,Footnote Text Char2 Char1 Char1 Char Char Caráter,Footnote Text Char3 Char1 Char Char Char Char Caráter"/>
    <w:basedOn w:val="Tipodeletrapredefinidodopargrafo"/>
    <w:link w:val="Textodenotaderodap"/>
    <w:uiPriority w:val="99"/>
    <w:locked/>
    <w:rsid w:val="002A2AF4"/>
    <w:rPr>
      <w:rFonts w:ascii="Garamond" w:eastAsiaTheme="minorEastAsia" w:hAnsi="Garamond" w:cs="Arial"/>
      <w:lang w:val="en-US"/>
    </w:rPr>
  </w:style>
  <w:style w:type="paragraph" w:styleId="Citao">
    <w:name w:val="Quote"/>
    <w:aliases w:val="Heading 4 (Incyte)"/>
    <w:basedOn w:val="Normal"/>
    <w:next w:val="Normal"/>
    <w:link w:val="CitaoCarter"/>
    <w:uiPriority w:val="99"/>
    <w:qFormat/>
    <w:rsid w:val="00E93E64"/>
    <w:rPr>
      <w:b/>
      <w:color w:val="002D62" w:themeColor="accent1"/>
    </w:rPr>
  </w:style>
  <w:style w:type="character" w:customStyle="1" w:styleId="CitaoCarter">
    <w:name w:val="Citação Caráter"/>
    <w:aliases w:val="Heading 4 (Incyte) Caráter"/>
    <w:basedOn w:val="Tipodeletrapredefinidodopargrafo"/>
    <w:link w:val="Citao"/>
    <w:uiPriority w:val="99"/>
    <w:locked/>
    <w:rsid w:val="00E93E64"/>
    <w:rPr>
      <w:rFonts w:ascii="Tahoma" w:eastAsiaTheme="minorEastAsia" w:hAnsi="Tahoma" w:cs="Arial"/>
      <w:b/>
      <w:color w:val="002D62" w:themeColor="accent1"/>
      <w:sz w:val="24"/>
      <w:lang w:val="en-US"/>
    </w:rPr>
  </w:style>
  <w:style w:type="paragraph" w:styleId="CitaoIntensa">
    <w:name w:val="Intense Quote"/>
    <w:aliases w:val="del 1,Intense Quote1"/>
    <w:basedOn w:val="Normal"/>
    <w:next w:val="Normal"/>
    <w:link w:val="CitaoIntensaCarter"/>
    <w:uiPriority w:val="30"/>
    <w:rsid w:val="000054C4"/>
    <w:pPr>
      <w:pBdr>
        <w:top w:val="single" w:sz="8" w:space="10" w:color="456E7F" w:themeColor="accent2" w:themeShade="BF"/>
        <w:left w:val="single" w:sz="8" w:space="10" w:color="456E7F" w:themeColor="accent2" w:themeShade="BF"/>
        <w:bottom w:val="single" w:sz="8" w:space="10" w:color="456E7F" w:themeColor="accent2" w:themeShade="BF"/>
        <w:right w:val="single" w:sz="8" w:space="10" w:color="456E7F" w:themeColor="accent2" w:themeShade="BF"/>
      </w:pBdr>
      <w:shd w:val="clear" w:color="auto" w:fill="5F93A8" w:themeFill="accent2"/>
      <w:spacing w:before="140" w:after="140"/>
      <w:ind w:left="1440" w:right="1440"/>
    </w:pPr>
    <w:rPr>
      <w:b/>
      <w:i/>
      <w:color w:val="FFFFFF" w:themeColor="background1"/>
    </w:rPr>
  </w:style>
  <w:style w:type="character" w:customStyle="1" w:styleId="CitaoIntensaCarter">
    <w:name w:val="Citação Intensa Caráter"/>
    <w:aliases w:val="del 1 Caráter,Intense Quote1 Caráter"/>
    <w:basedOn w:val="Tipodeletrapredefinidodopargrafo"/>
    <w:link w:val="CitaoIntensa"/>
    <w:uiPriority w:val="30"/>
    <w:rsid w:val="000054C4"/>
    <w:rPr>
      <w:b/>
      <w:i/>
      <w:color w:val="FFFFFF" w:themeColor="background1"/>
      <w:shd w:val="clear" w:color="auto" w:fill="5F93A8" w:themeFill="accent2"/>
    </w:rPr>
  </w:style>
  <w:style w:type="character" w:customStyle="1" w:styleId="HTMLPreformattedChar1">
    <w:name w:val="HTML Preformatted Char1"/>
    <w:uiPriority w:val="99"/>
    <w:locked/>
    <w:rsid w:val="008631E7"/>
    <w:rPr>
      <w:rFonts w:cs="Times New Roman"/>
      <w:sz w:val="24"/>
      <w:szCs w:val="24"/>
      <w:lang w:val="en-CA" w:eastAsia="en-US" w:bidi="ar-SA"/>
    </w:rPr>
  </w:style>
  <w:style w:type="paragraph" w:customStyle="1" w:styleId="BodyText1">
    <w:name w:val="Body Text1"/>
    <w:basedOn w:val="Normal"/>
    <w:link w:val="bodytextChar"/>
    <w:uiPriority w:val="99"/>
    <w:rsid w:val="008631E7"/>
    <w:pPr>
      <w:spacing w:before="0" w:after="0" w:line="240" w:lineRule="exact"/>
    </w:pPr>
    <w:rPr>
      <w:rFonts w:eastAsia="Calibri"/>
      <w:color w:val="000000"/>
      <w:sz w:val="17"/>
      <w:szCs w:val="17"/>
    </w:rPr>
  </w:style>
  <w:style w:type="character" w:customStyle="1" w:styleId="bodytextChar">
    <w:name w:val="body text Char"/>
    <w:basedOn w:val="Tipodeletrapredefinidodopargrafo"/>
    <w:link w:val="BodyText1"/>
    <w:locked/>
    <w:rsid w:val="008631E7"/>
    <w:rPr>
      <w:rFonts w:ascii="Arial" w:hAnsi="Arial" w:cs="Times New Roman"/>
      <w:color w:val="000000"/>
      <w:sz w:val="17"/>
      <w:szCs w:val="17"/>
      <w:lang w:val="en-GB" w:eastAsia="en-GB" w:bidi="ar-SA"/>
    </w:rPr>
  </w:style>
  <w:style w:type="paragraph" w:customStyle="1" w:styleId="Bulletfirstline">
    <w:name w:val="Bullet first line"/>
    <w:basedOn w:val="Normal"/>
    <w:link w:val="BulletfirstlineCharChar"/>
    <w:uiPriority w:val="99"/>
    <w:rsid w:val="008631E7"/>
    <w:pPr>
      <w:tabs>
        <w:tab w:val="num" w:pos="216"/>
        <w:tab w:val="right" w:pos="6480"/>
      </w:tabs>
      <w:spacing w:after="0"/>
      <w:ind w:left="216" w:hanging="216"/>
    </w:pPr>
    <w:rPr>
      <w:rFonts w:eastAsia="Calibri"/>
    </w:rPr>
  </w:style>
  <w:style w:type="character" w:customStyle="1" w:styleId="BulletfirstlineCharChar">
    <w:name w:val="Bullet first line Char Char"/>
    <w:basedOn w:val="Tipodeletrapredefinidodopargrafo"/>
    <w:link w:val="Bulletfirstline"/>
    <w:uiPriority w:val="99"/>
    <w:locked/>
    <w:rsid w:val="008631E7"/>
    <w:rPr>
      <w:rFonts w:ascii="Garamond" w:hAnsi="Garamond"/>
      <w:sz w:val="21"/>
      <w:szCs w:val="21"/>
      <w:lang w:eastAsia="en-US"/>
    </w:rPr>
  </w:style>
  <w:style w:type="character" w:customStyle="1" w:styleId="CharChar1">
    <w:name w:val="Char Char1"/>
    <w:basedOn w:val="Tipodeletrapredefinidodopargrafo"/>
    <w:uiPriority w:val="99"/>
    <w:rsid w:val="00CD6A21"/>
    <w:rPr>
      <w:rFonts w:cs="Times New Roman"/>
      <w:sz w:val="24"/>
      <w:szCs w:val="24"/>
      <w:lang w:val="en-CA" w:eastAsia="en-US" w:bidi="ar-SA"/>
    </w:rPr>
  </w:style>
  <w:style w:type="paragraph" w:styleId="HTMLpr-formatado">
    <w:name w:val="HTML Preformatted"/>
    <w:basedOn w:val="Normal"/>
    <w:link w:val="HTMLpr-formatadoCarter"/>
    <w:uiPriority w:val="99"/>
    <w:rsid w:val="00CD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alibri" w:eastAsia="Calibri" w:hAnsi="Calibri"/>
      <w:lang w:val="en-CA"/>
    </w:rPr>
  </w:style>
  <w:style w:type="character" w:customStyle="1" w:styleId="HTMLpr-formatadoCarter">
    <w:name w:val="HTML pré-formatado Caráter"/>
    <w:basedOn w:val="Tipodeletrapredefinidodopargrafo"/>
    <w:link w:val="HTMLpr-formatado"/>
    <w:uiPriority w:val="99"/>
    <w:locked/>
    <w:rsid w:val="007A7305"/>
    <w:rPr>
      <w:rFonts w:ascii="Courier New" w:hAnsi="Courier New" w:cs="Courier New"/>
      <w:sz w:val="20"/>
      <w:szCs w:val="20"/>
      <w:lang w:val="en-GB" w:eastAsia="en-GB"/>
    </w:rPr>
  </w:style>
  <w:style w:type="paragraph" w:customStyle="1" w:styleId="Title2">
    <w:name w:val="Title2"/>
    <w:basedOn w:val="Normal"/>
    <w:uiPriority w:val="99"/>
    <w:rsid w:val="005A612B"/>
    <w:pPr>
      <w:spacing w:before="2160" w:line="520" w:lineRule="exact"/>
    </w:pPr>
    <w:rPr>
      <w:rFonts w:ascii="Verdana" w:eastAsia="Calibri" w:hAnsi="Verdana"/>
      <w:b/>
      <w:sz w:val="48"/>
      <w:lang w:bidi="he-IL"/>
    </w:rPr>
  </w:style>
  <w:style w:type="paragraph" w:customStyle="1" w:styleId="ProposalDate">
    <w:name w:val="Proposal Date"/>
    <w:basedOn w:val="Normal"/>
    <w:next w:val="Textodebalo"/>
    <w:uiPriority w:val="99"/>
    <w:rsid w:val="005A612B"/>
    <w:pPr>
      <w:spacing w:before="700" w:line="520" w:lineRule="exact"/>
    </w:pPr>
    <w:rPr>
      <w:rFonts w:ascii="Verdana" w:eastAsia="Calibri" w:hAnsi="Verdana"/>
      <w:b/>
      <w:sz w:val="32"/>
      <w:lang w:bidi="he-IL"/>
    </w:rPr>
  </w:style>
  <w:style w:type="paragraph" w:customStyle="1" w:styleId="Subtitle1">
    <w:name w:val="Subtitle1"/>
    <w:basedOn w:val="Title2"/>
    <w:uiPriority w:val="99"/>
    <w:rsid w:val="005A612B"/>
    <w:pPr>
      <w:spacing w:before="0" w:after="0"/>
    </w:pPr>
    <w:rPr>
      <w:rFonts w:ascii="Helvetica" w:hAnsi="Helvetica"/>
      <w:bCs/>
      <w:sz w:val="32"/>
      <w:szCs w:val="32"/>
    </w:rPr>
  </w:style>
  <w:style w:type="paragraph" w:styleId="Avanodecorpodetexto">
    <w:name w:val="Body Text Indent"/>
    <w:basedOn w:val="Normal"/>
    <w:link w:val="AvanodecorpodetextoCarter"/>
    <w:uiPriority w:val="99"/>
    <w:rsid w:val="005A612B"/>
    <w:pPr>
      <w:spacing w:before="160" w:after="0" w:line="260" w:lineRule="exact"/>
      <w:ind w:left="720" w:hanging="360"/>
    </w:pPr>
    <w:rPr>
      <w:rFonts w:ascii="Helvetica" w:eastAsia="Calibri" w:hAnsi="Helvetica"/>
    </w:rPr>
  </w:style>
  <w:style w:type="character" w:customStyle="1" w:styleId="AvanodecorpodetextoCarter">
    <w:name w:val="Avanço de corpo de texto Caráter"/>
    <w:basedOn w:val="Tipodeletrapredefinidodopargrafo"/>
    <w:link w:val="Avanodecorpodetexto"/>
    <w:uiPriority w:val="99"/>
    <w:locked/>
    <w:rsid w:val="007A7305"/>
    <w:rPr>
      <w:rFonts w:ascii="Arial" w:hAnsi="Arial" w:cs="Times New Roman"/>
      <w:sz w:val="24"/>
      <w:szCs w:val="24"/>
      <w:lang w:val="en-GB" w:eastAsia="en-GB"/>
    </w:rPr>
  </w:style>
  <w:style w:type="paragraph" w:styleId="Listanumerada">
    <w:name w:val="List Number"/>
    <w:basedOn w:val="Normal"/>
    <w:uiPriority w:val="99"/>
    <w:rsid w:val="005A612B"/>
    <w:pPr>
      <w:tabs>
        <w:tab w:val="num" w:pos="360"/>
      </w:tabs>
      <w:spacing w:before="0" w:after="0" w:line="260" w:lineRule="exact"/>
      <w:ind w:left="357" w:hanging="357"/>
    </w:pPr>
    <w:rPr>
      <w:rFonts w:ascii="Helvetica" w:eastAsia="Calibri" w:hAnsi="Helvetica"/>
    </w:rPr>
  </w:style>
  <w:style w:type="paragraph" w:customStyle="1" w:styleId="Offer-2ndlevelpoint">
    <w:name w:val="Offer - 2nd level point"/>
    <w:basedOn w:val="Corpodetexto"/>
    <w:uiPriority w:val="99"/>
    <w:rsid w:val="005A612B"/>
    <w:pPr>
      <w:spacing w:before="60" w:line="260" w:lineRule="exact"/>
      <w:ind w:left="720" w:hanging="720"/>
    </w:pPr>
    <w:rPr>
      <w:rFonts w:ascii="Helvetica" w:eastAsia="Calibri" w:hAnsi="Helvetica" w:cs="Helvetica"/>
    </w:rPr>
  </w:style>
  <w:style w:type="table" w:styleId="TabelacomGrelha">
    <w:name w:val="Table Grid"/>
    <w:basedOn w:val="Tabelanormal"/>
    <w:uiPriority w:val="59"/>
    <w:locked/>
    <w:rsid w:val="007F33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Cor3">
    <w:name w:val="Light List Accent 3"/>
    <w:basedOn w:val="Tabelanormal"/>
    <w:uiPriority w:val="99"/>
    <w:rsid w:val="004E5A46"/>
    <w:rPr>
      <w:rFonts w:eastAsia="Times New Roman"/>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aMdia2-Cor1">
    <w:name w:val="Medium List 2 Accent 1"/>
    <w:basedOn w:val="Tabelanormal"/>
    <w:uiPriority w:val="99"/>
    <w:rsid w:val="004E5A46"/>
    <w:rPr>
      <w:rFonts w:ascii="Cambria" w:eastAsia="Times New Roman"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aClara-Cor4">
    <w:name w:val="Light List Accent 4"/>
    <w:basedOn w:val="Tabelanormal"/>
    <w:uiPriority w:val="99"/>
    <w:rsid w:val="004E5A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Calendar4">
    <w:name w:val="Calendar 4"/>
    <w:uiPriority w:val="99"/>
    <w:rsid w:val="008D3299"/>
    <w:pPr>
      <w:snapToGrid w:val="0"/>
    </w:pPr>
    <w:rPr>
      <w:rFonts w:eastAsia="Times New Roman"/>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customStyle="1" w:styleId="Calendar1">
    <w:name w:val="Calendar 1"/>
    <w:uiPriority w:val="99"/>
    <w:rsid w:val="008D3299"/>
    <w:rPr>
      <w:rFonts w:eastAsia="Times New Roman"/>
      <w:lang w:val="en-US" w:eastAsia="en-US"/>
    </w:rPr>
    <w:tblPr>
      <w:tblStyleRowBandSize w:val="1"/>
      <w:tblStyleColBandSize w:val="1"/>
      <w:tblInd w:w="0" w:type="dxa"/>
      <w:tblCellMar>
        <w:top w:w="0" w:type="dxa"/>
        <w:left w:w="108" w:type="dxa"/>
        <w:bottom w:w="0" w:type="dxa"/>
        <w:right w:w="108" w:type="dxa"/>
      </w:tblCellMar>
    </w:tblPr>
  </w:style>
  <w:style w:type="table" w:customStyle="1" w:styleId="Calendar3">
    <w:name w:val="Calendar 3"/>
    <w:uiPriority w:val="99"/>
    <w:rsid w:val="008D3299"/>
    <w:pPr>
      <w:jc w:val="right"/>
    </w:pPr>
    <w:rPr>
      <w:rFonts w:ascii="Cambria" w:eastAsia="Times New Roman" w:hAnsi="Cambria"/>
      <w:color w:val="7F7F7F"/>
      <w:lang w:val="en-US" w:eastAsia="en-US"/>
    </w:rPr>
    <w:tblPr>
      <w:tblInd w:w="0" w:type="dxa"/>
      <w:tblCellMar>
        <w:top w:w="0" w:type="dxa"/>
        <w:left w:w="108" w:type="dxa"/>
        <w:bottom w:w="0" w:type="dxa"/>
        <w:right w:w="108" w:type="dxa"/>
      </w:tblCellMar>
    </w:tblPr>
  </w:style>
  <w:style w:type="table" w:customStyle="1" w:styleId="Calendar2">
    <w:name w:val="Calendar 2"/>
    <w:uiPriority w:val="99"/>
    <w:rsid w:val="008D3299"/>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character" w:customStyle="1" w:styleId="apple-converted-space">
    <w:name w:val="apple-converted-space"/>
    <w:basedOn w:val="Tipodeletrapredefinidodopargrafo"/>
    <w:rsid w:val="00831276"/>
    <w:rPr>
      <w:rFonts w:cs="Times New Roman"/>
    </w:rPr>
  </w:style>
  <w:style w:type="paragraph" w:styleId="NormalWeb">
    <w:name w:val="Normal (Web)"/>
    <w:basedOn w:val="Normal"/>
    <w:rsid w:val="00831276"/>
    <w:pPr>
      <w:spacing w:before="100" w:beforeAutospacing="1" w:after="100" w:afterAutospacing="1"/>
    </w:pPr>
    <w:rPr>
      <w:rFonts w:ascii="Times New Roman" w:hAnsi="Times New Roman"/>
    </w:rPr>
  </w:style>
  <w:style w:type="paragraph" w:styleId="Assuntodecomentrio">
    <w:name w:val="annotation subject"/>
    <w:basedOn w:val="Textodecomentrio"/>
    <w:next w:val="Textodecomentrio"/>
    <w:link w:val="AssuntodecomentrioCarter"/>
    <w:uiPriority w:val="99"/>
    <w:rsid w:val="004322FD"/>
    <w:pPr>
      <w:spacing w:line="288" w:lineRule="auto"/>
    </w:pPr>
    <w:rPr>
      <w:b/>
      <w:bCs/>
    </w:rPr>
  </w:style>
  <w:style w:type="character" w:customStyle="1" w:styleId="AssuntodecomentrioCarter">
    <w:name w:val="Assunto de comentário Caráter"/>
    <w:basedOn w:val="TextodecomentrioCarter"/>
    <w:link w:val="Assuntodecomentrio"/>
    <w:uiPriority w:val="99"/>
    <w:locked/>
    <w:rsid w:val="004322FD"/>
    <w:rPr>
      <w:rFonts w:ascii="Arial" w:hAnsi="Arial" w:cs="Times New Roman"/>
      <w:b/>
      <w:bCs/>
      <w:sz w:val="20"/>
      <w:szCs w:val="20"/>
      <w:lang w:val="en-GB" w:eastAsia="en-GB"/>
    </w:rPr>
  </w:style>
  <w:style w:type="paragraph" w:customStyle="1" w:styleId="CharChar3CharCharCharChar2">
    <w:name w:val="Char Char3 Char Char Char Char2"/>
    <w:basedOn w:val="Normal"/>
    <w:uiPriority w:val="99"/>
    <w:rsid w:val="00E45D9C"/>
    <w:pPr>
      <w:spacing w:before="60" w:after="160" w:line="240" w:lineRule="exact"/>
    </w:pPr>
    <w:rPr>
      <w:rFonts w:ascii="Verdana" w:hAnsi="Verdana" w:cs="Verdana"/>
      <w:color w:val="000000"/>
    </w:rPr>
  </w:style>
  <w:style w:type="paragraph" w:customStyle="1" w:styleId="CoverPageAddress">
    <w:name w:val="Cover Page Address"/>
    <w:basedOn w:val="Normal"/>
    <w:rsid w:val="004E562B"/>
    <w:pPr>
      <w:tabs>
        <w:tab w:val="center" w:pos="4153"/>
        <w:tab w:val="right" w:pos="8306"/>
      </w:tabs>
      <w:spacing w:before="160" w:after="0" w:line="260" w:lineRule="exact"/>
      <w:jc w:val="center"/>
    </w:pPr>
    <w:rPr>
      <w:rFonts w:ascii="Verdana" w:hAnsi="Verdana"/>
      <w:sz w:val="16"/>
    </w:rPr>
  </w:style>
  <w:style w:type="character" w:customStyle="1" w:styleId="CoverPageAddressChar">
    <w:name w:val="Cover Page Address Char"/>
    <w:basedOn w:val="Tipodeletrapredefinidodopargrafo"/>
    <w:rsid w:val="00085F28"/>
    <w:rPr>
      <w:rFonts w:ascii="Verdana" w:hAnsi="Verdana"/>
      <w:noProof w:val="0"/>
      <w:sz w:val="16"/>
      <w:lang w:val="en-GB" w:eastAsia="en-GB" w:bidi="ar-SA"/>
    </w:rPr>
  </w:style>
  <w:style w:type="paragraph" w:customStyle="1" w:styleId="IncyteBullets">
    <w:name w:val="Incyte Bullets"/>
    <w:basedOn w:val="PargrafodaLista"/>
    <w:link w:val="IncyteBulletsChar"/>
    <w:qFormat/>
    <w:rsid w:val="00592B19"/>
    <w:pPr>
      <w:numPr>
        <w:numId w:val="8"/>
      </w:numPr>
      <w:spacing w:before="0" w:after="0"/>
      <w:ind w:left="426"/>
    </w:pPr>
    <w:rPr>
      <w:lang w:val="en-GB" w:eastAsia="en-GB"/>
    </w:rPr>
  </w:style>
  <w:style w:type="character" w:customStyle="1" w:styleId="IncyteBulletsChar">
    <w:name w:val="Incyte Bullets Char"/>
    <w:basedOn w:val="BulletList1Char"/>
    <w:link w:val="IncyteBullets"/>
    <w:rsid w:val="00592B19"/>
    <w:rPr>
      <w:rFonts w:ascii="Tahoma" w:eastAsiaTheme="minorEastAsia" w:hAnsi="Tahoma" w:cs="Arial"/>
      <w:sz w:val="22"/>
      <w:szCs w:val="22"/>
      <w:lang w:val="en-GB" w:eastAsia="en-GB" w:bidi="ar-SA"/>
    </w:rPr>
  </w:style>
  <w:style w:type="character" w:styleId="RefernciaIntensa">
    <w:name w:val="Intense Reference"/>
    <w:aliases w:val="del 2,Intense Reference1"/>
    <w:uiPriority w:val="32"/>
    <w:rsid w:val="000054C4"/>
    <w:rPr>
      <w:b/>
      <w:bCs/>
      <w:smallCaps/>
      <w:spacing w:val="5"/>
      <w:sz w:val="22"/>
      <w:szCs w:val="22"/>
      <w:u w:val="single"/>
    </w:rPr>
  </w:style>
  <w:style w:type="character" w:styleId="RefernciaDiscreta">
    <w:name w:val="Subtle Reference"/>
    <w:aliases w:val="Header 1,Subtle Reference1"/>
    <w:uiPriority w:val="31"/>
    <w:qFormat/>
    <w:rsid w:val="000054C4"/>
    <w:rPr>
      <w:b/>
    </w:rPr>
  </w:style>
  <w:style w:type="character" w:styleId="Forte">
    <w:name w:val="Strong"/>
    <w:aliases w:val="Header 2"/>
    <w:uiPriority w:val="22"/>
    <w:qFormat/>
    <w:locked/>
    <w:rsid w:val="000054C4"/>
    <w:rPr>
      <w:b/>
      <w:color w:val="5F93A8" w:themeColor="accent2"/>
    </w:rPr>
  </w:style>
  <w:style w:type="paragraph" w:styleId="ndicedeilustraes">
    <w:name w:val="table of figures"/>
    <w:basedOn w:val="Normal"/>
    <w:next w:val="Normal"/>
    <w:uiPriority w:val="99"/>
    <w:unhideWhenUsed/>
    <w:locked/>
    <w:rsid w:val="00AE4605"/>
    <w:pPr>
      <w:spacing w:before="0" w:after="0"/>
      <w:ind w:left="400" w:hanging="400"/>
    </w:pPr>
    <w:rPr>
      <w:rFonts w:ascii="Calibri" w:hAnsi="Calibri"/>
      <w:smallCaps/>
    </w:rPr>
  </w:style>
  <w:style w:type="paragraph" w:customStyle="1" w:styleId="paragraph">
    <w:name w:val="paragraph"/>
    <w:basedOn w:val="Corpodetexto"/>
    <w:uiPriority w:val="99"/>
    <w:rsid w:val="00F94A61"/>
    <w:pPr>
      <w:spacing w:before="160" w:after="0" w:line="260" w:lineRule="exact"/>
    </w:pPr>
    <w:rPr>
      <w:rFonts w:ascii="Helvetica" w:hAnsi="Helvetica" w:cs="Helvetica"/>
    </w:rPr>
  </w:style>
  <w:style w:type="character" w:styleId="Hiperligaovisitada">
    <w:name w:val="FollowedHyperlink"/>
    <w:basedOn w:val="Tipodeletrapredefinidodopargrafo"/>
    <w:uiPriority w:val="99"/>
    <w:locked/>
    <w:rsid w:val="00F94A61"/>
    <w:rPr>
      <w:rFonts w:cs="Times New Roman"/>
      <w:color w:val="800080"/>
      <w:u w:val="single"/>
    </w:rPr>
  </w:style>
  <w:style w:type="paragraph" w:customStyle="1" w:styleId="BulletList2">
    <w:name w:val="Bullet List 2"/>
    <w:basedOn w:val="BulletList1"/>
    <w:uiPriority w:val="99"/>
    <w:rsid w:val="00F94A61"/>
    <w:pPr>
      <w:tabs>
        <w:tab w:val="clear" w:pos="0"/>
        <w:tab w:val="num" w:pos="800"/>
      </w:tabs>
      <w:ind w:left="800" w:hanging="400"/>
    </w:pPr>
    <w:rPr>
      <w:rFonts w:cs="Arial"/>
      <w:szCs w:val="20"/>
    </w:rPr>
  </w:style>
  <w:style w:type="paragraph" w:customStyle="1" w:styleId="Base">
    <w:name w:val="Base"/>
    <w:basedOn w:val="Normal"/>
    <w:uiPriority w:val="99"/>
    <w:rsid w:val="00F94A61"/>
    <w:pPr>
      <w:spacing w:before="0" w:after="0" w:line="287" w:lineRule="auto"/>
    </w:pPr>
  </w:style>
  <w:style w:type="paragraph" w:customStyle="1" w:styleId="BulletList3">
    <w:name w:val="Bullet List 3"/>
    <w:basedOn w:val="BulletList2"/>
    <w:uiPriority w:val="99"/>
    <w:rsid w:val="00F94A61"/>
    <w:pPr>
      <w:tabs>
        <w:tab w:val="clear" w:pos="800"/>
        <w:tab w:val="num" w:pos="1200"/>
      </w:tabs>
      <w:ind w:left="1200"/>
    </w:pPr>
  </w:style>
  <w:style w:type="paragraph" w:customStyle="1" w:styleId="BulletList4">
    <w:name w:val="Bullet List 4"/>
    <w:basedOn w:val="BulletList3"/>
    <w:uiPriority w:val="99"/>
    <w:rsid w:val="00F94A61"/>
    <w:pPr>
      <w:tabs>
        <w:tab w:val="clear" w:pos="1200"/>
        <w:tab w:val="num" w:pos="1360"/>
      </w:tabs>
      <w:ind w:left="1360" w:hanging="340"/>
    </w:pPr>
  </w:style>
  <w:style w:type="paragraph" w:customStyle="1" w:styleId="BulletList5">
    <w:name w:val="Bullet List 5"/>
    <w:basedOn w:val="BulletList4"/>
    <w:uiPriority w:val="99"/>
    <w:rsid w:val="00F94A61"/>
    <w:pPr>
      <w:tabs>
        <w:tab w:val="clear" w:pos="1360"/>
        <w:tab w:val="num" w:pos="1700"/>
      </w:tabs>
      <w:ind w:left="1700"/>
    </w:pPr>
  </w:style>
  <w:style w:type="paragraph" w:customStyle="1" w:styleId="BulletList6">
    <w:name w:val="Bullet List 6"/>
    <w:basedOn w:val="BulletList5"/>
    <w:uiPriority w:val="99"/>
    <w:rsid w:val="00F94A61"/>
    <w:pPr>
      <w:tabs>
        <w:tab w:val="clear" w:pos="1700"/>
        <w:tab w:val="num" w:pos="2040"/>
      </w:tabs>
      <w:ind w:left="2040"/>
    </w:pPr>
  </w:style>
  <w:style w:type="paragraph" w:customStyle="1" w:styleId="BulletList7">
    <w:name w:val="Bullet List 7"/>
    <w:basedOn w:val="BulletList6"/>
    <w:uiPriority w:val="99"/>
    <w:rsid w:val="00F94A61"/>
    <w:pPr>
      <w:tabs>
        <w:tab w:val="clear" w:pos="2040"/>
        <w:tab w:val="num" w:pos="2380"/>
      </w:tabs>
      <w:ind w:left="2380"/>
    </w:pPr>
  </w:style>
  <w:style w:type="paragraph" w:customStyle="1" w:styleId="BulletList8">
    <w:name w:val="Bullet List 8"/>
    <w:basedOn w:val="BulletList7"/>
    <w:uiPriority w:val="99"/>
    <w:rsid w:val="00F94A61"/>
    <w:pPr>
      <w:tabs>
        <w:tab w:val="clear" w:pos="2380"/>
        <w:tab w:val="num" w:pos="2720"/>
      </w:tabs>
      <w:ind w:left="2720"/>
    </w:pPr>
  </w:style>
  <w:style w:type="paragraph" w:customStyle="1" w:styleId="BulletList9">
    <w:name w:val="Bullet List 9"/>
    <w:basedOn w:val="BulletList8"/>
    <w:uiPriority w:val="99"/>
    <w:rsid w:val="00F94A61"/>
    <w:pPr>
      <w:tabs>
        <w:tab w:val="clear" w:pos="2720"/>
        <w:tab w:val="num" w:pos="3060"/>
      </w:tabs>
      <w:ind w:left="3060"/>
    </w:pPr>
  </w:style>
  <w:style w:type="paragraph" w:customStyle="1" w:styleId="NumberedList1">
    <w:name w:val="Numbered List 1"/>
    <w:basedOn w:val="Base"/>
    <w:uiPriority w:val="99"/>
    <w:rsid w:val="00F94A61"/>
    <w:pPr>
      <w:tabs>
        <w:tab w:val="num" w:pos="397"/>
      </w:tabs>
      <w:ind w:left="397" w:hanging="397"/>
    </w:pPr>
  </w:style>
  <w:style w:type="paragraph" w:customStyle="1" w:styleId="NumberedList2">
    <w:name w:val="Numbered List 2"/>
    <w:basedOn w:val="NumberedList1"/>
    <w:uiPriority w:val="99"/>
    <w:rsid w:val="00F94A61"/>
    <w:pPr>
      <w:numPr>
        <w:ilvl w:val="2"/>
      </w:numPr>
      <w:tabs>
        <w:tab w:val="num" w:pos="216"/>
        <w:tab w:val="num" w:pos="397"/>
      </w:tabs>
      <w:ind w:left="397" w:hanging="397"/>
    </w:pPr>
  </w:style>
  <w:style w:type="paragraph" w:customStyle="1" w:styleId="NumberedList3">
    <w:name w:val="Numbered List 3"/>
    <w:basedOn w:val="NumberedList2"/>
    <w:uiPriority w:val="99"/>
    <w:rsid w:val="00F94A61"/>
    <w:pPr>
      <w:numPr>
        <w:ilvl w:val="3"/>
      </w:numPr>
      <w:tabs>
        <w:tab w:val="num" w:pos="216"/>
        <w:tab w:val="num" w:pos="680"/>
      </w:tabs>
      <w:ind w:left="397" w:hanging="360"/>
    </w:pPr>
  </w:style>
  <w:style w:type="paragraph" w:customStyle="1" w:styleId="NumberedList4">
    <w:name w:val="Numbered List 4"/>
    <w:basedOn w:val="NumberedList3"/>
    <w:uiPriority w:val="99"/>
    <w:rsid w:val="00F94A61"/>
    <w:pPr>
      <w:numPr>
        <w:ilvl w:val="4"/>
      </w:numPr>
      <w:tabs>
        <w:tab w:val="num" w:pos="216"/>
      </w:tabs>
      <w:ind w:left="397" w:hanging="360"/>
    </w:pPr>
  </w:style>
  <w:style w:type="paragraph" w:customStyle="1" w:styleId="NumberedList5">
    <w:name w:val="Numbered List 5"/>
    <w:basedOn w:val="NumberedList4"/>
    <w:uiPriority w:val="99"/>
    <w:rsid w:val="00F94A61"/>
    <w:pPr>
      <w:numPr>
        <w:ilvl w:val="5"/>
      </w:numPr>
      <w:tabs>
        <w:tab w:val="num" w:pos="216"/>
      </w:tabs>
      <w:ind w:left="397" w:hanging="360"/>
    </w:pPr>
  </w:style>
  <w:style w:type="paragraph" w:customStyle="1" w:styleId="NumberedList6">
    <w:name w:val="Numbered List 6"/>
    <w:basedOn w:val="NumberedList5"/>
    <w:uiPriority w:val="99"/>
    <w:rsid w:val="00F94A61"/>
    <w:pPr>
      <w:numPr>
        <w:ilvl w:val="6"/>
      </w:numPr>
      <w:tabs>
        <w:tab w:val="num" w:pos="216"/>
      </w:tabs>
      <w:ind w:left="397" w:hanging="360"/>
    </w:pPr>
  </w:style>
  <w:style w:type="paragraph" w:customStyle="1" w:styleId="NumberedList7">
    <w:name w:val="Numbered List 7"/>
    <w:basedOn w:val="NumberedList6"/>
    <w:uiPriority w:val="99"/>
    <w:rsid w:val="00F94A61"/>
    <w:pPr>
      <w:numPr>
        <w:ilvl w:val="7"/>
      </w:numPr>
      <w:tabs>
        <w:tab w:val="num" w:pos="216"/>
      </w:tabs>
      <w:ind w:left="397" w:hanging="216"/>
    </w:pPr>
  </w:style>
  <w:style w:type="paragraph" w:customStyle="1" w:styleId="NumberedList8">
    <w:name w:val="Numbered List 8"/>
    <w:basedOn w:val="NumberedList7"/>
    <w:uiPriority w:val="99"/>
    <w:rsid w:val="00F94A61"/>
    <w:pPr>
      <w:numPr>
        <w:ilvl w:val="8"/>
      </w:numPr>
      <w:tabs>
        <w:tab w:val="num" w:pos="216"/>
      </w:tabs>
      <w:ind w:left="397" w:hanging="216"/>
    </w:pPr>
  </w:style>
  <w:style w:type="table" w:customStyle="1" w:styleId="SpecialTable">
    <w:name w:val="Special Table"/>
    <w:uiPriority w:val="99"/>
    <w:rsid w:val="00F94A61"/>
    <w:pPr>
      <w:ind w:left="113" w:right="113"/>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Nmerodepgina">
    <w:name w:val="page number"/>
    <w:basedOn w:val="Tipodeletrapredefinidodopargrafo"/>
    <w:locked/>
    <w:rsid w:val="00F94A61"/>
    <w:rPr>
      <w:rFonts w:cs="Times New Roman"/>
    </w:rPr>
  </w:style>
  <w:style w:type="table" w:customStyle="1" w:styleId="PlumTable">
    <w:name w:val="Plum Table"/>
    <w:uiPriority w:val="99"/>
    <w:rsid w:val="00F94A61"/>
    <w:pPr>
      <w:spacing w:after="60"/>
      <w:ind w:left="170" w:right="170"/>
    </w:pPr>
    <w:rPr>
      <w:rFonts w:ascii="Arial" w:eastAsia="Times New Roman" w:hAnsi="Arial" w:cs="Arial"/>
      <w:sz w:val="18"/>
      <w:szCs w:val="18"/>
      <w:lang w:val="en-US" w:eastAsia="en-US"/>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0" w:type="dxa"/>
        <w:bottom w:w="57" w:type="dxa"/>
        <w:right w:w="0" w:type="dxa"/>
      </w:tblCellMar>
    </w:tblPr>
    <w:tcPr>
      <w:shd w:val="clear" w:color="auto" w:fill="DCDDDE"/>
    </w:tcPr>
  </w:style>
  <w:style w:type="paragraph" w:customStyle="1" w:styleId="TableCaption">
    <w:name w:val="Table Caption"/>
    <w:basedOn w:val="Corpodetexto"/>
    <w:next w:val="Corpodetexto"/>
    <w:uiPriority w:val="99"/>
    <w:rsid w:val="00F94A61"/>
    <w:pPr>
      <w:keepNext/>
      <w:keepLines/>
      <w:spacing w:before="360"/>
    </w:pPr>
    <w:rPr>
      <w:b/>
      <w:bCs/>
      <w:color w:val="939598"/>
    </w:rPr>
  </w:style>
  <w:style w:type="paragraph" w:customStyle="1" w:styleId="FooterA4Portrait">
    <w:name w:val="Footer A4 Portrait"/>
    <w:basedOn w:val="Rodap"/>
    <w:uiPriority w:val="99"/>
    <w:rsid w:val="00F94A61"/>
    <w:pPr>
      <w:tabs>
        <w:tab w:val="clear" w:pos="4513"/>
        <w:tab w:val="clear" w:pos="9026"/>
        <w:tab w:val="center" w:pos="4536"/>
        <w:tab w:val="right" w:pos="9072"/>
      </w:tabs>
      <w:spacing w:before="0" w:after="0" w:line="287" w:lineRule="auto"/>
    </w:pPr>
    <w:rPr>
      <w:color w:val="4F2683"/>
      <w:sz w:val="16"/>
      <w:szCs w:val="16"/>
    </w:rPr>
  </w:style>
  <w:style w:type="paragraph" w:customStyle="1" w:styleId="FooterA4Landscape">
    <w:name w:val="Footer A4 Landscape"/>
    <w:basedOn w:val="FooterA4Portrait"/>
    <w:uiPriority w:val="99"/>
    <w:rsid w:val="00F94A61"/>
    <w:pPr>
      <w:tabs>
        <w:tab w:val="clear" w:pos="4536"/>
        <w:tab w:val="clear" w:pos="9072"/>
        <w:tab w:val="center" w:pos="7002"/>
        <w:tab w:val="right" w:pos="13608"/>
      </w:tabs>
    </w:pPr>
  </w:style>
  <w:style w:type="paragraph" w:customStyle="1" w:styleId="Heading1unnumbered">
    <w:name w:val="Heading 1 unnumbered"/>
    <w:basedOn w:val="Ttulo1"/>
    <w:next w:val="Corpodetexto"/>
    <w:uiPriority w:val="99"/>
    <w:rsid w:val="00F94A61"/>
    <w:rPr>
      <w:color w:val="4F2683"/>
      <w:szCs w:val="32"/>
    </w:rPr>
  </w:style>
  <w:style w:type="paragraph" w:customStyle="1" w:styleId="FigureCaption">
    <w:name w:val="Figure Caption"/>
    <w:basedOn w:val="TableCaption"/>
    <w:next w:val="Corpodetexto"/>
    <w:uiPriority w:val="99"/>
    <w:rsid w:val="00F94A61"/>
  </w:style>
  <w:style w:type="paragraph" w:customStyle="1" w:styleId="AfterTable">
    <w:name w:val="After Table"/>
    <w:basedOn w:val="Corpodetexto"/>
    <w:next w:val="Corpodetexto"/>
    <w:uiPriority w:val="99"/>
    <w:rsid w:val="00F94A61"/>
    <w:pPr>
      <w:spacing w:before="360"/>
    </w:pPr>
  </w:style>
  <w:style w:type="paragraph" w:customStyle="1" w:styleId="Subheading">
    <w:name w:val="Subheading"/>
    <w:basedOn w:val="Corpodetexto"/>
    <w:next w:val="Corpodetexto"/>
    <w:uiPriority w:val="99"/>
    <w:rsid w:val="00F94A61"/>
    <w:pPr>
      <w:keepLines/>
    </w:pPr>
    <w:rPr>
      <w:b/>
      <w:bCs/>
      <w:color w:val="4F2683"/>
    </w:rPr>
  </w:style>
  <w:style w:type="paragraph" w:customStyle="1" w:styleId="TableBullet">
    <w:name w:val="Table Bullet"/>
    <w:basedOn w:val="BulletList1"/>
    <w:uiPriority w:val="99"/>
    <w:rsid w:val="00F94A61"/>
    <w:pPr>
      <w:tabs>
        <w:tab w:val="clear" w:pos="0"/>
        <w:tab w:val="num" w:pos="400"/>
        <w:tab w:val="left" w:pos="454"/>
      </w:tabs>
      <w:spacing w:before="0" w:after="60" w:line="240" w:lineRule="auto"/>
      <w:ind w:left="448" w:right="170" w:hanging="278"/>
    </w:pPr>
    <w:rPr>
      <w:rFonts w:cs="Arial"/>
      <w:sz w:val="18"/>
      <w:szCs w:val="18"/>
    </w:rPr>
  </w:style>
  <w:style w:type="paragraph" w:customStyle="1" w:styleId="TableNote">
    <w:name w:val="Table Note"/>
    <w:basedOn w:val="Corpodetexto"/>
    <w:next w:val="Corpodetexto"/>
    <w:uiPriority w:val="99"/>
    <w:rsid w:val="00F94A61"/>
    <w:pPr>
      <w:spacing w:before="0"/>
    </w:pPr>
  </w:style>
  <w:style w:type="paragraph" w:customStyle="1" w:styleId="newslisttitle1">
    <w:name w:val="newslisttitle1"/>
    <w:basedOn w:val="Normal"/>
    <w:uiPriority w:val="99"/>
    <w:rsid w:val="00F94A61"/>
    <w:pPr>
      <w:spacing w:before="0" w:after="0" w:line="336" w:lineRule="atLeast"/>
    </w:pPr>
    <w:rPr>
      <w:rFonts w:ascii="Times New Roman" w:hAnsi="Times New Roman"/>
      <w:color w:val="4E2683"/>
      <w:sz w:val="26"/>
      <w:szCs w:val="26"/>
    </w:rPr>
  </w:style>
  <w:style w:type="paragraph" w:customStyle="1" w:styleId="Default">
    <w:name w:val="Default"/>
    <w:rsid w:val="00F94A61"/>
    <w:pPr>
      <w:autoSpaceDE w:val="0"/>
      <w:autoSpaceDN w:val="0"/>
      <w:adjustRightInd w:val="0"/>
    </w:pPr>
    <w:rPr>
      <w:rFonts w:ascii="Arial" w:eastAsia="Times New Roman" w:hAnsi="Arial" w:cs="Arial"/>
      <w:color w:val="000000"/>
      <w:sz w:val="24"/>
      <w:szCs w:val="24"/>
      <w:lang w:val="en-GB" w:eastAsia="en-GB"/>
    </w:rPr>
  </w:style>
  <w:style w:type="paragraph" w:customStyle="1" w:styleId="CharChar1CharCharChar">
    <w:name w:val="Char Char1 Char Char Char"/>
    <w:basedOn w:val="Normal"/>
    <w:link w:val="CharChar1CharCharCharChar"/>
    <w:uiPriority w:val="99"/>
    <w:rsid w:val="00F94A61"/>
    <w:pPr>
      <w:spacing w:before="0" w:after="160" w:line="240" w:lineRule="exact"/>
    </w:pPr>
    <w:rPr>
      <w:rFonts w:ascii="Verdana" w:hAnsi="Verdana" w:cs="Verdana"/>
    </w:rPr>
  </w:style>
  <w:style w:type="character" w:customStyle="1" w:styleId="CharChar1CharCharCharChar">
    <w:name w:val="Char Char1 Char Char Char Char"/>
    <w:basedOn w:val="Tipodeletrapredefinidodopargrafo"/>
    <w:link w:val="CharChar1CharCharChar"/>
    <w:uiPriority w:val="99"/>
    <w:locked/>
    <w:rsid w:val="00F94A61"/>
    <w:rPr>
      <w:rFonts w:ascii="Verdana" w:eastAsia="Times New Roman" w:hAnsi="Verdana" w:cs="Verdana"/>
      <w:lang w:val="en-US" w:eastAsia="en-US"/>
    </w:rPr>
  </w:style>
  <w:style w:type="character" w:customStyle="1" w:styleId="CharChar5">
    <w:name w:val="Char Char5"/>
    <w:basedOn w:val="Tipodeletrapredefinidodopargrafo"/>
    <w:uiPriority w:val="99"/>
    <w:rsid w:val="00F94A61"/>
    <w:rPr>
      <w:rFonts w:cs="Times New Roman"/>
      <w:sz w:val="24"/>
      <w:szCs w:val="24"/>
      <w:lang w:val="en-CA" w:eastAsia="en-US"/>
    </w:rPr>
  </w:style>
  <w:style w:type="paragraph" w:styleId="Reviso">
    <w:name w:val="Revision"/>
    <w:hidden/>
    <w:uiPriority w:val="99"/>
    <w:semiHidden/>
    <w:rsid w:val="00F94A61"/>
    <w:rPr>
      <w:rFonts w:ascii="Times New Roman" w:eastAsia="Times New Roman" w:hAnsi="Times New Roman"/>
      <w:sz w:val="24"/>
      <w:szCs w:val="24"/>
      <w:lang w:val="en-GB" w:eastAsia="en-GB"/>
    </w:rPr>
  </w:style>
  <w:style w:type="paragraph" w:customStyle="1" w:styleId="bulletlist10">
    <w:name w:val="bulletlist1"/>
    <w:basedOn w:val="Normal"/>
    <w:uiPriority w:val="99"/>
    <w:rsid w:val="00F94A61"/>
    <w:pPr>
      <w:tabs>
        <w:tab w:val="num" w:pos="0"/>
      </w:tabs>
      <w:spacing w:line="280" w:lineRule="auto"/>
    </w:pPr>
    <w:rPr>
      <w:rFonts w:eastAsia="MS Mincho"/>
      <w:lang w:eastAsia="ja-JP"/>
    </w:rPr>
  </w:style>
  <w:style w:type="paragraph" w:styleId="Listacommarcas">
    <w:name w:val="List Bullet"/>
    <w:basedOn w:val="Normal"/>
    <w:uiPriority w:val="99"/>
    <w:locked/>
    <w:rsid w:val="00F94A61"/>
    <w:pPr>
      <w:tabs>
        <w:tab w:val="num" w:pos="360"/>
      </w:tabs>
      <w:spacing w:before="0" w:after="0"/>
      <w:ind w:left="360" w:hanging="360"/>
    </w:pPr>
    <w:rPr>
      <w:rFonts w:ascii="Times New Roman" w:hAnsi="Times New Roman"/>
    </w:rPr>
  </w:style>
  <w:style w:type="paragraph" w:customStyle="1" w:styleId="Char">
    <w:name w:val="Char"/>
    <w:basedOn w:val="Normal"/>
    <w:rsid w:val="00F94A61"/>
    <w:pPr>
      <w:spacing w:before="0" w:after="160" w:line="240" w:lineRule="exact"/>
    </w:pPr>
    <w:rPr>
      <w:rFonts w:ascii="Verdana" w:hAnsi="Verdana" w:cs="Verdana"/>
    </w:rPr>
  </w:style>
  <w:style w:type="paragraph" w:customStyle="1" w:styleId="tableleft">
    <w:name w:val="table left"/>
    <w:basedOn w:val="FigureFooter"/>
    <w:uiPriority w:val="99"/>
    <w:rsid w:val="00F94A61"/>
    <w:pPr>
      <w:pBdr>
        <w:bottom w:val="none" w:sz="0" w:space="0" w:color="auto"/>
      </w:pBdr>
      <w:ind w:left="0" w:firstLine="0"/>
    </w:pPr>
  </w:style>
  <w:style w:type="paragraph" w:customStyle="1" w:styleId="FigureFooter">
    <w:name w:val="Figure Footer"/>
    <w:basedOn w:val="FigureTitle"/>
    <w:next w:val="Corpodetexto"/>
    <w:uiPriority w:val="99"/>
    <w:rsid w:val="00F94A61"/>
    <w:pPr>
      <w:pBdr>
        <w:top w:val="none" w:sz="0" w:space="0" w:color="auto"/>
        <w:bottom w:val="single" w:sz="4" w:space="1" w:color="auto"/>
      </w:pBdr>
      <w:spacing w:after="120"/>
    </w:pPr>
    <w:rPr>
      <w:b/>
      <w:bCs/>
      <w:caps/>
    </w:rPr>
  </w:style>
  <w:style w:type="paragraph" w:customStyle="1" w:styleId="FigureTitle">
    <w:name w:val="Figure Title"/>
    <w:basedOn w:val="Corpodetexto"/>
    <w:next w:val="Figure"/>
    <w:uiPriority w:val="99"/>
    <w:rsid w:val="00F94A61"/>
    <w:pPr>
      <w:keepNext/>
      <w:pBdr>
        <w:top w:val="single" w:sz="4" w:space="1" w:color="auto"/>
      </w:pBdr>
      <w:spacing w:after="60" w:line="240" w:lineRule="exact"/>
      <w:ind w:left="284" w:hanging="284"/>
    </w:pPr>
    <w:rPr>
      <w:rFonts w:ascii="Helvetica" w:hAnsi="Helvetica" w:cs="Helvetica"/>
    </w:rPr>
  </w:style>
  <w:style w:type="paragraph" w:customStyle="1" w:styleId="Figure">
    <w:name w:val="Figure"/>
    <w:basedOn w:val="Corpodetexto"/>
    <w:next w:val="Source"/>
    <w:uiPriority w:val="99"/>
    <w:rsid w:val="00F94A61"/>
    <w:pPr>
      <w:keepNext/>
      <w:spacing w:before="160" w:after="0"/>
    </w:pPr>
    <w:rPr>
      <w:rFonts w:ascii="Helvetica" w:hAnsi="Helvetica" w:cs="Helvetica"/>
      <w:b/>
      <w:bCs/>
      <w:i/>
      <w:iCs/>
    </w:rPr>
  </w:style>
  <w:style w:type="paragraph" w:customStyle="1" w:styleId="Source">
    <w:name w:val="Source"/>
    <w:basedOn w:val="Corpodetexto"/>
    <w:next w:val="FigureFooter"/>
    <w:autoRedefine/>
    <w:uiPriority w:val="99"/>
    <w:rsid w:val="00F94A61"/>
    <w:pPr>
      <w:keepNext/>
      <w:spacing w:before="160" w:after="0" w:line="220" w:lineRule="exact"/>
    </w:pPr>
    <w:rPr>
      <w:rFonts w:ascii="Helvetica" w:hAnsi="Helvetica" w:cs="Helvetica"/>
      <w:i/>
      <w:iCs/>
    </w:rPr>
  </w:style>
  <w:style w:type="paragraph" w:customStyle="1" w:styleId="Style1">
    <w:name w:val="Style1"/>
    <w:basedOn w:val="Normal"/>
    <w:uiPriority w:val="99"/>
    <w:rsid w:val="00F94A61"/>
    <w:pPr>
      <w:numPr>
        <w:numId w:val="1"/>
      </w:numPr>
      <w:spacing w:before="0"/>
    </w:pPr>
    <w:rPr>
      <w:rFonts w:ascii="Times New Roman" w:hAnsi="Times New Roman"/>
    </w:rPr>
  </w:style>
  <w:style w:type="character" w:customStyle="1" w:styleId="Heading3Char1">
    <w:name w:val="Heading 3 Char1"/>
    <w:basedOn w:val="Tipodeletrapredefinidodopargrafo"/>
    <w:uiPriority w:val="99"/>
    <w:locked/>
    <w:rsid w:val="00F94A61"/>
    <w:rPr>
      <w:rFonts w:ascii="Arial" w:hAnsi="Arial" w:cs="Arial"/>
      <w:b/>
      <w:bCs/>
      <w:color w:val="4F2683"/>
      <w:sz w:val="26"/>
      <w:szCs w:val="26"/>
      <w:lang w:val="en-GB" w:eastAsia="en-GB"/>
    </w:rPr>
  </w:style>
  <w:style w:type="paragraph" w:customStyle="1" w:styleId="TableRight">
    <w:name w:val="Table Right"/>
    <w:basedOn w:val="Normal"/>
    <w:uiPriority w:val="99"/>
    <w:rsid w:val="00F94A61"/>
    <w:pPr>
      <w:spacing w:before="160" w:after="60" w:line="220" w:lineRule="exact"/>
      <w:jc w:val="right"/>
    </w:pPr>
    <w:rPr>
      <w:rFonts w:ascii="Verdana" w:hAnsi="Verdana" w:cs="Verdana"/>
      <w:sz w:val="16"/>
      <w:szCs w:val="16"/>
    </w:rPr>
  </w:style>
  <w:style w:type="character" w:customStyle="1" w:styleId="CharChar18">
    <w:name w:val="Char Char18"/>
    <w:basedOn w:val="Tipodeletrapredefinidodopargrafo"/>
    <w:uiPriority w:val="99"/>
    <w:locked/>
    <w:rsid w:val="00F94A61"/>
    <w:rPr>
      <w:rFonts w:ascii="Arial" w:eastAsia="MS Mincho" w:hAnsi="Arial" w:cs="Arial"/>
      <w:b/>
      <w:bCs/>
      <w:color w:val="4F2683"/>
      <w:sz w:val="26"/>
      <w:szCs w:val="26"/>
      <w:lang w:val="en-GB" w:eastAsia="en-GB"/>
    </w:rPr>
  </w:style>
  <w:style w:type="paragraph" w:styleId="Cabealhodondice">
    <w:name w:val="TOC Heading"/>
    <w:basedOn w:val="TocTitle"/>
    <w:next w:val="Normal"/>
    <w:uiPriority w:val="39"/>
    <w:qFormat/>
    <w:rsid w:val="00E93E64"/>
    <w:rPr>
      <w:color w:val="002D62" w:themeColor="accent1"/>
      <w:sz w:val="32"/>
      <w:szCs w:val="32"/>
    </w:rPr>
  </w:style>
  <w:style w:type="character" w:styleId="nfase">
    <w:name w:val="Emphasis"/>
    <w:uiPriority w:val="20"/>
    <w:qFormat/>
    <w:locked/>
    <w:rsid w:val="000054C4"/>
    <w:rPr>
      <w:b/>
      <w:i/>
      <w:spacing w:val="10"/>
    </w:rPr>
  </w:style>
  <w:style w:type="table" w:styleId="SombreadoClaro-Cor4">
    <w:name w:val="Light Shading Accent 4"/>
    <w:basedOn w:val="Tabelanormal"/>
    <w:uiPriority w:val="99"/>
    <w:rsid w:val="00F94A6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SombreadoColorido-Cor4">
    <w:name w:val="Colorful Shading Accent 4"/>
    <w:basedOn w:val="Tabelanormal"/>
    <w:uiPriority w:val="99"/>
    <w:rsid w:val="00F94A6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ListaColorida-Cor4">
    <w:name w:val="Colorful List Accent 4"/>
    <w:basedOn w:val="Tabelanormal"/>
    <w:uiPriority w:val="99"/>
    <w:rsid w:val="00F94A6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SombreadoMdio1-Cor4">
    <w:name w:val="Medium Shading 1 Accent 4"/>
    <w:basedOn w:val="Tabelanormal"/>
    <w:uiPriority w:val="99"/>
    <w:rsid w:val="00F94A6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GrelhaMdia2-Cor4">
    <w:name w:val="Medium Grid 2 Accent 4"/>
    <w:basedOn w:val="Tabelanormal"/>
    <w:uiPriority w:val="99"/>
    <w:rsid w:val="00F94A6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paragraph" w:customStyle="1" w:styleId="text">
    <w:name w:val="text"/>
    <w:basedOn w:val="Normal"/>
    <w:rsid w:val="00F94A61"/>
    <w:pPr>
      <w:spacing w:before="100" w:beforeAutospacing="1" w:after="100" w:afterAutospacing="1"/>
    </w:pPr>
    <w:rPr>
      <w:rFonts w:ascii="Times New Roman" w:hAnsi="Times New Roman"/>
    </w:rPr>
  </w:style>
  <w:style w:type="paragraph" w:customStyle="1" w:styleId="Tabletext10">
    <w:name w:val="Table text 10"/>
    <w:basedOn w:val="Normal"/>
    <w:rsid w:val="00185D0B"/>
    <w:pPr>
      <w:spacing w:before="60" w:after="60"/>
      <w:ind w:left="72" w:right="72"/>
    </w:pPr>
  </w:style>
  <w:style w:type="paragraph" w:customStyle="1" w:styleId="CVtext">
    <w:name w:val="CV text"/>
    <w:basedOn w:val="Corpodetexto"/>
    <w:link w:val="CVtextChar"/>
    <w:rsid w:val="000054C4"/>
    <w:rPr>
      <w:lang w:val="en-GB" w:eastAsia="en-GB"/>
    </w:rPr>
  </w:style>
  <w:style w:type="character" w:customStyle="1" w:styleId="CVtextChar">
    <w:name w:val="CV text Char"/>
    <w:basedOn w:val="CorpodetextoCarter"/>
    <w:link w:val="CVtext"/>
    <w:rsid w:val="000054C4"/>
    <w:rPr>
      <w:rFonts w:ascii="Arial" w:eastAsiaTheme="minorEastAsia" w:hAnsi="Arial" w:cs="Arial"/>
      <w:sz w:val="18"/>
      <w:szCs w:val="18"/>
      <w:lang w:val="en-GB" w:eastAsia="en-GB"/>
    </w:rPr>
  </w:style>
  <w:style w:type="paragraph" w:customStyle="1" w:styleId="CVHeading">
    <w:name w:val="CV Heading"/>
    <w:basedOn w:val="CVtext"/>
    <w:link w:val="CVHeadingChar"/>
    <w:rsid w:val="000054C4"/>
    <w:rPr>
      <w:b/>
    </w:rPr>
  </w:style>
  <w:style w:type="character" w:customStyle="1" w:styleId="CVHeadingChar">
    <w:name w:val="CV Heading Char"/>
    <w:basedOn w:val="CVtextChar"/>
    <w:link w:val="CVHeading"/>
    <w:rsid w:val="000054C4"/>
    <w:rPr>
      <w:rFonts w:ascii="Arial" w:eastAsiaTheme="minorEastAsia" w:hAnsi="Arial" w:cs="Arial"/>
      <w:b/>
      <w:sz w:val="18"/>
      <w:szCs w:val="18"/>
      <w:lang w:val="en-GB" w:eastAsia="en-GB"/>
    </w:rPr>
  </w:style>
  <w:style w:type="paragraph" w:customStyle="1" w:styleId="CVboxtext">
    <w:name w:val="CV box text"/>
    <w:basedOn w:val="CVtext"/>
    <w:link w:val="CVboxtextChar"/>
    <w:rsid w:val="000054C4"/>
    <w:pPr>
      <w:spacing w:before="60" w:after="60"/>
      <w:ind w:left="285"/>
    </w:pPr>
  </w:style>
  <w:style w:type="character" w:customStyle="1" w:styleId="CVboxtextChar">
    <w:name w:val="CV box text Char"/>
    <w:basedOn w:val="CVtextChar"/>
    <w:link w:val="CVboxtext"/>
    <w:rsid w:val="000054C4"/>
    <w:rPr>
      <w:rFonts w:ascii="Arial" w:eastAsiaTheme="minorEastAsia" w:hAnsi="Arial" w:cs="Arial"/>
      <w:sz w:val="18"/>
      <w:szCs w:val="18"/>
      <w:lang w:val="en-GB" w:eastAsia="en-GB"/>
    </w:rPr>
  </w:style>
  <w:style w:type="table" w:customStyle="1" w:styleId="LightList-Accent11">
    <w:name w:val="Light List - Accent 11"/>
    <w:basedOn w:val="Tabelanormal"/>
    <w:uiPriority w:val="61"/>
    <w:rsid w:val="00AA665C"/>
    <w:tblPr>
      <w:tblStyleRowBandSize w:val="1"/>
      <w:tblStyleColBandSize w:val="1"/>
      <w:tblBorders>
        <w:top w:val="single" w:sz="8" w:space="0" w:color="002D62"/>
        <w:left w:val="single" w:sz="8" w:space="0" w:color="002D62"/>
        <w:bottom w:val="single" w:sz="8" w:space="0" w:color="002D62"/>
        <w:right w:val="single" w:sz="8" w:space="0" w:color="002D62"/>
      </w:tblBorders>
    </w:tblPr>
    <w:tblStylePr w:type="firstRow">
      <w:pPr>
        <w:spacing w:before="0" w:after="0" w:line="240" w:lineRule="auto"/>
      </w:pPr>
      <w:rPr>
        <w:b/>
        <w:bCs/>
        <w:color w:val="FFFFFF"/>
      </w:rPr>
      <w:tblPr/>
      <w:tcPr>
        <w:shd w:val="clear" w:color="auto" w:fill="002D62"/>
      </w:tcPr>
    </w:tblStylePr>
    <w:tblStylePr w:type="lastRow">
      <w:pPr>
        <w:spacing w:before="0" w:after="0" w:line="240" w:lineRule="auto"/>
      </w:pPr>
      <w:rPr>
        <w:b/>
        <w:bCs/>
      </w:rPr>
      <w:tblPr/>
      <w:tcPr>
        <w:tcBorders>
          <w:top w:val="double" w:sz="6" w:space="0" w:color="002D62"/>
          <w:left w:val="single" w:sz="8" w:space="0" w:color="002D62"/>
          <w:bottom w:val="single" w:sz="8" w:space="0" w:color="002D62"/>
          <w:right w:val="single" w:sz="8" w:space="0" w:color="002D62"/>
        </w:tcBorders>
      </w:tcPr>
    </w:tblStylePr>
    <w:tblStylePr w:type="firstCol">
      <w:rPr>
        <w:b/>
        <w:bCs/>
      </w:rPr>
    </w:tblStylePr>
    <w:tblStylePr w:type="lastCol">
      <w:rPr>
        <w:b/>
        <w:bCs/>
      </w:rPr>
    </w:tblStylePr>
    <w:tblStylePr w:type="band1Vert">
      <w:tblPr/>
      <w:tcPr>
        <w:tcBorders>
          <w:top w:val="single" w:sz="8" w:space="0" w:color="002D62"/>
          <w:left w:val="single" w:sz="8" w:space="0" w:color="002D62"/>
          <w:bottom w:val="single" w:sz="8" w:space="0" w:color="002D62"/>
          <w:right w:val="single" w:sz="8" w:space="0" w:color="002D62"/>
        </w:tcBorders>
      </w:tcPr>
    </w:tblStylePr>
    <w:tblStylePr w:type="band1Horz">
      <w:tblPr/>
      <w:tcPr>
        <w:tcBorders>
          <w:top w:val="single" w:sz="8" w:space="0" w:color="002D62"/>
          <w:left w:val="single" w:sz="8" w:space="0" w:color="002D62"/>
          <w:bottom w:val="single" w:sz="8" w:space="0" w:color="002D62"/>
          <w:right w:val="single" w:sz="8" w:space="0" w:color="002D62"/>
        </w:tcBorders>
      </w:tcPr>
    </w:tblStylePr>
  </w:style>
  <w:style w:type="paragraph" w:customStyle="1" w:styleId="Incytetrackrecordboxtext">
    <w:name w:val="Incyte track record box text"/>
    <w:basedOn w:val="Normal"/>
    <w:link w:val="IncytetrackrecordboxtextChar"/>
    <w:autoRedefine/>
    <w:qFormat/>
    <w:rsid w:val="008F1492"/>
    <w:pPr>
      <w:keepNext/>
      <w:keepLines/>
      <w:spacing w:before="60" w:after="60"/>
      <w:ind w:right="170"/>
    </w:pPr>
    <w:rPr>
      <w:lang w:val="en-GB"/>
    </w:rPr>
  </w:style>
  <w:style w:type="character" w:customStyle="1" w:styleId="IncytetrackrecordboxtextChar">
    <w:name w:val="Incyte track record box text Char"/>
    <w:basedOn w:val="Tipodeletrapredefinidodopargrafo"/>
    <w:link w:val="Incytetrackrecordboxtext"/>
    <w:rsid w:val="008F1492"/>
    <w:rPr>
      <w:rFonts w:ascii="Arial" w:eastAsiaTheme="minorEastAsia" w:hAnsi="Arial" w:cs="Arial"/>
      <w:lang w:val="en-GB" w:eastAsia="en-US"/>
    </w:rPr>
  </w:style>
  <w:style w:type="paragraph" w:styleId="Corpodetexto3">
    <w:name w:val="Body Text 3"/>
    <w:basedOn w:val="Normal"/>
    <w:link w:val="Corpodetexto3Carter"/>
    <w:unhideWhenUsed/>
    <w:locked/>
    <w:rsid w:val="00605A47"/>
    <w:rPr>
      <w:sz w:val="16"/>
      <w:szCs w:val="16"/>
    </w:rPr>
  </w:style>
  <w:style w:type="character" w:customStyle="1" w:styleId="Corpodetexto3Carter">
    <w:name w:val="Corpo de texto 3 Caráter"/>
    <w:basedOn w:val="Tipodeletrapredefinidodopargrafo"/>
    <w:link w:val="Corpodetexto3"/>
    <w:rsid w:val="00605A47"/>
    <w:rPr>
      <w:rFonts w:ascii="Arial" w:eastAsia="Times New Roman" w:hAnsi="Arial"/>
      <w:sz w:val="16"/>
      <w:szCs w:val="16"/>
      <w:lang w:val="en-GB" w:eastAsia="en-GB"/>
    </w:rPr>
  </w:style>
  <w:style w:type="paragraph" w:customStyle="1" w:styleId="Heading3Unnumbered">
    <w:name w:val="Heading 3 Unnumbered"/>
    <w:basedOn w:val="Ttulo3"/>
    <w:next w:val="Corpodetexto"/>
    <w:rsid w:val="00205002"/>
    <w:pPr>
      <w:spacing w:after="60" w:line="280" w:lineRule="atLeast"/>
    </w:pPr>
    <w:rPr>
      <w:rFonts w:eastAsia="Times New Roman"/>
      <w:bCs/>
      <w:color w:val="auto"/>
      <w:kern w:val="32"/>
      <w:sz w:val="24"/>
      <w:szCs w:val="26"/>
    </w:rPr>
  </w:style>
  <w:style w:type="paragraph" w:customStyle="1" w:styleId="Indent1">
    <w:name w:val="Indent 1"/>
    <w:basedOn w:val="Corpodetexto"/>
    <w:rsid w:val="00213A77"/>
    <w:pPr>
      <w:spacing w:before="0" w:line="280" w:lineRule="atLeast"/>
      <w:ind w:left="340"/>
    </w:pPr>
    <w:rPr>
      <w:szCs w:val="24"/>
    </w:rPr>
  </w:style>
  <w:style w:type="table" w:styleId="ListaClara-Cor2">
    <w:name w:val="Light List Accent 2"/>
    <w:basedOn w:val="Tabelanormal"/>
    <w:uiPriority w:val="61"/>
    <w:rsid w:val="00D2754B"/>
    <w:tblPr>
      <w:tblStyleRowBandSize w:val="1"/>
      <w:tblStyleColBandSize w:val="1"/>
      <w:tblBorders>
        <w:top w:val="single" w:sz="8" w:space="0" w:color="5F93A8"/>
        <w:left w:val="single" w:sz="8" w:space="0" w:color="5F93A8"/>
        <w:bottom w:val="single" w:sz="8" w:space="0" w:color="5F93A8"/>
        <w:right w:val="single" w:sz="8" w:space="0" w:color="5F93A8"/>
      </w:tblBorders>
    </w:tblPr>
    <w:tblStylePr w:type="firstRow">
      <w:pPr>
        <w:spacing w:before="0" w:after="0" w:line="240" w:lineRule="auto"/>
      </w:pPr>
      <w:rPr>
        <w:b/>
        <w:bCs/>
        <w:color w:val="FFFFFF"/>
      </w:rPr>
      <w:tblPr/>
      <w:tcPr>
        <w:shd w:val="clear" w:color="auto" w:fill="5F93A8"/>
      </w:tcPr>
    </w:tblStylePr>
    <w:tblStylePr w:type="lastRow">
      <w:pPr>
        <w:spacing w:before="0" w:after="0" w:line="240" w:lineRule="auto"/>
      </w:pPr>
      <w:rPr>
        <w:b/>
        <w:bCs/>
      </w:rPr>
      <w:tblPr/>
      <w:tcPr>
        <w:tcBorders>
          <w:top w:val="double" w:sz="6" w:space="0" w:color="5F93A8"/>
          <w:left w:val="single" w:sz="8" w:space="0" w:color="5F93A8"/>
          <w:bottom w:val="single" w:sz="8" w:space="0" w:color="5F93A8"/>
          <w:right w:val="single" w:sz="8" w:space="0" w:color="5F93A8"/>
        </w:tcBorders>
      </w:tcPr>
    </w:tblStylePr>
    <w:tblStylePr w:type="firstCol">
      <w:rPr>
        <w:b/>
        <w:bCs/>
      </w:rPr>
    </w:tblStylePr>
    <w:tblStylePr w:type="lastCol">
      <w:rPr>
        <w:b/>
        <w:bCs/>
      </w:rPr>
    </w:tblStylePr>
    <w:tblStylePr w:type="band1Vert">
      <w:tblPr/>
      <w:tcPr>
        <w:tcBorders>
          <w:top w:val="single" w:sz="8" w:space="0" w:color="5F93A8"/>
          <w:left w:val="single" w:sz="8" w:space="0" w:color="5F93A8"/>
          <w:bottom w:val="single" w:sz="8" w:space="0" w:color="5F93A8"/>
          <w:right w:val="single" w:sz="8" w:space="0" w:color="5F93A8"/>
        </w:tcBorders>
      </w:tcPr>
    </w:tblStylePr>
    <w:tblStylePr w:type="band1Horz">
      <w:tblPr/>
      <w:tcPr>
        <w:tcBorders>
          <w:top w:val="single" w:sz="8" w:space="0" w:color="5F93A8"/>
          <w:left w:val="single" w:sz="8" w:space="0" w:color="5F93A8"/>
          <w:bottom w:val="single" w:sz="8" w:space="0" w:color="5F93A8"/>
          <w:right w:val="single" w:sz="8" w:space="0" w:color="5F93A8"/>
        </w:tcBorders>
      </w:tcPr>
    </w:tblStylePr>
  </w:style>
  <w:style w:type="table" w:styleId="SombreadoMdio1-Cor2">
    <w:name w:val="Medium Shading 1 Accent 2"/>
    <w:basedOn w:val="Tabelanormal"/>
    <w:uiPriority w:val="63"/>
    <w:rsid w:val="00DC7D05"/>
    <w:tblPr>
      <w:tblStyleRowBandSize w:val="1"/>
      <w:tblStyleColBandSize w:val="1"/>
      <w:tblBorders>
        <w:top w:val="single" w:sz="8" w:space="0" w:color="86ADBD"/>
        <w:left w:val="single" w:sz="8" w:space="0" w:color="86ADBD"/>
        <w:bottom w:val="single" w:sz="8" w:space="0" w:color="86ADBD"/>
        <w:right w:val="single" w:sz="8" w:space="0" w:color="86ADBD"/>
        <w:insideH w:val="single" w:sz="8" w:space="0" w:color="86ADBD"/>
      </w:tblBorders>
    </w:tblPr>
    <w:tblStylePr w:type="firstRow">
      <w:pPr>
        <w:spacing w:before="0" w:after="0" w:line="240" w:lineRule="auto"/>
      </w:pPr>
      <w:rPr>
        <w:b/>
        <w:bCs/>
        <w:color w:val="FFFFFF"/>
      </w:rPr>
      <w:tblPr/>
      <w:tcPr>
        <w:tcBorders>
          <w:top w:val="single" w:sz="8" w:space="0" w:color="86ADBD"/>
          <w:left w:val="single" w:sz="8" w:space="0" w:color="86ADBD"/>
          <w:bottom w:val="single" w:sz="8" w:space="0" w:color="86ADBD"/>
          <w:right w:val="single" w:sz="8" w:space="0" w:color="86ADBD"/>
          <w:insideH w:val="nil"/>
          <w:insideV w:val="nil"/>
        </w:tcBorders>
        <w:shd w:val="clear" w:color="auto" w:fill="5F93A8"/>
      </w:tcPr>
    </w:tblStylePr>
    <w:tblStylePr w:type="lastRow">
      <w:pPr>
        <w:spacing w:before="0" w:after="0" w:line="240" w:lineRule="auto"/>
      </w:pPr>
      <w:rPr>
        <w:b/>
        <w:bCs/>
      </w:rPr>
      <w:tblPr/>
      <w:tcPr>
        <w:tcBorders>
          <w:top w:val="double" w:sz="6" w:space="0" w:color="86ADBD"/>
          <w:left w:val="single" w:sz="8" w:space="0" w:color="86ADBD"/>
          <w:bottom w:val="single" w:sz="8" w:space="0" w:color="86ADBD"/>
          <w:right w:val="single" w:sz="8" w:space="0" w:color="86ADBD"/>
          <w:insideH w:val="nil"/>
          <w:insideV w:val="nil"/>
        </w:tcBorders>
      </w:tcPr>
    </w:tblStylePr>
    <w:tblStylePr w:type="firstCol">
      <w:rPr>
        <w:b/>
        <w:bCs/>
      </w:rPr>
    </w:tblStylePr>
    <w:tblStylePr w:type="lastCol">
      <w:rPr>
        <w:b/>
        <w:bCs/>
      </w:rPr>
    </w:tblStylePr>
    <w:tblStylePr w:type="band1Vert">
      <w:tblPr/>
      <w:tcPr>
        <w:shd w:val="clear" w:color="auto" w:fill="D7E4E9"/>
      </w:tcPr>
    </w:tblStylePr>
    <w:tblStylePr w:type="band1Horz">
      <w:tblPr/>
      <w:tcPr>
        <w:tcBorders>
          <w:insideH w:val="nil"/>
          <w:insideV w:val="nil"/>
        </w:tcBorders>
        <w:shd w:val="clear" w:color="auto" w:fill="D7E4E9"/>
      </w:tcPr>
    </w:tblStylePr>
    <w:tblStylePr w:type="band2Horz">
      <w:tblPr/>
      <w:tcPr>
        <w:tcBorders>
          <w:insideH w:val="nil"/>
          <w:insideV w:val="nil"/>
        </w:tcBorders>
      </w:tcPr>
    </w:tblStylePr>
  </w:style>
  <w:style w:type="paragraph" w:customStyle="1" w:styleId="BankNormal">
    <w:name w:val="BankNormal"/>
    <w:basedOn w:val="Normal"/>
    <w:rsid w:val="00894E5E"/>
    <w:pPr>
      <w:spacing w:before="0"/>
    </w:pPr>
    <w:rPr>
      <w:rFonts w:ascii="Times New Roman" w:hAnsi="Times New Roman"/>
    </w:rPr>
  </w:style>
  <w:style w:type="paragraph" w:customStyle="1" w:styleId="MainParawithChapter">
    <w:name w:val="Main Para with Chapter#"/>
    <w:basedOn w:val="Normal"/>
    <w:rsid w:val="00894E5E"/>
    <w:pPr>
      <w:tabs>
        <w:tab w:val="num" w:pos="360"/>
      </w:tabs>
      <w:spacing w:before="0"/>
      <w:outlineLvl w:val="1"/>
    </w:pPr>
    <w:rPr>
      <w:rFonts w:ascii="Times New Roman" w:hAnsi="Times New Roman"/>
      <w:szCs w:val="24"/>
    </w:rPr>
  </w:style>
  <w:style w:type="paragraph" w:customStyle="1" w:styleId="Sub-Para1underXY">
    <w:name w:val="Sub-Para 1 under X.Y"/>
    <w:basedOn w:val="Normal"/>
    <w:rsid w:val="00894E5E"/>
    <w:pPr>
      <w:tabs>
        <w:tab w:val="num" w:pos="360"/>
      </w:tabs>
      <w:spacing w:before="0"/>
      <w:outlineLvl w:val="2"/>
    </w:pPr>
    <w:rPr>
      <w:rFonts w:ascii="Times New Roman" w:hAnsi="Times New Roman"/>
      <w:szCs w:val="24"/>
    </w:rPr>
  </w:style>
  <w:style w:type="paragraph" w:customStyle="1" w:styleId="Sub-Para2underXY">
    <w:name w:val="Sub-Para 2 under X.Y"/>
    <w:basedOn w:val="Normal"/>
    <w:rsid w:val="00894E5E"/>
    <w:pPr>
      <w:tabs>
        <w:tab w:val="num" w:pos="360"/>
      </w:tabs>
      <w:spacing w:before="0"/>
      <w:outlineLvl w:val="3"/>
    </w:pPr>
    <w:rPr>
      <w:rFonts w:ascii="Times New Roman" w:hAnsi="Times New Roman"/>
      <w:szCs w:val="24"/>
    </w:rPr>
  </w:style>
  <w:style w:type="paragraph" w:customStyle="1" w:styleId="Sub-Para3underXY">
    <w:name w:val="Sub-Para 3 under X.Y"/>
    <w:basedOn w:val="Normal"/>
    <w:rsid w:val="00894E5E"/>
    <w:pPr>
      <w:tabs>
        <w:tab w:val="num" w:pos="360"/>
      </w:tabs>
      <w:spacing w:before="0"/>
      <w:outlineLvl w:val="4"/>
    </w:pPr>
    <w:rPr>
      <w:rFonts w:ascii="Times New Roman" w:hAnsi="Times New Roman"/>
      <w:szCs w:val="24"/>
    </w:rPr>
  </w:style>
  <w:style w:type="paragraph" w:customStyle="1" w:styleId="Sub-Para4underXY">
    <w:name w:val="Sub-Para 4 under X.Y"/>
    <w:basedOn w:val="Normal"/>
    <w:rsid w:val="00894E5E"/>
    <w:pPr>
      <w:tabs>
        <w:tab w:val="num" w:pos="360"/>
      </w:tabs>
      <w:spacing w:before="0"/>
      <w:outlineLvl w:val="5"/>
    </w:pPr>
    <w:rPr>
      <w:rFonts w:ascii="Times New Roman" w:hAnsi="Times New Roman"/>
      <w:szCs w:val="24"/>
    </w:rPr>
  </w:style>
  <w:style w:type="character" w:customStyle="1" w:styleId="Style11pt">
    <w:name w:val="Style 11 pt"/>
    <w:basedOn w:val="Tipodeletrapredefinidodopargrafo"/>
    <w:rsid w:val="00894E5E"/>
    <w:rPr>
      <w:sz w:val="22"/>
    </w:rPr>
  </w:style>
  <w:style w:type="paragraph" w:customStyle="1" w:styleId="ChapterNumber">
    <w:name w:val="ChapterNumber"/>
    <w:basedOn w:val="Normal"/>
    <w:next w:val="Normal"/>
    <w:rsid w:val="00894E5E"/>
    <w:pPr>
      <w:spacing w:before="0" w:after="360"/>
    </w:pPr>
    <w:rPr>
      <w:rFonts w:ascii="Times New Roman" w:hAnsi="Times New Roman"/>
    </w:rPr>
  </w:style>
  <w:style w:type="table" w:styleId="SombreadoClaro-Cor2">
    <w:name w:val="Light Shading Accent 2"/>
    <w:basedOn w:val="Tabelanormal"/>
    <w:uiPriority w:val="60"/>
    <w:rsid w:val="00A223B3"/>
    <w:rPr>
      <w:color w:val="456E7F"/>
    </w:rPr>
    <w:tblPr>
      <w:tblStyleRowBandSize w:val="1"/>
      <w:tblStyleColBandSize w:val="1"/>
      <w:tblBorders>
        <w:top w:val="single" w:sz="8" w:space="0" w:color="5F93A8"/>
        <w:bottom w:val="single" w:sz="8" w:space="0" w:color="5F93A8"/>
      </w:tblBorders>
    </w:tblPr>
    <w:tblStylePr w:type="firstRow">
      <w:pPr>
        <w:spacing w:before="0" w:after="0" w:line="240" w:lineRule="auto"/>
      </w:pPr>
      <w:rPr>
        <w:b/>
        <w:bCs/>
      </w:rPr>
      <w:tblPr/>
      <w:tcPr>
        <w:tcBorders>
          <w:top w:val="single" w:sz="8" w:space="0" w:color="5F93A8"/>
          <w:left w:val="nil"/>
          <w:bottom w:val="single" w:sz="8" w:space="0" w:color="5F93A8"/>
          <w:right w:val="nil"/>
          <w:insideH w:val="nil"/>
          <w:insideV w:val="nil"/>
        </w:tcBorders>
      </w:tcPr>
    </w:tblStylePr>
    <w:tblStylePr w:type="lastRow">
      <w:pPr>
        <w:spacing w:before="0" w:after="0" w:line="240" w:lineRule="auto"/>
      </w:pPr>
      <w:rPr>
        <w:b/>
        <w:bCs/>
      </w:rPr>
      <w:tblPr/>
      <w:tcPr>
        <w:tcBorders>
          <w:top w:val="single" w:sz="8" w:space="0" w:color="5F93A8"/>
          <w:left w:val="nil"/>
          <w:bottom w:val="single" w:sz="8" w:space="0" w:color="5F93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E9"/>
      </w:tcPr>
    </w:tblStylePr>
    <w:tblStylePr w:type="band1Horz">
      <w:tblPr/>
      <w:tcPr>
        <w:tcBorders>
          <w:left w:val="nil"/>
          <w:right w:val="nil"/>
          <w:insideH w:val="nil"/>
          <w:insideV w:val="nil"/>
        </w:tcBorders>
        <w:shd w:val="clear" w:color="auto" w:fill="D7E4E9"/>
      </w:tcPr>
    </w:tblStylePr>
  </w:style>
  <w:style w:type="table" w:styleId="GrelhaClara-Cor2">
    <w:name w:val="Light Grid Accent 2"/>
    <w:basedOn w:val="Tabelanormal"/>
    <w:uiPriority w:val="62"/>
    <w:rsid w:val="00A223B3"/>
    <w:tblPr>
      <w:tblStyleRowBandSize w:val="1"/>
      <w:tblStyleColBandSize w:val="1"/>
      <w:tblBorders>
        <w:top w:val="single" w:sz="8" w:space="0" w:color="5F93A8"/>
        <w:left w:val="single" w:sz="8" w:space="0" w:color="5F93A8"/>
        <w:bottom w:val="single" w:sz="8" w:space="0" w:color="5F93A8"/>
        <w:right w:val="single" w:sz="8" w:space="0" w:color="5F93A8"/>
        <w:insideH w:val="single" w:sz="8" w:space="0" w:color="5F93A8"/>
        <w:insideV w:val="single" w:sz="8" w:space="0" w:color="5F93A8"/>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5F93A8"/>
          <w:left w:val="single" w:sz="8" w:space="0" w:color="5F93A8"/>
          <w:bottom w:val="single" w:sz="18" w:space="0" w:color="5F93A8"/>
          <w:right w:val="single" w:sz="8" w:space="0" w:color="5F93A8"/>
          <w:insideH w:val="nil"/>
          <w:insideV w:val="single" w:sz="8" w:space="0" w:color="5F93A8"/>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5F93A8"/>
          <w:left w:val="single" w:sz="8" w:space="0" w:color="5F93A8"/>
          <w:bottom w:val="single" w:sz="8" w:space="0" w:color="5F93A8"/>
          <w:right w:val="single" w:sz="8" w:space="0" w:color="5F93A8"/>
          <w:insideH w:val="nil"/>
          <w:insideV w:val="single" w:sz="8" w:space="0" w:color="5F93A8"/>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5F93A8"/>
          <w:left w:val="single" w:sz="8" w:space="0" w:color="5F93A8"/>
          <w:bottom w:val="single" w:sz="8" w:space="0" w:color="5F93A8"/>
          <w:right w:val="single" w:sz="8" w:space="0" w:color="5F93A8"/>
        </w:tcBorders>
      </w:tcPr>
    </w:tblStylePr>
    <w:tblStylePr w:type="band1Vert">
      <w:tblPr/>
      <w:tcPr>
        <w:tcBorders>
          <w:top w:val="single" w:sz="8" w:space="0" w:color="5F93A8"/>
          <w:left w:val="single" w:sz="8" w:space="0" w:color="5F93A8"/>
          <w:bottom w:val="single" w:sz="8" w:space="0" w:color="5F93A8"/>
          <w:right w:val="single" w:sz="8" w:space="0" w:color="5F93A8"/>
        </w:tcBorders>
        <w:shd w:val="clear" w:color="auto" w:fill="D7E4E9"/>
      </w:tcPr>
    </w:tblStylePr>
    <w:tblStylePr w:type="band1Horz">
      <w:tblPr/>
      <w:tcPr>
        <w:tcBorders>
          <w:top w:val="single" w:sz="8" w:space="0" w:color="5F93A8"/>
          <w:left w:val="single" w:sz="8" w:space="0" w:color="5F93A8"/>
          <w:bottom w:val="single" w:sz="8" w:space="0" w:color="5F93A8"/>
          <w:right w:val="single" w:sz="8" w:space="0" w:color="5F93A8"/>
          <w:insideV w:val="single" w:sz="8" w:space="0" w:color="5F93A8"/>
        </w:tcBorders>
        <w:shd w:val="clear" w:color="auto" w:fill="D7E4E9"/>
      </w:tcPr>
    </w:tblStylePr>
    <w:tblStylePr w:type="band2Horz">
      <w:tblPr/>
      <w:tcPr>
        <w:tcBorders>
          <w:top w:val="single" w:sz="8" w:space="0" w:color="5F93A8"/>
          <w:left w:val="single" w:sz="8" w:space="0" w:color="5F93A8"/>
          <w:bottom w:val="single" w:sz="8" w:space="0" w:color="5F93A8"/>
          <w:right w:val="single" w:sz="8" w:space="0" w:color="5F93A8"/>
          <w:insideV w:val="single" w:sz="8" w:space="0" w:color="5F93A8"/>
        </w:tcBorders>
      </w:tcPr>
    </w:tblStylePr>
  </w:style>
  <w:style w:type="table" w:styleId="ListaMdia2-Cor2">
    <w:name w:val="Medium List 2 Accent 2"/>
    <w:basedOn w:val="Tabelanormal"/>
    <w:uiPriority w:val="66"/>
    <w:rsid w:val="00A223B3"/>
    <w:rPr>
      <w:rFonts w:ascii="Cambria" w:eastAsia="Times New Roman" w:hAnsi="Cambria"/>
      <w:color w:val="000000"/>
    </w:rPr>
    <w:tblPr>
      <w:tblStyleRowBandSize w:val="1"/>
      <w:tblStyleColBandSize w:val="1"/>
      <w:tblBorders>
        <w:top w:val="single" w:sz="8" w:space="0" w:color="5F93A8"/>
        <w:left w:val="single" w:sz="8" w:space="0" w:color="5F93A8"/>
        <w:bottom w:val="single" w:sz="8" w:space="0" w:color="5F93A8"/>
        <w:right w:val="single" w:sz="8" w:space="0" w:color="5F93A8"/>
      </w:tblBorders>
    </w:tblPr>
    <w:tblStylePr w:type="firstRow">
      <w:rPr>
        <w:sz w:val="24"/>
        <w:szCs w:val="24"/>
      </w:rPr>
      <w:tblPr/>
      <w:tcPr>
        <w:tcBorders>
          <w:top w:val="nil"/>
          <w:left w:val="nil"/>
          <w:bottom w:val="single" w:sz="24" w:space="0" w:color="5F93A8"/>
          <w:right w:val="nil"/>
          <w:insideH w:val="nil"/>
          <w:insideV w:val="nil"/>
        </w:tcBorders>
        <w:shd w:val="clear" w:color="auto" w:fill="FFFFFF"/>
      </w:tcPr>
    </w:tblStylePr>
    <w:tblStylePr w:type="lastRow">
      <w:tblPr/>
      <w:tcPr>
        <w:tcBorders>
          <w:top w:val="single" w:sz="8" w:space="0" w:color="5F93A8"/>
          <w:left w:val="nil"/>
          <w:bottom w:val="nil"/>
          <w:right w:val="nil"/>
          <w:insideH w:val="nil"/>
          <w:insideV w:val="nil"/>
        </w:tcBorders>
        <w:shd w:val="clear" w:color="auto" w:fill="FFFFFF"/>
      </w:tcPr>
    </w:tblStylePr>
    <w:tblStylePr w:type="firstCol">
      <w:tblPr/>
      <w:tcPr>
        <w:tcBorders>
          <w:top w:val="nil"/>
          <w:left w:val="nil"/>
          <w:bottom w:val="nil"/>
          <w:right w:val="single" w:sz="8" w:space="0" w:color="5F93A8"/>
          <w:insideH w:val="nil"/>
          <w:insideV w:val="nil"/>
        </w:tcBorders>
        <w:shd w:val="clear" w:color="auto" w:fill="FFFFFF"/>
      </w:tcPr>
    </w:tblStylePr>
    <w:tblStylePr w:type="lastCol">
      <w:tblPr/>
      <w:tcPr>
        <w:tcBorders>
          <w:top w:val="nil"/>
          <w:left w:val="single" w:sz="8" w:space="0" w:color="5F93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4E9"/>
      </w:tcPr>
    </w:tblStylePr>
    <w:tblStylePr w:type="band1Horz">
      <w:tblPr/>
      <w:tcPr>
        <w:tcBorders>
          <w:top w:val="nil"/>
          <w:bottom w:val="nil"/>
          <w:insideH w:val="nil"/>
          <w:insideV w:val="nil"/>
        </w:tcBorders>
        <w:shd w:val="clear" w:color="auto" w:fill="D7E4E9"/>
      </w:tcPr>
    </w:tblStylePr>
    <w:tblStylePr w:type="nwCell">
      <w:tblPr/>
      <w:tcPr>
        <w:shd w:val="clear" w:color="auto" w:fill="FFFFFF"/>
      </w:tcPr>
    </w:tblStylePr>
    <w:tblStylePr w:type="swCell">
      <w:tblPr/>
      <w:tcPr>
        <w:tcBorders>
          <w:top w:val="nil"/>
        </w:tcBorders>
      </w:tcPr>
    </w:tblStylePr>
  </w:style>
  <w:style w:type="table" w:styleId="GrelhaMdia2-Cor2">
    <w:name w:val="Medium Grid 2 Accent 2"/>
    <w:basedOn w:val="Tabelanormal"/>
    <w:uiPriority w:val="68"/>
    <w:rsid w:val="00A223B3"/>
    <w:rPr>
      <w:rFonts w:ascii="Cambria" w:eastAsia="Times New Roman" w:hAnsi="Cambria"/>
      <w:color w:val="000000"/>
    </w:rPr>
    <w:tblPr>
      <w:tblStyleRowBandSize w:val="1"/>
      <w:tblStyleColBandSize w:val="1"/>
      <w:tblBorders>
        <w:top w:val="single" w:sz="8" w:space="0" w:color="5F93A8"/>
        <w:left w:val="single" w:sz="8" w:space="0" w:color="5F93A8"/>
        <w:bottom w:val="single" w:sz="8" w:space="0" w:color="5F93A8"/>
        <w:right w:val="single" w:sz="8" w:space="0" w:color="5F93A8"/>
        <w:insideH w:val="single" w:sz="8" w:space="0" w:color="5F93A8"/>
        <w:insideV w:val="single" w:sz="8" w:space="0" w:color="5F93A8"/>
      </w:tblBorders>
    </w:tblPr>
    <w:tcPr>
      <w:shd w:val="clear" w:color="auto" w:fill="D7E4E9"/>
    </w:tcPr>
    <w:tblStylePr w:type="firstRow">
      <w:rPr>
        <w:b/>
        <w:bCs/>
        <w:color w:val="000000"/>
      </w:rPr>
      <w:tblPr/>
      <w:tcPr>
        <w:shd w:val="clear" w:color="auto" w:fill="EF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ED"/>
      </w:tcPr>
    </w:tblStylePr>
    <w:tblStylePr w:type="band1Vert">
      <w:tblPr/>
      <w:tcPr>
        <w:shd w:val="clear" w:color="auto" w:fill="AFC9D3"/>
      </w:tcPr>
    </w:tblStylePr>
    <w:tblStylePr w:type="band1Horz">
      <w:tblPr/>
      <w:tcPr>
        <w:tcBorders>
          <w:insideH w:val="single" w:sz="6" w:space="0" w:color="5F93A8"/>
          <w:insideV w:val="single" w:sz="6" w:space="0" w:color="5F93A8"/>
        </w:tcBorders>
        <w:shd w:val="clear" w:color="auto" w:fill="AFC9D3"/>
      </w:tcPr>
    </w:tblStylePr>
    <w:tblStylePr w:type="nwCell">
      <w:tblPr/>
      <w:tcPr>
        <w:shd w:val="clear" w:color="auto" w:fill="FFFFFF"/>
      </w:tcPr>
    </w:tblStylePr>
  </w:style>
  <w:style w:type="paragraph" w:customStyle="1" w:styleId="List1">
    <w:name w:val="List1"/>
    <w:aliases w:val="l"/>
    <w:basedOn w:val="Normal"/>
    <w:rsid w:val="0001619B"/>
    <w:pPr>
      <w:keepLines/>
      <w:numPr>
        <w:numId w:val="2"/>
      </w:numPr>
      <w:tabs>
        <w:tab w:val="clear" w:pos="360"/>
      </w:tabs>
      <w:spacing w:before="260" w:after="0" w:line="260" w:lineRule="exact"/>
      <w:ind w:left="1276" w:hanging="425"/>
    </w:pPr>
    <w:rPr>
      <w:rFonts w:ascii="Book Antiqua" w:hAnsi="Book Antiqua"/>
    </w:rPr>
  </w:style>
  <w:style w:type="paragraph" w:customStyle="1" w:styleId="normalcv">
    <w:name w:val="normal cv"/>
    <w:basedOn w:val="Normal"/>
    <w:rsid w:val="002057CF"/>
    <w:pPr>
      <w:keepNext/>
      <w:keepLines/>
      <w:spacing w:before="0"/>
    </w:pPr>
  </w:style>
  <w:style w:type="character" w:customStyle="1" w:styleId="WW8Num5z0">
    <w:name w:val="WW8Num5z0"/>
    <w:rsid w:val="006134ED"/>
    <w:rPr>
      <w:rFonts w:ascii="Wingdings" w:hAnsi="Wingdings" w:cs="StarSymbol"/>
      <w:sz w:val="18"/>
      <w:szCs w:val="18"/>
    </w:rPr>
  </w:style>
  <w:style w:type="character" w:customStyle="1" w:styleId="WW8Num5z1">
    <w:name w:val="WW8Num5z1"/>
    <w:rsid w:val="006134ED"/>
    <w:rPr>
      <w:rFonts w:ascii="Wingdings 2" w:hAnsi="Wingdings 2" w:cs="StarSymbol"/>
      <w:sz w:val="18"/>
      <w:szCs w:val="18"/>
    </w:rPr>
  </w:style>
  <w:style w:type="character" w:customStyle="1" w:styleId="WW8Num5z2">
    <w:name w:val="WW8Num5z2"/>
    <w:rsid w:val="006134ED"/>
    <w:rPr>
      <w:rFonts w:ascii="StarSymbol" w:hAnsi="StarSymbol" w:cs="StarSymbol"/>
      <w:sz w:val="18"/>
      <w:szCs w:val="18"/>
    </w:rPr>
  </w:style>
  <w:style w:type="character" w:customStyle="1" w:styleId="WW8Num7z0">
    <w:name w:val="WW8Num7z0"/>
    <w:rsid w:val="006134ED"/>
    <w:rPr>
      <w:rFonts w:ascii="Wingdings" w:hAnsi="Wingdings" w:cs="StarSymbol"/>
      <w:sz w:val="18"/>
      <w:szCs w:val="18"/>
    </w:rPr>
  </w:style>
  <w:style w:type="character" w:customStyle="1" w:styleId="WW8Num7z1">
    <w:name w:val="WW8Num7z1"/>
    <w:rsid w:val="006134ED"/>
    <w:rPr>
      <w:rFonts w:ascii="Wingdings 2" w:hAnsi="Wingdings 2" w:cs="StarSymbol"/>
      <w:sz w:val="18"/>
      <w:szCs w:val="18"/>
    </w:rPr>
  </w:style>
  <w:style w:type="character" w:customStyle="1" w:styleId="WW8Num7z2">
    <w:name w:val="WW8Num7z2"/>
    <w:rsid w:val="006134ED"/>
    <w:rPr>
      <w:rFonts w:ascii="StarSymbol" w:hAnsi="StarSymbol" w:cs="StarSymbol"/>
      <w:sz w:val="18"/>
      <w:szCs w:val="18"/>
    </w:rPr>
  </w:style>
  <w:style w:type="character" w:customStyle="1" w:styleId="WW8Num8z0">
    <w:name w:val="WW8Num8z0"/>
    <w:rsid w:val="006134ED"/>
    <w:rPr>
      <w:rFonts w:ascii="Wingdings" w:hAnsi="Wingdings" w:cs="StarSymbol"/>
      <w:sz w:val="18"/>
      <w:szCs w:val="18"/>
    </w:rPr>
  </w:style>
  <w:style w:type="character" w:customStyle="1" w:styleId="WW8Num8z1">
    <w:name w:val="WW8Num8z1"/>
    <w:rsid w:val="006134ED"/>
    <w:rPr>
      <w:rFonts w:ascii="Wingdings 2" w:hAnsi="Wingdings 2" w:cs="StarSymbol"/>
      <w:sz w:val="18"/>
      <w:szCs w:val="18"/>
    </w:rPr>
  </w:style>
  <w:style w:type="character" w:customStyle="1" w:styleId="WW8Num8z2">
    <w:name w:val="WW8Num8z2"/>
    <w:rsid w:val="006134ED"/>
    <w:rPr>
      <w:rFonts w:ascii="StarSymbol" w:hAnsi="StarSymbol" w:cs="StarSymbol"/>
      <w:sz w:val="18"/>
      <w:szCs w:val="18"/>
    </w:rPr>
  </w:style>
  <w:style w:type="character" w:customStyle="1" w:styleId="WW8Num10z0">
    <w:name w:val="WW8Num10z0"/>
    <w:rsid w:val="006134ED"/>
    <w:rPr>
      <w:rFonts w:ascii="Wingdings" w:hAnsi="Wingdings" w:cs="StarSymbol"/>
      <w:sz w:val="18"/>
      <w:szCs w:val="18"/>
    </w:rPr>
  </w:style>
  <w:style w:type="character" w:customStyle="1" w:styleId="WW8Num10z1">
    <w:name w:val="WW8Num10z1"/>
    <w:rsid w:val="006134ED"/>
    <w:rPr>
      <w:rFonts w:ascii="Wingdings 2" w:hAnsi="Wingdings 2" w:cs="StarSymbol"/>
      <w:sz w:val="18"/>
      <w:szCs w:val="18"/>
    </w:rPr>
  </w:style>
  <w:style w:type="character" w:customStyle="1" w:styleId="WW8Num10z2">
    <w:name w:val="WW8Num10z2"/>
    <w:rsid w:val="006134ED"/>
    <w:rPr>
      <w:rFonts w:ascii="StarSymbol" w:hAnsi="StarSymbol" w:cs="StarSymbol"/>
      <w:sz w:val="18"/>
      <w:szCs w:val="18"/>
    </w:rPr>
  </w:style>
  <w:style w:type="character" w:customStyle="1" w:styleId="WW8Num11z0">
    <w:name w:val="WW8Num11z0"/>
    <w:rsid w:val="006134ED"/>
    <w:rPr>
      <w:rFonts w:ascii="Wingdings" w:hAnsi="Wingdings" w:cs="StarSymbol"/>
      <w:sz w:val="18"/>
      <w:szCs w:val="18"/>
    </w:rPr>
  </w:style>
  <w:style w:type="character" w:customStyle="1" w:styleId="WW8Num11z1">
    <w:name w:val="WW8Num11z1"/>
    <w:rsid w:val="006134ED"/>
    <w:rPr>
      <w:rFonts w:ascii="Wingdings 2" w:hAnsi="Wingdings 2" w:cs="StarSymbol"/>
      <w:sz w:val="18"/>
      <w:szCs w:val="18"/>
    </w:rPr>
  </w:style>
  <w:style w:type="character" w:customStyle="1" w:styleId="WW8Num11z2">
    <w:name w:val="WW8Num11z2"/>
    <w:rsid w:val="006134ED"/>
    <w:rPr>
      <w:rFonts w:ascii="StarSymbol" w:hAnsi="StarSymbol" w:cs="StarSymbol"/>
      <w:sz w:val="18"/>
      <w:szCs w:val="18"/>
    </w:rPr>
  </w:style>
  <w:style w:type="character" w:customStyle="1" w:styleId="WW8Num13z0">
    <w:name w:val="WW8Num13z0"/>
    <w:rsid w:val="006134ED"/>
    <w:rPr>
      <w:rFonts w:ascii="Wingdings" w:hAnsi="Wingdings" w:cs="StarSymbol"/>
      <w:sz w:val="18"/>
      <w:szCs w:val="18"/>
    </w:rPr>
  </w:style>
  <w:style w:type="character" w:customStyle="1" w:styleId="WW8Num13z1">
    <w:name w:val="WW8Num13z1"/>
    <w:rsid w:val="006134ED"/>
    <w:rPr>
      <w:rFonts w:ascii="Wingdings 2" w:hAnsi="Wingdings 2" w:cs="StarSymbol"/>
      <w:sz w:val="18"/>
      <w:szCs w:val="18"/>
    </w:rPr>
  </w:style>
  <w:style w:type="character" w:customStyle="1" w:styleId="WW8Num13z2">
    <w:name w:val="WW8Num13z2"/>
    <w:rsid w:val="006134ED"/>
    <w:rPr>
      <w:rFonts w:ascii="StarSymbol" w:hAnsi="StarSymbol" w:cs="StarSymbol"/>
      <w:sz w:val="18"/>
      <w:szCs w:val="18"/>
    </w:rPr>
  </w:style>
  <w:style w:type="character" w:customStyle="1" w:styleId="WW8Num15z0">
    <w:name w:val="WW8Num15z0"/>
    <w:rsid w:val="006134ED"/>
    <w:rPr>
      <w:rFonts w:ascii="Wingdings" w:hAnsi="Wingdings" w:cs="StarSymbol"/>
      <w:sz w:val="18"/>
      <w:szCs w:val="18"/>
    </w:rPr>
  </w:style>
  <w:style w:type="character" w:customStyle="1" w:styleId="WW8Num15z1">
    <w:name w:val="WW8Num15z1"/>
    <w:rsid w:val="006134ED"/>
    <w:rPr>
      <w:rFonts w:ascii="Wingdings 2" w:hAnsi="Wingdings 2" w:cs="StarSymbol"/>
      <w:sz w:val="18"/>
      <w:szCs w:val="18"/>
    </w:rPr>
  </w:style>
  <w:style w:type="character" w:customStyle="1" w:styleId="WW8Num15z2">
    <w:name w:val="WW8Num15z2"/>
    <w:rsid w:val="006134ED"/>
    <w:rPr>
      <w:rFonts w:ascii="StarSymbol" w:hAnsi="StarSymbol" w:cs="StarSymbol"/>
      <w:sz w:val="18"/>
      <w:szCs w:val="18"/>
    </w:rPr>
  </w:style>
  <w:style w:type="character" w:customStyle="1" w:styleId="WW8Num17z0">
    <w:name w:val="WW8Num17z0"/>
    <w:rsid w:val="006134ED"/>
    <w:rPr>
      <w:rFonts w:ascii="Wingdings" w:hAnsi="Wingdings" w:cs="StarSymbol"/>
      <w:sz w:val="18"/>
      <w:szCs w:val="18"/>
    </w:rPr>
  </w:style>
  <w:style w:type="character" w:customStyle="1" w:styleId="WW8Num17z1">
    <w:name w:val="WW8Num17z1"/>
    <w:rsid w:val="006134ED"/>
    <w:rPr>
      <w:rFonts w:ascii="Wingdings 2" w:hAnsi="Wingdings 2" w:cs="StarSymbol"/>
      <w:sz w:val="18"/>
      <w:szCs w:val="18"/>
    </w:rPr>
  </w:style>
  <w:style w:type="character" w:customStyle="1" w:styleId="WW8Num17z2">
    <w:name w:val="WW8Num17z2"/>
    <w:rsid w:val="006134ED"/>
    <w:rPr>
      <w:rFonts w:ascii="StarSymbol" w:hAnsi="StarSymbol" w:cs="StarSymbol"/>
      <w:sz w:val="18"/>
      <w:szCs w:val="18"/>
    </w:rPr>
  </w:style>
  <w:style w:type="character" w:customStyle="1" w:styleId="WW8Num19z0">
    <w:name w:val="WW8Num19z0"/>
    <w:rsid w:val="006134ED"/>
    <w:rPr>
      <w:rFonts w:ascii="Wingdings" w:hAnsi="Wingdings" w:cs="StarSymbol"/>
      <w:sz w:val="18"/>
      <w:szCs w:val="18"/>
    </w:rPr>
  </w:style>
  <w:style w:type="character" w:customStyle="1" w:styleId="WW8Num19z1">
    <w:name w:val="WW8Num19z1"/>
    <w:rsid w:val="006134ED"/>
    <w:rPr>
      <w:rFonts w:ascii="Wingdings 2" w:hAnsi="Wingdings 2" w:cs="StarSymbol"/>
      <w:sz w:val="18"/>
      <w:szCs w:val="18"/>
    </w:rPr>
  </w:style>
  <w:style w:type="character" w:customStyle="1" w:styleId="WW8Num19z2">
    <w:name w:val="WW8Num19z2"/>
    <w:rsid w:val="006134ED"/>
    <w:rPr>
      <w:rFonts w:ascii="StarSymbol" w:hAnsi="StarSymbol" w:cs="StarSymbol"/>
      <w:sz w:val="18"/>
      <w:szCs w:val="18"/>
    </w:rPr>
  </w:style>
  <w:style w:type="character" w:customStyle="1" w:styleId="WW8Num20z0">
    <w:name w:val="WW8Num20z0"/>
    <w:rsid w:val="006134ED"/>
    <w:rPr>
      <w:rFonts w:ascii="Wingdings" w:hAnsi="Wingdings" w:cs="StarSymbol"/>
      <w:sz w:val="18"/>
      <w:szCs w:val="18"/>
    </w:rPr>
  </w:style>
  <w:style w:type="character" w:customStyle="1" w:styleId="WW8Num20z1">
    <w:name w:val="WW8Num20z1"/>
    <w:rsid w:val="006134ED"/>
    <w:rPr>
      <w:rFonts w:ascii="Wingdings 2" w:hAnsi="Wingdings 2" w:cs="StarSymbol"/>
      <w:sz w:val="18"/>
      <w:szCs w:val="18"/>
    </w:rPr>
  </w:style>
  <w:style w:type="character" w:customStyle="1" w:styleId="WW8Num20z2">
    <w:name w:val="WW8Num20z2"/>
    <w:rsid w:val="006134ED"/>
    <w:rPr>
      <w:rFonts w:ascii="StarSymbol" w:hAnsi="StarSymbol" w:cs="StarSymbol"/>
      <w:sz w:val="18"/>
      <w:szCs w:val="18"/>
    </w:rPr>
  </w:style>
  <w:style w:type="character" w:customStyle="1" w:styleId="WW8Num21z0">
    <w:name w:val="WW8Num21z0"/>
    <w:rsid w:val="006134ED"/>
    <w:rPr>
      <w:rFonts w:ascii="Wingdings" w:hAnsi="Wingdings" w:cs="StarSymbol"/>
      <w:sz w:val="18"/>
      <w:szCs w:val="18"/>
    </w:rPr>
  </w:style>
  <w:style w:type="character" w:customStyle="1" w:styleId="WW8Num21z1">
    <w:name w:val="WW8Num21z1"/>
    <w:rsid w:val="006134ED"/>
    <w:rPr>
      <w:rFonts w:ascii="Wingdings 2" w:hAnsi="Wingdings 2" w:cs="StarSymbol"/>
      <w:sz w:val="18"/>
      <w:szCs w:val="18"/>
    </w:rPr>
  </w:style>
  <w:style w:type="character" w:customStyle="1" w:styleId="WW8Num21z2">
    <w:name w:val="WW8Num21z2"/>
    <w:rsid w:val="006134ED"/>
    <w:rPr>
      <w:rFonts w:ascii="StarSymbol" w:hAnsi="StarSymbol" w:cs="StarSymbol"/>
      <w:sz w:val="18"/>
      <w:szCs w:val="18"/>
    </w:rPr>
  </w:style>
  <w:style w:type="character" w:customStyle="1" w:styleId="WW8Num22z0">
    <w:name w:val="WW8Num22z0"/>
    <w:rsid w:val="006134ED"/>
    <w:rPr>
      <w:rFonts w:ascii="Wingdings" w:hAnsi="Wingdings" w:cs="StarSymbol"/>
      <w:sz w:val="18"/>
      <w:szCs w:val="18"/>
    </w:rPr>
  </w:style>
  <w:style w:type="character" w:customStyle="1" w:styleId="WW8Num22z1">
    <w:name w:val="WW8Num22z1"/>
    <w:rsid w:val="006134ED"/>
    <w:rPr>
      <w:rFonts w:ascii="Wingdings 2" w:hAnsi="Wingdings 2" w:cs="StarSymbol"/>
      <w:sz w:val="18"/>
      <w:szCs w:val="18"/>
    </w:rPr>
  </w:style>
  <w:style w:type="character" w:customStyle="1" w:styleId="WW8Num22z2">
    <w:name w:val="WW8Num22z2"/>
    <w:rsid w:val="006134ED"/>
    <w:rPr>
      <w:rFonts w:ascii="StarSymbol" w:hAnsi="StarSymbol" w:cs="StarSymbol"/>
      <w:sz w:val="18"/>
      <w:szCs w:val="18"/>
    </w:rPr>
  </w:style>
  <w:style w:type="character" w:customStyle="1" w:styleId="WW8Num23z0">
    <w:name w:val="WW8Num23z0"/>
    <w:rsid w:val="006134ED"/>
    <w:rPr>
      <w:rFonts w:ascii="Wingdings" w:hAnsi="Wingdings" w:cs="StarSymbol"/>
      <w:sz w:val="18"/>
      <w:szCs w:val="18"/>
    </w:rPr>
  </w:style>
  <w:style w:type="character" w:customStyle="1" w:styleId="WW8Num23z1">
    <w:name w:val="WW8Num23z1"/>
    <w:rsid w:val="006134ED"/>
    <w:rPr>
      <w:rFonts w:ascii="Wingdings 2" w:hAnsi="Wingdings 2" w:cs="StarSymbol"/>
      <w:sz w:val="18"/>
      <w:szCs w:val="18"/>
    </w:rPr>
  </w:style>
  <w:style w:type="character" w:customStyle="1" w:styleId="WW8Num23z2">
    <w:name w:val="WW8Num23z2"/>
    <w:rsid w:val="006134ED"/>
    <w:rPr>
      <w:rFonts w:ascii="StarSymbol" w:hAnsi="StarSymbol" w:cs="StarSymbol"/>
      <w:sz w:val="18"/>
      <w:szCs w:val="18"/>
    </w:rPr>
  </w:style>
  <w:style w:type="character" w:customStyle="1" w:styleId="WW8Num24z0">
    <w:name w:val="WW8Num24z0"/>
    <w:rsid w:val="006134ED"/>
    <w:rPr>
      <w:rFonts w:ascii="Wingdings" w:hAnsi="Wingdings" w:cs="StarSymbol"/>
      <w:sz w:val="18"/>
      <w:szCs w:val="18"/>
    </w:rPr>
  </w:style>
  <w:style w:type="character" w:customStyle="1" w:styleId="WW8Num24z1">
    <w:name w:val="WW8Num24z1"/>
    <w:rsid w:val="006134ED"/>
    <w:rPr>
      <w:rFonts w:ascii="Wingdings 2" w:hAnsi="Wingdings 2" w:cs="StarSymbol"/>
      <w:sz w:val="18"/>
      <w:szCs w:val="18"/>
    </w:rPr>
  </w:style>
  <w:style w:type="character" w:customStyle="1" w:styleId="WW8Num24z2">
    <w:name w:val="WW8Num24z2"/>
    <w:rsid w:val="006134ED"/>
    <w:rPr>
      <w:rFonts w:ascii="StarSymbol" w:hAnsi="StarSymbol" w:cs="StarSymbol"/>
      <w:sz w:val="18"/>
      <w:szCs w:val="18"/>
    </w:rPr>
  </w:style>
  <w:style w:type="character" w:customStyle="1" w:styleId="WW8Num26z0">
    <w:name w:val="WW8Num26z0"/>
    <w:rsid w:val="006134ED"/>
    <w:rPr>
      <w:rFonts w:ascii="Symbol" w:hAnsi="Symbol" w:cs="Symbol"/>
    </w:rPr>
  </w:style>
  <w:style w:type="character" w:customStyle="1" w:styleId="WW8Num26z1">
    <w:name w:val="WW8Num26z1"/>
    <w:rsid w:val="006134ED"/>
    <w:rPr>
      <w:rFonts w:ascii="Courier New" w:hAnsi="Courier New" w:cs="Courier New"/>
    </w:rPr>
  </w:style>
  <w:style w:type="character" w:customStyle="1" w:styleId="WW8Num26z2">
    <w:name w:val="WW8Num26z2"/>
    <w:rsid w:val="006134ED"/>
    <w:rPr>
      <w:rFonts w:ascii="Wingdings" w:hAnsi="Wingdings" w:cs="Wingdings"/>
    </w:rPr>
  </w:style>
  <w:style w:type="character" w:customStyle="1" w:styleId="WW8Num27z0">
    <w:name w:val="WW8Num27z0"/>
    <w:rsid w:val="006134ED"/>
    <w:rPr>
      <w:rFonts w:ascii="Symbol" w:hAnsi="Symbol" w:cs="Symbol"/>
    </w:rPr>
  </w:style>
  <w:style w:type="character" w:customStyle="1" w:styleId="WW8Num27z1">
    <w:name w:val="WW8Num27z1"/>
    <w:rsid w:val="006134ED"/>
    <w:rPr>
      <w:rFonts w:ascii="Courier New" w:hAnsi="Courier New" w:cs="Courier New"/>
    </w:rPr>
  </w:style>
  <w:style w:type="character" w:customStyle="1" w:styleId="WW8Num27z2">
    <w:name w:val="WW8Num27z2"/>
    <w:rsid w:val="006134ED"/>
    <w:rPr>
      <w:rFonts w:ascii="Wingdings" w:hAnsi="Wingdings" w:cs="Wingdings"/>
    </w:rPr>
  </w:style>
  <w:style w:type="character" w:customStyle="1" w:styleId="WW8Num28z0">
    <w:name w:val="WW8Num28z0"/>
    <w:rsid w:val="006134ED"/>
    <w:rPr>
      <w:rFonts w:ascii="Wingdings" w:hAnsi="Wingdings" w:cs="StarSymbol"/>
      <w:sz w:val="18"/>
      <w:szCs w:val="18"/>
    </w:rPr>
  </w:style>
  <w:style w:type="character" w:customStyle="1" w:styleId="WW8Num28z1">
    <w:name w:val="WW8Num28z1"/>
    <w:rsid w:val="006134ED"/>
    <w:rPr>
      <w:rFonts w:ascii="Wingdings 2" w:hAnsi="Wingdings 2" w:cs="StarSymbol"/>
      <w:sz w:val="18"/>
      <w:szCs w:val="18"/>
    </w:rPr>
  </w:style>
  <w:style w:type="character" w:customStyle="1" w:styleId="WW8Num28z2">
    <w:name w:val="WW8Num28z2"/>
    <w:rsid w:val="006134ED"/>
    <w:rPr>
      <w:rFonts w:ascii="StarSymbol" w:hAnsi="StarSymbol" w:cs="StarSymbol"/>
      <w:sz w:val="18"/>
      <w:szCs w:val="18"/>
    </w:rPr>
  </w:style>
  <w:style w:type="character" w:customStyle="1" w:styleId="WW8Num30z0">
    <w:name w:val="WW8Num30z0"/>
    <w:rsid w:val="006134ED"/>
    <w:rPr>
      <w:rFonts w:ascii="Wingdings" w:hAnsi="Wingdings" w:cs="StarSymbol"/>
      <w:sz w:val="18"/>
      <w:szCs w:val="18"/>
    </w:rPr>
  </w:style>
  <w:style w:type="character" w:customStyle="1" w:styleId="WW8Num30z1">
    <w:name w:val="WW8Num30z1"/>
    <w:rsid w:val="006134ED"/>
    <w:rPr>
      <w:rFonts w:ascii="Wingdings 2" w:hAnsi="Wingdings 2" w:cs="StarSymbol"/>
      <w:sz w:val="18"/>
      <w:szCs w:val="18"/>
    </w:rPr>
  </w:style>
  <w:style w:type="character" w:customStyle="1" w:styleId="WW8Num30z2">
    <w:name w:val="WW8Num30z2"/>
    <w:rsid w:val="006134ED"/>
    <w:rPr>
      <w:rFonts w:ascii="StarSymbol" w:hAnsi="StarSymbol" w:cs="StarSymbol"/>
      <w:sz w:val="18"/>
      <w:szCs w:val="18"/>
    </w:rPr>
  </w:style>
  <w:style w:type="character" w:customStyle="1" w:styleId="WW8Num32z0">
    <w:name w:val="WW8Num32z0"/>
    <w:rsid w:val="006134ED"/>
    <w:rPr>
      <w:rFonts w:ascii="Wingdings" w:hAnsi="Wingdings" w:cs="StarSymbol"/>
      <w:sz w:val="18"/>
      <w:szCs w:val="18"/>
    </w:rPr>
  </w:style>
  <w:style w:type="character" w:customStyle="1" w:styleId="WW8Num32z1">
    <w:name w:val="WW8Num32z1"/>
    <w:rsid w:val="006134ED"/>
    <w:rPr>
      <w:rFonts w:ascii="Wingdings 2" w:hAnsi="Wingdings 2" w:cs="StarSymbol"/>
      <w:sz w:val="18"/>
      <w:szCs w:val="18"/>
    </w:rPr>
  </w:style>
  <w:style w:type="character" w:customStyle="1" w:styleId="WW8Num32z2">
    <w:name w:val="WW8Num32z2"/>
    <w:rsid w:val="006134ED"/>
    <w:rPr>
      <w:rFonts w:ascii="StarSymbol" w:hAnsi="StarSymbol" w:cs="StarSymbol"/>
      <w:sz w:val="18"/>
      <w:szCs w:val="18"/>
    </w:rPr>
  </w:style>
  <w:style w:type="character" w:customStyle="1" w:styleId="WW8Num34z0">
    <w:name w:val="WW8Num34z0"/>
    <w:rsid w:val="006134ED"/>
    <w:rPr>
      <w:rFonts w:ascii="Wingdings" w:hAnsi="Wingdings" w:cs="StarSymbol"/>
      <w:sz w:val="18"/>
      <w:szCs w:val="18"/>
    </w:rPr>
  </w:style>
  <w:style w:type="character" w:customStyle="1" w:styleId="WW8Num34z1">
    <w:name w:val="WW8Num34z1"/>
    <w:rsid w:val="006134ED"/>
    <w:rPr>
      <w:rFonts w:ascii="Wingdings 2" w:hAnsi="Wingdings 2" w:cs="StarSymbol"/>
      <w:sz w:val="18"/>
      <w:szCs w:val="18"/>
    </w:rPr>
  </w:style>
  <w:style w:type="character" w:customStyle="1" w:styleId="WW8Num34z2">
    <w:name w:val="WW8Num34z2"/>
    <w:rsid w:val="006134ED"/>
    <w:rPr>
      <w:rFonts w:ascii="StarSymbol" w:hAnsi="StarSymbol" w:cs="StarSymbol"/>
      <w:sz w:val="18"/>
      <w:szCs w:val="18"/>
    </w:rPr>
  </w:style>
  <w:style w:type="character" w:customStyle="1" w:styleId="WW8Num36z0">
    <w:name w:val="WW8Num36z0"/>
    <w:rsid w:val="006134ED"/>
    <w:rPr>
      <w:rFonts w:ascii="Wingdings" w:hAnsi="Wingdings" w:cs="StarSymbol"/>
      <w:sz w:val="18"/>
      <w:szCs w:val="18"/>
    </w:rPr>
  </w:style>
  <w:style w:type="character" w:customStyle="1" w:styleId="WW8Num36z1">
    <w:name w:val="WW8Num36z1"/>
    <w:rsid w:val="006134ED"/>
    <w:rPr>
      <w:rFonts w:ascii="Wingdings 2" w:hAnsi="Wingdings 2" w:cs="StarSymbol"/>
      <w:sz w:val="18"/>
      <w:szCs w:val="18"/>
    </w:rPr>
  </w:style>
  <w:style w:type="character" w:customStyle="1" w:styleId="WW8Num36z2">
    <w:name w:val="WW8Num36z2"/>
    <w:rsid w:val="006134ED"/>
    <w:rPr>
      <w:rFonts w:ascii="StarSymbol" w:hAnsi="StarSymbol" w:cs="StarSymbol"/>
      <w:sz w:val="18"/>
      <w:szCs w:val="18"/>
    </w:rPr>
  </w:style>
  <w:style w:type="character" w:customStyle="1" w:styleId="StyleItalic">
    <w:name w:val="Style Italic"/>
    <w:rsid w:val="006134ED"/>
  </w:style>
  <w:style w:type="character" w:customStyle="1" w:styleId="NumberingSymbols">
    <w:name w:val="Numbering Symbols"/>
    <w:rsid w:val="006134ED"/>
  </w:style>
  <w:style w:type="character" w:customStyle="1" w:styleId="WW-DefaultParagraphFont">
    <w:name w:val="WW-Default Paragraph Font"/>
    <w:rsid w:val="006134ED"/>
  </w:style>
  <w:style w:type="character" w:customStyle="1" w:styleId="RTFNum61">
    <w:name w:val="RTF_Num 6 1"/>
    <w:rsid w:val="006134ED"/>
  </w:style>
  <w:style w:type="character" w:customStyle="1" w:styleId="RTFNum62">
    <w:name w:val="RTF_Num 6 2"/>
    <w:rsid w:val="006134ED"/>
  </w:style>
  <w:style w:type="character" w:customStyle="1" w:styleId="RTFNum63">
    <w:name w:val="RTF_Num 6 3"/>
    <w:rsid w:val="006134ED"/>
  </w:style>
  <w:style w:type="character" w:customStyle="1" w:styleId="RTFNum64">
    <w:name w:val="RTF_Num 6 4"/>
    <w:rsid w:val="006134ED"/>
  </w:style>
  <w:style w:type="character" w:customStyle="1" w:styleId="RTFNum65">
    <w:name w:val="RTF_Num 6 5"/>
    <w:rsid w:val="006134ED"/>
  </w:style>
  <w:style w:type="character" w:customStyle="1" w:styleId="RTFNum66">
    <w:name w:val="RTF_Num 6 6"/>
    <w:rsid w:val="006134ED"/>
  </w:style>
  <w:style w:type="character" w:customStyle="1" w:styleId="RTFNum67">
    <w:name w:val="RTF_Num 6 7"/>
    <w:rsid w:val="006134ED"/>
  </w:style>
  <w:style w:type="character" w:customStyle="1" w:styleId="RTFNum68">
    <w:name w:val="RTF_Num 6 8"/>
    <w:rsid w:val="006134ED"/>
  </w:style>
  <w:style w:type="character" w:customStyle="1" w:styleId="RTFNum69">
    <w:name w:val="RTF_Num 6 9"/>
    <w:rsid w:val="006134ED"/>
  </w:style>
  <w:style w:type="character" w:customStyle="1" w:styleId="RTFNum41">
    <w:name w:val="RTF_Num 4 1"/>
    <w:rsid w:val="006134ED"/>
    <w:rPr>
      <w:rFonts w:ascii="Symbol" w:eastAsia="Symbol" w:hAnsi="Symbol" w:cs="Symbol"/>
    </w:rPr>
  </w:style>
  <w:style w:type="character" w:customStyle="1" w:styleId="RTFNum42">
    <w:name w:val="RTF_Num 4 2"/>
    <w:rsid w:val="006134ED"/>
    <w:rPr>
      <w:rFonts w:ascii="Courier New" w:eastAsia="Courier New" w:hAnsi="Courier New" w:cs="Courier New"/>
    </w:rPr>
  </w:style>
  <w:style w:type="character" w:customStyle="1" w:styleId="RTFNum43">
    <w:name w:val="RTF_Num 4 3"/>
    <w:rsid w:val="006134ED"/>
    <w:rPr>
      <w:rFonts w:ascii="Wingdings" w:eastAsia="Wingdings" w:hAnsi="Wingdings" w:cs="Wingdings"/>
    </w:rPr>
  </w:style>
  <w:style w:type="character" w:customStyle="1" w:styleId="RTFNum44">
    <w:name w:val="RTF_Num 4 4"/>
    <w:rsid w:val="006134ED"/>
    <w:rPr>
      <w:rFonts w:ascii="Symbol" w:eastAsia="Symbol" w:hAnsi="Symbol" w:cs="Symbol"/>
    </w:rPr>
  </w:style>
  <w:style w:type="character" w:customStyle="1" w:styleId="RTFNum45">
    <w:name w:val="RTF_Num 4 5"/>
    <w:rsid w:val="006134ED"/>
    <w:rPr>
      <w:rFonts w:ascii="Courier New" w:eastAsia="Courier New" w:hAnsi="Courier New" w:cs="Courier New"/>
    </w:rPr>
  </w:style>
  <w:style w:type="character" w:customStyle="1" w:styleId="RTFNum46">
    <w:name w:val="RTF_Num 4 6"/>
    <w:rsid w:val="006134ED"/>
    <w:rPr>
      <w:rFonts w:ascii="Wingdings" w:eastAsia="Wingdings" w:hAnsi="Wingdings" w:cs="Wingdings"/>
    </w:rPr>
  </w:style>
  <w:style w:type="character" w:customStyle="1" w:styleId="RTFNum47">
    <w:name w:val="RTF_Num 4 7"/>
    <w:rsid w:val="006134ED"/>
    <w:rPr>
      <w:rFonts w:ascii="Symbol" w:eastAsia="Symbol" w:hAnsi="Symbol" w:cs="Symbol"/>
    </w:rPr>
  </w:style>
  <w:style w:type="character" w:customStyle="1" w:styleId="RTFNum48">
    <w:name w:val="RTF_Num 4 8"/>
    <w:rsid w:val="006134ED"/>
    <w:rPr>
      <w:rFonts w:ascii="Courier New" w:eastAsia="Courier New" w:hAnsi="Courier New" w:cs="Courier New"/>
    </w:rPr>
  </w:style>
  <w:style w:type="character" w:customStyle="1" w:styleId="RTFNum49">
    <w:name w:val="RTF_Num 4 9"/>
    <w:rsid w:val="006134ED"/>
    <w:rPr>
      <w:rFonts w:ascii="Wingdings" w:eastAsia="Wingdings" w:hAnsi="Wingdings" w:cs="Wingdings"/>
    </w:rPr>
  </w:style>
  <w:style w:type="character" w:customStyle="1" w:styleId="RTFNum21">
    <w:name w:val="RTF_Num 2 1"/>
    <w:rsid w:val="006134ED"/>
    <w:rPr>
      <w:rFonts w:ascii="Symbol" w:eastAsia="Symbol" w:hAnsi="Symbol" w:cs="Symbol"/>
    </w:rPr>
  </w:style>
  <w:style w:type="character" w:customStyle="1" w:styleId="RTFNum22">
    <w:name w:val="RTF_Num 2 2"/>
    <w:rsid w:val="006134ED"/>
    <w:rPr>
      <w:rFonts w:ascii="Courier New" w:eastAsia="Courier New" w:hAnsi="Courier New" w:cs="Courier New"/>
    </w:rPr>
  </w:style>
  <w:style w:type="character" w:customStyle="1" w:styleId="RTFNum23">
    <w:name w:val="RTF_Num 2 3"/>
    <w:rsid w:val="006134ED"/>
    <w:rPr>
      <w:rFonts w:ascii="Wingdings" w:eastAsia="Wingdings" w:hAnsi="Wingdings" w:cs="Wingdings"/>
    </w:rPr>
  </w:style>
  <w:style w:type="character" w:customStyle="1" w:styleId="RTFNum24">
    <w:name w:val="RTF_Num 2 4"/>
    <w:rsid w:val="006134ED"/>
    <w:rPr>
      <w:rFonts w:ascii="Symbol" w:eastAsia="Symbol" w:hAnsi="Symbol" w:cs="Symbol"/>
    </w:rPr>
  </w:style>
  <w:style w:type="character" w:customStyle="1" w:styleId="RTFNum25">
    <w:name w:val="RTF_Num 2 5"/>
    <w:rsid w:val="006134ED"/>
    <w:rPr>
      <w:rFonts w:ascii="Courier New" w:eastAsia="Courier New" w:hAnsi="Courier New" w:cs="Courier New"/>
    </w:rPr>
  </w:style>
  <w:style w:type="character" w:customStyle="1" w:styleId="RTFNum26">
    <w:name w:val="RTF_Num 2 6"/>
    <w:rsid w:val="006134ED"/>
    <w:rPr>
      <w:rFonts w:ascii="Wingdings" w:eastAsia="Wingdings" w:hAnsi="Wingdings" w:cs="Wingdings"/>
    </w:rPr>
  </w:style>
  <w:style w:type="character" w:customStyle="1" w:styleId="RTFNum27">
    <w:name w:val="RTF_Num 2 7"/>
    <w:rsid w:val="006134ED"/>
    <w:rPr>
      <w:rFonts w:ascii="Symbol" w:eastAsia="Symbol" w:hAnsi="Symbol" w:cs="Symbol"/>
    </w:rPr>
  </w:style>
  <w:style w:type="character" w:customStyle="1" w:styleId="RTFNum28">
    <w:name w:val="RTF_Num 2 8"/>
    <w:rsid w:val="006134ED"/>
    <w:rPr>
      <w:rFonts w:ascii="Courier New" w:eastAsia="Courier New" w:hAnsi="Courier New" w:cs="Courier New"/>
    </w:rPr>
  </w:style>
  <w:style w:type="character" w:customStyle="1" w:styleId="RTFNum29">
    <w:name w:val="RTF_Num 2 9"/>
    <w:rsid w:val="006134ED"/>
    <w:rPr>
      <w:rFonts w:ascii="Wingdings" w:eastAsia="Wingdings" w:hAnsi="Wingdings" w:cs="Wingdings"/>
    </w:rPr>
  </w:style>
  <w:style w:type="character" w:customStyle="1" w:styleId="FootnoteCharacters">
    <w:name w:val="Footnote Characters"/>
    <w:rsid w:val="006134ED"/>
  </w:style>
  <w:style w:type="character" w:customStyle="1" w:styleId="EndnoteCharacters">
    <w:name w:val="Endnote Characters"/>
    <w:rsid w:val="006134ED"/>
    <w:rPr>
      <w:vertAlign w:val="superscript"/>
    </w:rPr>
  </w:style>
  <w:style w:type="character" w:customStyle="1" w:styleId="WW-EndnoteCharacters">
    <w:name w:val="WW-Endnote Characters"/>
    <w:rsid w:val="006134ED"/>
  </w:style>
  <w:style w:type="character" w:customStyle="1" w:styleId="WW-StrongEmphasis">
    <w:name w:val="WW-Strong Emphasis"/>
    <w:basedOn w:val="Tipodeletrapredefinidodopargrafo"/>
    <w:rsid w:val="006134ED"/>
    <w:rPr>
      <w:b/>
      <w:bCs/>
      <w:sz w:val="24"/>
    </w:rPr>
  </w:style>
  <w:style w:type="paragraph" w:customStyle="1" w:styleId="Heading">
    <w:name w:val="Heading"/>
    <w:basedOn w:val="Normal"/>
    <w:next w:val="Corpodetexto"/>
    <w:rsid w:val="006134ED"/>
    <w:pPr>
      <w:keepNext/>
      <w:widowControl w:val="0"/>
      <w:suppressAutoHyphens/>
    </w:pPr>
    <w:rPr>
      <w:rFonts w:eastAsia="DejaVu Sans" w:cs="DejaVu Sans"/>
      <w:kern w:val="1"/>
      <w:sz w:val="28"/>
      <w:szCs w:val="28"/>
    </w:rPr>
  </w:style>
  <w:style w:type="paragraph" w:styleId="Lista">
    <w:name w:val="List"/>
    <w:basedOn w:val="Corpodetexto"/>
    <w:locked/>
    <w:rsid w:val="006134ED"/>
    <w:pPr>
      <w:widowControl w:val="0"/>
      <w:suppressAutoHyphens/>
      <w:spacing w:before="0"/>
    </w:pPr>
    <w:rPr>
      <w:rFonts w:ascii="Times New Roman" w:eastAsia="DejaVu Sans" w:hAnsi="Times New Roman"/>
      <w:kern w:val="1"/>
      <w:szCs w:val="24"/>
    </w:rPr>
  </w:style>
  <w:style w:type="paragraph" w:customStyle="1" w:styleId="Index">
    <w:name w:val="Index"/>
    <w:basedOn w:val="Normal"/>
    <w:rsid w:val="006134ED"/>
    <w:pPr>
      <w:widowControl w:val="0"/>
      <w:suppressLineNumbers/>
      <w:suppressAutoHyphens/>
      <w:spacing w:before="0" w:after="0"/>
    </w:pPr>
    <w:rPr>
      <w:rFonts w:ascii="Times New Roman" w:eastAsia="DejaVu Sans" w:hAnsi="Times New Roman"/>
      <w:kern w:val="1"/>
      <w:szCs w:val="24"/>
    </w:rPr>
  </w:style>
  <w:style w:type="paragraph" w:customStyle="1" w:styleId="BankNormalChar">
    <w:name w:val="BankNormal Char"/>
    <w:basedOn w:val="Normal"/>
    <w:rsid w:val="006134ED"/>
    <w:pPr>
      <w:widowControl w:val="0"/>
      <w:suppressAutoHyphens/>
      <w:overflowPunct w:val="0"/>
      <w:autoSpaceDE w:val="0"/>
      <w:spacing w:before="0"/>
      <w:textAlignment w:val="baseline"/>
    </w:pPr>
    <w:rPr>
      <w:rFonts w:ascii="Times New Roman" w:eastAsia="DejaVu Sans" w:hAnsi="Times New Roman"/>
      <w:kern w:val="1"/>
      <w:szCs w:val="24"/>
    </w:rPr>
  </w:style>
  <w:style w:type="paragraph" w:customStyle="1" w:styleId="Text0">
    <w:name w:val="Text"/>
    <w:basedOn w:val="Legenda"/>
    <w:link w:val="TextChar"/>
    <w:rsid w:val="006134ED"/>
    <w:pPr>
      <w:widowControl w:val="0"/>
      <w:suppressLineNumbers/>
      <w:suppressAutoHyphens/>
    </w:pPr>
    <w:rPr>
      <w:rFonts w:ascii="Times New Roman" w:eastAsia="DejaVu Sans" w:hAnsi="Times New Roman"/>
      <w:b w:val="0"/>
      <w:bCs w:val="0"/>
      <w:i/>
      <w:iCs/>
      <w:kern w:val="1"/>
      <w:sz w:val="24"/>
      <w:szCs w:val="24"/>
    </w:rPr>
  </w:style>
  <w:style w:type="character" w:customStyle="1" w:styleId="TextChar">
    <w:name w:val="Text Char"/>
    <w:basedOn w:val="CorpodetextoCarter"/>
    <w:link w:val="Text0"/>
    <w:rsid w:val="00FF780D"/>
    <w:rPr>
      <w:rFonts w:ascii="Times New Roman" w:eastAsia="DejaVu Sans" w:hAnsi="Times New Roman" w:cs="Times New Roman"/>
      <w:i/>
      <w:iCs/>
      <w:kern w:val="1"/>
      <w:sz w:val="24"/>
      <w:szCs w:val="24"/>
      <w:lang w:val="en-GB" w:eastAsia="en-GB"/>
    </w:rPr>
  </w:style>
  <w:style w:type="paragraph" w:customStyle="1" w:styleId="TableContents">
    <w:name w:val="Table Contents"/>
    <w:basedOn w:val="Normal"/>
    <w:rsid w:val="006134ED"/>
    <w:pPr>
      <w:widowControl w:val="0"/>
      <w:suppressLineNumbers/>
      <w:suppressAutoHyphens/>
      <w:spacing w:before="0" w:after="0"/>
    </w:pPr>
    <w:rPr>
      <w:rFonts w:ascii="Times New Roman" w:eastAsia="DejaVu Sans" w:hAnsi="Times New Roman"/>
      <w:kern w:val="1"/>
      <w:szCs w:val="24"/>
    </w:rPr>
  </w:style>
  <w:style w:type="paragraph" w:customStyle="1" w:styleId="StyleItalicBefore6ptAfter6pt">
    <w:name w:val="Style Italic Before:  6 pt After:  6 pt"/>
    <w:basedOn w:val="Normal"/>
    <w:rsid w:val="006134ED"/>
    <w:pPr>
      <w:widowControl w:val="0"/>
      <w:suppressAutoHyphens/>
      <w:spacing w:before="60" w:after="60"/>
    </w:pPr>
    <w:rPr>
      <w:rFonts w:ascii="Times New Roman" w:eastAsia="DejaVu Sans" w:hAnsi="Times New Roman"/>
      <w:i/>
      <w:iCs/>
      <w:kern w:val="1"/>
      <w:szCs w:val="24"/>
    </w:rPr>
  </w:style>
  <w:style w:type="paragraph" w:customStyle="1" w:styleId="Numbering2Continue">
    <w:name w:val="Numbering 2 Continue"/>
    <w:basedOn w:val="Lista"/>
    <w:rsid w:val="006134ED"/>
    <w:pPr>
      <w:ind w:left="720"/>
    </w:pPr>
  </w:style>
  <w:style w:type="paragraph" w:customStyle="1" w:styleId="Numbering1">
    <w:name w:val="Numbering 1"/>
    <w:basedOn w:val="Lista"/>
    <w:rsid w:val="006134ED"/>
    <w:pPr>
      <w:ind w:left="360" w:hanging="360"/>
    </w:pPr>
  </w:style>
  <w:style w:type="paragraph" w:customStyle="1" w:styleId="Numbering1Continue">
    <w:name w:val="Numbering 1 Continue"/>
    <w:basedOn w:val="Lista"/>
    <w:rsid w:val="006134ED"/>
    <w:pPr>
      <w:ind w:left="360"/>
    </w:pPr>
  </w:style>
  <w:style w:type="paragraph" w:customStyle="1" w:styleId="Numbering1End">
    <w:name w:val="Numbering 1 End"/>
    <w:basedOn w:val="Lista"/>
    <w:rsid w:val="006134ED"/>
    <w:pPr>
      <w:spacing w:after="240"/>
      <w:ind w:left="360" w:hanging="360"/>
    </w:pPr>
  </w:style>
  <w:style w:type="paragraph" w:customStyle="1" w:styleId="Numbering1Start">
    <w:name w:val="Numbering 1 Start"/>
    <w:basedOn w:val="Lista"/>
    <w:rsid w:val="006134ED"/>
    <w:pPr>
      <w:spacing w:before="240"/>
      <w:ind w:left="360" w:hanging="360"/>
    </w:pPr>
  </w:style>
  <w:style w:type="paragraph" w:customStyle="1" w:styleId="BodyAndIndent">
    <w:name w:val="BodyAndIndent"/>
    <w:basedOn w:val="Normal"/>
    <w:rsid w:val="006134ED"/>
    <w:pPr>
      <w:widowControl w:val="0"/>
      <w:tabs>
        <w:tab w:val="left" w:pos="0"/>
      </w:tabs>
      <w:suppressAutoHyphens/>
      <w:spacing w:before="180" w:after="0" w:line="280" w:lineRule="exact"/>
    </w:pPr>
    <w:rPr>
      <w:rFonts w:ascii="Century Schoolbook" w:eastAsia="Century Schoolbook" w:hAnsi="Century Schoolbook" w:cs="Century Schoolbook"/>
      <w:kern w:val="1"/>
    </w:rPr>
  </w:style>
  <w:style w:type="paragraph" w:customStyle="1" w:styleId="ProjectFrameworkOutputs">
    <w:name w:val="ProjectFrameworkOutputs"/>
    <w:basedOn w:val="Normal"/>
    <w:rsid w:val="006134ED"/>
    <w:pPr>
      <w:widowControl w:val="0"/>
      <w:tabs>
        <w:tab w:val="left" w:pos="270"/>
      </w:tabs>
      <w:suppressAutoHyphens/>
      <w:overflowPunct w:val="0"/>
      <w:autoSpaceDE w:val="0"/>
      <w:spacing w:before="0" w:after="60"/>
      <w:textAlignment w:val="baseline"/>
    </w:pPr>
    <w:rPr>
      <w:rFonts w:eastAsia="Arial"/>
      <w:kern w:val="1"/>
    </w:rPr>
  </w:style>
  <w:style w:type="paragraph" w:styleId="Textodenotadefim">
    <w:name w:val="endnote text"/>
    <w:basedOn w:val="Normal"/>
    <w:link w:val="TextodenotadefimCarter"/>
    <w:semiHidden/>
    <w:locked/>
    <w:rsid w:val="006134ED"/>
    <w:pPr>
      <w:widowControl w:val="0"/>
      <w:autoSpaceDE w:val="0"/>
      <w:spacing w:before="0" w:after="0"/>
    </w:pPr>
    <w:rPr>
      <w:rFonts w:ascii="Courier New" w:hAnsi="Courier New" w:cs="Courier New"/>
      <w:kern w:val="1"/>
      <w:szCs w:val="24"/>
    </w:rPr>
  </w:style>
  <w:style w:type="character" w:customStyle="1" w:styleId="TextodenotadefimCarter">
    <w:name w:val="Texto de nota de fim Caráter"/>
    <w:basedOn w:val="Tipodeletrapredefinidodopargrafo"/>
    <w:link w:val="Textodenotadefim"/>
    <w:semiHidden/>
    <w:rsid w:val="006134ED"/>
    <w:rPr>
      <w:rFonts w:ascii="Courier New" w:eastAsia="Times New Roman" w:hAnsi="Courier New" w:cs="Courier New"/>
      <w:kern w:val="1"/>
      <w:sz w:val="24"/>
      <w:szCs w:val="24"/>
      <w:lang w:val="en-US"/>
    </w:rPr>
  </w:style>
  <w:style w:type="paragraph" w:customStyle="1" w:styleId="Contents10">
    <w:name w:val="Contents 10"/>
    <w:basedOn w:val="Index"/>
    <w:rsid w:val="006134ED"/>
    <w:pPr>
      <w:tabs>
        <w:tab w:val="right" w:leader="dot" w:pos="9637"/>
      </w:tabs>
      <w:ind w:left="2547"/>
    </w:pPr>
  </w:style>
  <w:style w:type="paragraph" w:customStyle="1" w:styleId="TableHeading">
    <w:name w:val="Table Heading"/>
    <w:basedOn w:val="TableContents"/>
    <w:rsid w:val="006134ED"/>
    <w:pPr>
      <w:jc w:val="center"/>
    </w:pPr>
    <w:rPr>
      <w:b/>
      <w:bCs/>
    </w:rPr>
  </w:style>
  <w:style w:type="paragraph" w:customStyle="1" w:styleId="Framecontents">
    <w:name w:val="Frame contents"/>
    <w:basedOn w:val="Corpodetexto"/>
    <w:rsid w:val="006134ED"/>
    <w:pPr>
      <w:widowControl w:val="0"/>
      <w:suppressAutoHyphens/>
      <w:spacing w:before="0"/>
    </w:pPr>
    <w:rPr>
      <w:rFonts w:ascii="Times New Roman" w:eastAsia="DejaVu Sans" w:hAnsi="Times New Roman"/>
      <w:kern w:val="1"/>
      <w:szCs w:val="24"/>
    </w:rPr>
  </w:style>
  <w:style w:type="character" w:customStyle="1" w:styleId="StrongEmphasis">
    <w:name w:val="Strong Emphasis"/>
    <w:basedOn w:val="Tipodeletrapredefinidodopargrafo"/>
    <w:rsid w:val="006134ED"/>
    <w:rPr>
      <w:b/>
      <w:bCs/>
      <w:sz w:val="24"/>
    </w:rPr>
  </w:style>
  <w:style w:type="paragraph" w:styleId="Avanodecorpodetexto3">
    <w:name w:val="Body Text Indent 3"/>
    <w:basedOn w:val="Normal"/>
    <w:link w:val="Avanodecorpodetexto3Carter"/>
    <w:locked/>
    <w:rsid w:val="006134ED"/>
    <w:pPr>
      <w:widowControl w:val="0"/>
      <w:suppressAutoHyphens/>
      <w:spacing w:before="0"/>
      <w:ind w:left="720"/>
    </w:pPr>
    <w:rPr>
      <w:rFonts w:ascii="Times New Roman" w:hAnsi="Times New Roman"/>
      <w:snapToGrid w:val="0"/>
      <w:spacing w:val="-3"/>
    </w:rPr>
  </w:style>
  <w:style w:type="character" w:customStyle="1" w:styleId="Avanodecorpodetexto3Carter">
    <w:name w:val="Avanço de corpo de texto 3 Caráter"/>
    <w:basedOn w:val="Tipodeletrapredefinidodopargrafo"/>
    <w:link w:val="Avanodecorpodetexto3"/>
    <w:rsid w:val="006134ED"/>
    <w:rPr>
      <w:rFonts w:ascii="Times New Roman" w:eastAsia="Times New Roman" w:hAnsi="Times New Roman"/>
      <w:snapToGrid w:val="0"/>
      <w:spacing w:val="-3"/>
      <w:sz w:val="24"/>
      <w:lang w:val="en-US" w:eastAsia="en-US"/>
    </w:rPr>
  </w:style>
  <w:style w:type="character" w:customStyle="1" w:styleId="txtminorheading">
    <w:name w:val="txt_minorheading"/>
    <w:basedOn w:val="Tipodeletrapredefinidodopargrafo"/>
    <w:rsid w:val="006134ED"/>
  </w:style>
  <w:style w:type="paragraph" w:customStyle="1" w:styleId="normaltableau">
    <w:name w:val="normal_tableau"/>
    <w:basedOn w:val="Normal"/>
    <w:rsid w:val="006134ED"/>
    <w:rPr>
      <w:rFonts w:ascii="Optima" w:hAnsi="Optima"/>
    </w:rPr>
  </w:style>
  <w:style w:type="paragraph" w:customStyle="1" w:styleId="Char1CharCharChar">
    <w:name w:val="Char1 Char Char Char"/>
    <w:basedOn w:val="Normal"/>
    <w:rsid w:val="006134ED"/>
    <w:pPr>
      <w:spacing w:before="0" w:after="160" w:line="240" w:lineRule="exact"/>
    </w:pPr>
    <w:rPr>
      <w:kern w:val="16"/>
    </w:rPr>
  </w:style>
  <w:style w:type="paragraph" w:customStyle="1" w:styleId="CharCharCharCharCharCharChar">
    <w:name w:val="Char Char Char Char Char Char Char"/>
    <w:basedOn w:val="Normal"/>
    <w:rsid w:val="006134ED"/>
    <w:pPr>
      <w:spacing w:before="0" w:after="160" w:line="240" w:lineRule="exact"/>
    </w:pPr>
  </w:style>
  <w:style w:type="paragraph" w:styleId="ndiceremissivo3">
    <w:name w:val="index 3"/>
    <w:basedOn w:val="Normal"/>
    <w:next w:val="Normal"/>
    <w:autoRedefine/>
    <w:locked/>
    <w:rsid w:val="006134ED"/>
    <w:pPr>
      <w:spacing w:before="0"/>
      <w:ind w:left="660" w:hanging="220"/>
    </w:pPr>
  </w:style>
  <w:style w:type="paragraph" w:customStyle="1" w:styleId="ColorfulList-Accent11">
    <w:name w:val="Colorful List - Accent 11"/>
    <w:basedOn w:val="Normal"/>
    <w:uiPriority w:val="34"/>
    <w:rsid w:val="006134ED"/>
    <w:pPr>
      <w:widowControl w:val="0"/>
      <w:suppressAutoHyphens/>
      <w:spacing w:before="0" w:after="0"/>
      <w:ind w:left="720"/>
      <w:contextualSpacing/>
    </w:pPr>
    <w:rPr>
      <w:rFonts w:ascii="Times New Roman" w:eastAsia="DejaVu Sans" w:hAnsi="Times New Roman"/>
      <w:kern w:val="1"/>
      <w:szCs w:val="24"/>
    </w:rPr>
  </w:style>
  <w:style w:type="paragraph" w:customStyle="1" w:styleId="BodyTextbullet">
    <w:name w:val="Body Text bullet"/>
    <w:basedOn w:val="Normal"/>
    <w:autoRedefine/>
    <w:rsid w:val="000E39E1"/>
  </w:style>
  <w:style w:type="paragraph" w:customStyle="1" w:styleId="FigureBody">
    <w:name w:val="Figure Body"/>
    <w:basedOn w:val="Normal"/>
    <w:rsid w:val="006134ED"/>
    <w:pPr>
      <w:keepNext/>
      <w:keepLines/>
      <w:shd w:val="clear" w:color="FFFF00" w:fill="FFFFFF"/>
      <w:spacing w:before="0" w:after="0"/>
      <w:jc w:val="center"/>
    </w:pPr>
  </w:style>
  <w:style w:type="paragraph" w:customStyle="1" w:styleId="AnnexHeading1">
    <w:name w:val="Annex Heading 1"/>
    <w:basedOn w:val="Ttulo1"/>
    <w:next w:val="Normal"/>
    <w:rsid w:val="006134ED"/>
    <w:pPr>
      <w:tabs>
        <w:tab w:val="num" w:pos="1582"/>
      </w:tabs>
      <w:spacing w:before="360" w:after="120"/>
      <w:ind w:left="1440" w:hanging="1440"/>
      <w:jc w:val="both"/>
    </w:pPr>
    <w:rPr>
      <w:color w:val="auto"/>
      <w:kern w:val="32"/>
      <w:szCs w:val="32"/>
      <w:lang w:eastAsia="en-US"/>
    </w:rPr>
  </w:style>
  <w:style w:type="paragraph" w:customStyle="1" w:styleId="AnnexHeading2">
    <w:name w:val="Annex Heading 2"/>
    <w:basedOn w:val="Ttulo2"/>
    <w:next w:val="Normal"/>
    <w:rsid w:val="006134ED"/>
    <w:pPr>
      <w:numPr>
        <w:ilvl w:val="0"/>
        <w:numId w:val="0"/>
      </w:numPr>
      <w:spacing w:before="300" w:after="100"/>
      <w:jc w:val="both"/>
    </w:pPr>
    <w:rPr>
      <w:bCs/>
      <w:color w:val="auto"/>
      <w:sz w:val="26"/>
      <w:szCs w:val="28"/>
      <w:lang w:eastAsia="en-US"/>
    </w:rPr>
  </w:style>
  <w:style w:type="paragraph" w:customStyle="1" w:styleId="AnnexHeading3">
    <w:name w:val="Annex Heading 3"/>
    <w:basedOn w:val="Ttulo3"/>
    <w:next w:val="Normal"/>
    <w:rsid w:val="006134ED"/>
    <w:pPr>
      <w:spacing w:after="80"/>
      <w:jc w:val="both"/>
    </w:pPr>
    <w:rPr>
      <w:rFonts w:eastAsia="Times New Roman"/>
      <w:color w:val="auto"/>
      <w:sz w:val="24"/>
      <w:szCs w:val="26"/>
      <w:lang w:eastAsia="en-US"/>
    </w:rPr>
  </w:style>
  <w:style w:type="paragraph" w:customStyle="1" w:styleId="AnnexHeading4">
    <w:name w:val="Annex Heading 4"/>
    <w:basedOn w:val="Ttulo4"/>
    <w:next w:val="Normal"/>
    <w:rsid w:val="006134ED"/>
    <w:pPr>
      <w:widowControl/>
      <w:suppressAutoHyphens w:val="0"/>
      <w:spacing w:before="180" w:after="60"/>
      <w:jc w:val="both"/>
    </w:pPr>
    <w:rPr>
      <w:rFonts w:eastAsia="Times New Roman"/>
      <w:bCs/>
      <w:lang w:val="en-GB" w:eastAsia="en-US"/>
    </w:rPr>
  </w:style>
  <w:style w:type="paragraph" w:styleId="Data">
    <w:name w:val="Date"/>
    <w:basedOn w:val="Normal"/>
    <w:next w:val="Normal"/>
    <w:link w:val="DataCarter"/>
    <w:locked/>
    <w:rsid w:val="006134ED"/>
    <w:pPr>
      <w:spacing w:before="0"/>
    </w:pPr>
  </w:style>
  <w:style w:type="character" w:customStyle="1" w:styleId="DataCarter">
    <w:name w:val="Data Caráter"/>
    <w:basedOn w:val="Tipodeletrapredefinidodopargrafo"/>
    <w:link w:val="Data"/>
    <w:rsid w:val="006134ED"/>
    <w:rPr>
      <w:rFonts w:ascii="Arial" w:eastAsia="Times New Roman" w:hAnsi="Arial"/>
      <w:sz w:val="22"/>
      <w:lang w:val="en-GB" w:eastAsia="en-US"/>
    </w:rPr>
  </w:style>
  <w:style w:type="paragraph" w:customStyle="1" w:styleId="heading0">
    <w:name w:val="heading"/>
    <w:basedOn w:val="UnnumberedHeading1"/>
    <w:next w:val="Normal"/>
    <w:rsid w:val="006134ED"/>
  </w:style>
  <w:style w:type="paragraph" w:customStyle="1" w:styleId="UnnumberedHeading1">
    <w:name w:val="Unnumbered Heading 1"/>
    <w:basedOn w:val="Ttulo1"/>
    <w:next w:val="Normal"/>
    <w:rsid w:val="006134ED"/>
    <w:pPr>
      <w:spacing w:before="360" w:after="120"/>
      <w:jc w:val="both"/>
    </w:pPr>
    <w:rPr>
      <w:color w:val="auto"/>
      <w:kern w:val="32"/>
      <w:szCs w:val="32"/>
      <w:lang w:val="en-US" w:eastAsia="en-US"/>
    </w:rPr>
  </w:style>
  <w:style w:type="paragraph" w:styleId="Listacommarcas2">
    <w:name w:val="List Bullet 2"/>
    <w:basedOn w:val="Normal"/>
    <w:locked/>
    <w:rsid w:val="006134ED"/>
    <w:pPr>
      <w:tabs>
        <w:tab w:val="num" w:pos="567"/>
      </w:tabs>
      <w:spacing w:before="0"/>
      <w:ind w:left="568" w:hanging="284"/>
    </w:pPr>
  </w:style>
  <w:style w:type="paragraph" w:styleId="Listanumerada2">
    <w:name w:val="List Number 2"/>
    <w:basedOn w:val="Normal"/>
    <w:autoRedefine/>
    <w:locked/>
    <w:rsid w:val="006134ED"/>
    <w:pPr>
      <w:tabs>
        <w:tab w:val="num" w:pos="284"/>
      </w:tabs>
      <w:spacing w:before="0"/>
      <w:ind w:left="567" w:hanging="283"/>
    </w:pPr>
  </w:style>
  <w:style w:type="paragraph" w:styleId="Listacommarcas3">
    <w:name w:val="List Bullet 3"/>
    <w:basedOn w:val="Normal"/>
    <w:autoRedefine/>
    <w:locked/>
    <w:rsid w:val="006134ED"/>
    <w:pPr>
      <w:spacing w:before="0"/>
    </w:pPr>
  </w:style>
  <w:style w:type="character" w:styleId="MquinadeescreverHTML">
    <w:name w:val="HTML Typewriter"/>
    <w:basedOn w:val="Tipodeletrapredefinidodopargrafo"/>
    <w:locked/>
    <w:rsid w:val="006134ED"/>
    <w:rPr>
      <w:rFonts w:ascii="Arial Unicode MS" w:eastAsia="Arial Unicode MS" w:hAnsi="Arial Unicode MS" w:cs="Arial Unicode MS"/>
      <w:sz w:val="20"/>
      <w:szCs w:val="20"/>
    </w:rPr>
  </w:style>
  <w:style w:type="paragraph" w:styleId="Textosimples">
    <w:name w:val="Plain Text"/>
    <w:basedOn w:val="Normal"/>
    <w:link w:val="TextosimplesCarter"/>
    <w:locked/>
    <w:rsid w:val="006134ED"/>
    <w:pPr>
      <w:spacing w:before="0" w:after="0"/>
    </w:pPr>
    <w:rPr>
      <w:rFonts w:ascii="Courier New" w:hAnsi="Courier New" w:cs="Courier New"/>
      <w:b/>
      <w:bCs/>
    </w:rPr>
  </w:style>
  <w:style w:type="character" w:customStyle="1" w:styleId="TextosimplesCarter">
    <w:name w:val="Texto simples Caráter"/>
    <w:basedOn w:val="Tipodeletrapredefinidodopargrafo"/>
    <w:link w:val="Textosimples"/>
    <w:rsid w:val="006134ED"/>
    <w:rPr>
      <w:rFonts w:ascii="Courier New" w:eastAsia="Times New Roman" w:hAnsi="Courier New" w:cs="Courier New"/>
      <w:b/>
      <w:bCs/>
      <w:lang w:val="en-GB" w:eastAsia="en-US"/>
    </w:rPr>
  </w:style>
  <w:style w:type="paragraph" w:customStyle="1" w:styleId="UnnumberedHeading2">
    <w:name w:val="Unnumbered Heading 2"/>
    <w:basedOn w:val="Ttulo2"/>
    <w:next w:val="Normal"/>
    <w:rsid w:val="006134ED"/>
    <w:pPr>
      <w:numPr>
        <w:ilvl w:val="0"/>
        <w:numId w:val="0"/>
      </w:numPr>
      <w:spacing w:before="300" w:after="100"/>
      <w:jc w:val="both"/>
    </w:pPr>
    <w:rPr>
      <w:bCs/>
      <w:color w:val="auto"/>
      <w:sz w:val="26"/>
      <w:szCs w:val="28"/>
      <w:lang w:eastAsia="en-US"/>
    </w:rPr>
  </w:style>
  <w:style w:type="paragraph" w:customStyle="1" w:styleId="UnnumberedHeading3">
    <w:name w:val="Unnumbered Heading 3"/>
    <w:basedOn w:val="Ttulo3"/>
    <w:next w:val="Normal"/>
    <w:rsid w:val="006134ED"/>
    <w:pPr>
      <w:spacing w:after="80"/>
      <w:jc w:val="both"/>
    </w:pPr>
    <w:rPr>
      <w:rFonts w:eastAsia="Times New Roman"/>
      <w:bCs/>
      <w:color w:val="auto"/>
      <w:sz w:val="24"/>
      <w:szCs w:val="26"/>
      <w:lang w:eastAsia="en-US"/>
    </w:rPr>
  </w:style>
  <w:style w:type="paragraph" w:styleId="ndiceremissivo1">
    <w:name w:val="index 1"/>
    <w:basedOn w:val="Normal"/>
    <w:next w:val="Normal"/>
    <w:autoRedefine/>
    <w:locked/>
    <w:rsid w:val="006134ED"/>
    <w:pPr>
      <w:widowControl w:val="0"/>
      <w:suppressAutoHyphens/>
      <w:spacing w:before="0" w:after="0"/>
      <w:ind w:left="240" w:hanging="240"/>
    </w:pPr>
    <w:rPr>
      <w:rFonts w:ascii="Times New Roman" w:eastAsia="DejaVu Sans" w:hAnsi="Times New Roman"/>
      <w:kern w:val="1"/>
      <w:szCs w:val="24"/>
    </w:rPr>
  </w:style>
  <w:style w:type="paragraph" w:styleId="Cabealhodendiceremissivo">
    <w:name w:val="index heading"/>
    <w:basedOn w:val="Normal"/>
    <w:next w:val="Normal"/>
    <w:locked/>
    <w:rsid w:val="006134ED"/>
    <w:rPr>
      <w:rFonts w:ascii="Times New Roman" w:eastAsia="MS Mincho" w:hAnsi="Times New Roman"/>
      <w:b/>
      <w:i/>
      <w:lang w:val="en-CA"/>
    </w:rPr>
  </w:style>
  <w:style w:type="paragraph" w:customStyle="1" w:styleId="BodyText">
    <w:name w:val="BodyText"/>
    <w:basedOn w:val="BodyTextbullet"/>
    <w:rsid w:val="000054C4"/>
  </w:style>
  <w:style w:type="paragraph" w:styleId="Textodebloco">
    <w:name w:val="Block Text"/>
    <w:basedOn w:val="Normal"/>
    <w:link w:val="TextodeblocoCarter"/>
    <w:locked/>
    <w:rsid w:val="006134ED"/>
    <w:pPr>
      <w:spacing w:before="0"/>
      <w:ind w:left="1440" w:right="1440"/>
    </w:pPr>
    <w:rPr>
      <w:rFonts w:ascii="Times New Roman" w:eastAsia="MS Mincho" w:hAnsi="Times New Roman"/>
      <w:lang w:val="en-CA"/>
    </w:rPr>
  </w:style>
  <w:style w:type="character" w:customStyle="1" w:styleId="TextodeblocoCarter">
    <w:name w:val="Texto de bloco Caráter"/>
    <w:link w:val="Textodebloco"/>
    <w:rsid w:val="007A6D77"/>
    <w:rPr>
      <w:rFonts w:ascii="Times New Roman" w:eastAsia="MS Mincho" w:hAnsi="Times New Roman" w:cs="Arial"/>
      <w:sz w:val="24"/>
      <w:lang w:val="en-CA" w:eastAsia="en-US"/>
    </w:rPr>
  </w:style>
  <w:style w:type="paragraph" w:styleId="Rematedecarta">
    <w:name w:val="Closing"/>
    <w:basedOn w:val="Normal"/>
    <w:link w:val="RematedecartaCarter"/>
    <w:locked/>
    <w:rsid w:val="006134ED"/>
    <w:pPr>
      <w:spacing w:before="0" w:after="0"/>
      <w:ind w:left="4252"/>
    </w:pPr>
    <w:rPr>
      <w:rFonts w:ascii="Times New Roman" w:eastAsia="MS Mincho" w:hAnsi="Times New Roman"/>
      <w:lang w:val="en-CA"/>
    </w:rPr>
  </w:style>
  <w:style w:type="character" w:customStyle="1" w:styleId="RematedecartaCarter">
    <w:name w:val="Remate de carta Caráter"/>
    <w:basedOn w:val="Tipodeletrapredefinidodopargrafo"/>
    <w:link w:val="Rematedecarta"/>
    <w:rsid w:val="006134ED"/>
    <w:rPr>
      <w:rFonts w:ascii="Times New Roman" w:eastAsia="MS Mincho" w:hAnsi="Times New Roman"/>
      <w:sz w:val="24"/>
      <w:lang w:val="en-CA" w:eastAsia="en-US"/>
    </w:rPr>
  </w:style>
  <w:style w:type="paragraph" w:styleId="Destinatrio">
    <w:name w:val="envelope address"/>
    <w:basedOn w:val="Normal"/>
    <w:locked/>
    <w:rsid w:val="006134ED"/>
    <w:pPr>
      <w:framePr w:w="7920" w:h="1980" w:hRule="exact" w:hSpace="180" w:wrap="auto" w:hAnchor="page" w:xAlign="center" w:yAlign="bottom"/>
      <w:spacing w:before="0" w:after="0"/>
      <w:ind w:left="2880"/>
    </w:pPr>
    <w:rPr>
      <w:rFonts w:eastAsia="MS Mincho"/>
      <w:lang w:val="en-CA"/>
    </w:rPr>
  </w:style>
  <w:style w:type="character" w:styleId="Nmerodelinha">
    <w:name w:val="line number"/>
    <w:basedOn w:val="Tipodeletrapredefinidodopargrafo"/>
    <w:locked/>
    <w:rsid w:val="006134ED"/>
  </w:style>
  <w:style w:type="paragraph" w:styleId="Listacommarcas4">
    <w:name w:val="List Bullet 4"/>
    <w:basedOn w:val="Normal"/>
    <w:autoRedefine/>
    <w:locked/>
    <w:rsid w:val="006134ED"/>
    <w:pPr>
      <w:tabs>
        <w:tab w:val="num" w:pos="1800"/>
      </w:tabs>
      <w:ind w:left="1800" w:hanging="360"/>
    </w:pPr>
    <w:rPr>
      <w:rFonts w:ascii="Times New Roman" w:eastAsia="MS Mincho" w:hAnsi="Times New Roman"/>
      <w:lang w:val="en-CA"/>
    </w:rPr>
  </w:style>
  <w:style w:type="paragraph" w:styleId="Listacommarcas5">
    <w:name w:val="List Bullet 5"/>
    <w:basedOn w:val="Normal"/>
    <w:autoRedefine/>
    <w:locked/>
    <w:rsid w:val="006134ED"/>
    <w:pPr>
      <w:tabs>
        <w:tab w:val="num" w:pos="2520"/>
      </w:tabs>
      <w:ind w:left="2520" w:hanging="360"/>
    </w:pPr>
    <w:rPr>
      <w:rFonts w:ascii="Times New Roman" w:eastAsia="MS Mincho" w:hAnsi="Times New Roman"/>
      <w:lang w:val="en-CA"/>
    </w:rPr>
  </w:style>
  <w:style w:type="paragraph" w:styleId="Listanumerada3">
    <w:name w:val="List Number 3"/>
    <w:basedOn w:val="Normal"/>
    <w:locked/>
    <w:rsid w:val="006134ED"/>
    <w:pPr>
      <w:tabs>
        <w:tab w:val="num" w:pos="1080"/>
      </w:tabs>
      <w:spacing w:before="0" w:after="0"/>
      <w:ind w:left="1080" w:hanging="360"/>
    </w:pPr>
    <w:rPr>
      <w:rFonts w:ascii="Times New Roman" w:eastAsia="MS Mincho" w:hAnsi="Times New Roman"/>
      <w:lang w:val="en-CA"/>
    </w:rPr>
  </w:style>
  <w:style w:type="paragraph" w:styleId="Listanumerada4">
    <w:name w:val="List Number 4"/>
    <w:basedOn w:val="Normal"/>
    <w:locked/>
    <w:rsid w:val="006134ED"/>
    <w:pPr>
      <w:tabs>
        <w:tab w:val="num" w:pos="1440"/>
      </w:tabs>
      <w:spacing w:before="0" w:after="0"/>
      <w:ind w:left="1440" w:hanging="360"/>
    </w:pPr>
    <w:rPr>
      <w:rFonts w:ascii="Times New Roman" w:eastAsia="MS Mincho" w:hAnsi="Times New Roman"/>
      <w:lang w:val="en-CA"/>
    </w:rPr>
  </w:style>
  <w:style w:type="paragraph" w:styleId="Listanumerada5">
    <w:name w:val="List Number 5"/>
    <w:basedOn w:val="Normal"/>
    <w:locked/>
    <w:rsid w:val="006134ED"/>
    <w:pPr>
      <w:tabs>
        <w:tab w:val="num" w:pos="1800"/>
      </w:tabs>
      <w:spacing w:before="0" w:after="0"/>
      <w:ind w:left="1800" w:hanging="360"/>
    </w:pPr>
    <w:rPr>
      <w:rFonts w:ascii="Times New Roman" w:eastAsia="MS Mincho" w:hAnsi="Times New Roman"/>
      <w:lang w:val="en-CA"/>
    </w:rPr>
  </w:style>
  <w:style w:type="paragraph" w:styleId="ndicedeautoridades">
    <w:name w:val="table of authorities"/>
    <w:basedOn w:val="Normal"/>
    <w:next w:val="Normal"/>
    <w:locked/>
    <w:rsid w:val="006134ED"/>
    <w:pPr>
      <w:spacing w:before="0" w:after="0"/>
      <w:ind w:left="240" w:hanging="240"/>
    </w:pPr>
    <w:rPr>
      <w:rFonts w:ascii="Times New Roman" w:eastAsia="MS Mincho" w:hAnsi="Times New Roman"/>
      <w:lang w:val="en-CA"/>
    </w:rPr>
  </w:style>
  <w:style w:type="paragraph" w:styleId="Cabealhodendicedeautoridades">
    <w:name w:val="toa heading"/>
    <w:basedOn w:val="Normal"/>
    <w:next w:val="Normal"/>
    <w:locked/>
    <w:rsid w:val="006134ED"/>
    <w:pPr>
      <w:spacing w:after="0"/>
    </w:pPr>
    <w:rPr>
      <w:rFonts w:eastAsia="MS Mincho"/>
      <w:b/>
      <w:lang w:val="en-CA"/>
    </w:rPr>
  </w:style>
  <w:style w:type="paragraph" w:customStyle="1" w:styleId="Annex1">
    <w:name w:val="Annex 1"/>
    <w:basedOn w:val="Ttulo1"/>
    <w:next w:val="Normal"/>
    <w:rsid w:val="006134ED"/>
    <w:pPr>
      <w:tabs>
        <w:tab w:val="num" w:pos="0"/>
        <w:tab w:val="left" w:pos="499"/>
      </w:tabs>
      <w:spacing w:before="1800" w:after="800" w:line="560" w:lineRule="exact"/>
      <w:ind w:hanging="499"/>
    </w:pPr>
    <w:rPr>
      <w:rFonts w:ascii="Times New Roman" w:eastAsia="MS Mincho" w:hAnsi="Times New Roman"/>
      <w:b w:val="0"/>
      <w:color w:val="auto"/>
      <w:kern w:val="28"/>
      <w:szCs w:val="20"/>
      <w:lang w:eastAsia="en-US"/>
    </w:rPr>
  </w:style>
  <w:style w:type="paragraph" w:customStyle="1" w:styleId="Annex2">
    <w:name w:val="Annex 2"/>
    <w:basedOn w:val="Ttulo2"/>
    <w:next w:val="Normal"/>
    <w:rsid w:val="006134ED"/>
    <w:pPr>
      <w:numPr>
        <w:ilvl w:val="0"/>
        <w:numId w:val="0"/>
      </w:numPr>
      <w:tabs>
        <w:tab w:val="num" w:pos="0"/>
        <w:tab w:val="left" w:pos="499"/>
      </w:tabs>
      <w:spacing w:before="360" w:after="0"/>
      <w:ind w:hanging="499"/>
    </w:pPr>
    <w:rPr>
      <w:rFonts w:ascii="Times New Roman" w:hAnsi="Times New Roman" w:cs="Times New Roman"/>
      <w:iCs/>
      <w:color w:val="auto"/>
      <w:sz w:val="26"/>
      <w:szCs w:val="20"/>
      <w:lang w:eastAsia="en-US"/>
    </w:rPr>
  </w:style>
  <w:style w:type="paragraph" w:customStyle="1" w:styleId="Annex3">
    <w:name w:val="Annex 3"/>
    <w:basedOn w:val="Ttulo3"/>
    <w:next w:val="Normal"/>
    <w:rsid w:val="006134ED"/>
    <w:pPr>
      <w:tabs>
        <w:tab w:val="num" w:pos="0"/>
        <w:tab w:val="left" w:pos="499"/>
      </w:tabs>
      <w:spacing w:before="360" w:after="0"/>
      <w:ind w:hanging="499"/>
      <w:jc w:val="both"/>
    </w:pPr>
    <w:rPr>
      <w:rFonts w:ascii="Times New Roman" w:hAnsi="Times New Roman" w:cs="Times New Roman"/>
      <w:color w:val="auto"/>
      <w:lang w:eastAsia="en-US"/>
    </w:rPr>
  </w:style>
  <w:style w:type="character" w:styleId="AcrnimoHTML">
    <w:name w:val="HTML Acronym"/>
    <w:basedOn w:val="Tipodeletrapredefinidodopargrafo"/>
    <w:locked/>
    <w:rsid w:val="006134ED"/>
  </w:style>
  <w:style w:type="paragraph" w:styleId="EndereoHTML">
    <w:name w:val="HTML Address"/>
    <w:basedOn w:val="Normal"/>
    <w:link w:val="EndereoHTMLCarter"/>
    <w:locked/>
    <w:rsid w:val="006134ED"/>
    <w:pPr>
      <w:spacing w:before="0" w:after="0"/>
    </w:pPr>
    <w:rPr>
      <w:rFonts w:ascii="Times New Roman" w:eastAsia="MS Mincho" w:hAnsi="Times New Roman"/>
      <w:i/>
      <w:iCs/>
      <w:lang w:val="en-CA"/>
    </w:rPr>
  </w:style>
  <w:style w:type="character" w:customStyle="1" w:styleId="EndereoHTMLCarter">
    <w:name w:val="Endereço HTML Caráter"/>
    <w:basedOn w:val="Tipodeletrapredefinidodopargrafo"/>
    <w:link w:val="EndereoHTML"/>
    <w:rsid w:val="006134ED"/>
    <w:rPr>
      <w:rFonts w:ascii="Times New Roman" w:eastAsia="MS Mincho" w:hAnsi="Times New Roman"/>
      <w:i/>
      <w:iCs/>
      <w:sz w:val="24"/>
      <w:lang w:val="en-CA" w:eastAsia="en-US"/>
    </w:rPr>
  </w:style>
  <w:style w:type="character" w:styleId="CitaoHTML">
    <w:name w:val="HTML Cite"/>
    <w:basedOn w:val="Tipodeletrapredefinidodopargrafo"/>
    <w:locked/>
    <w:rsid w:val="006134ED"/>
    <w:rPr>
      <w:i/>
      <w:iCs/>
    </w:rPr>
  </w:style>
  <w:style w:type="character" w:styleId="CdigoHTML">
    <w:name w:val="HTML Code"/>
    <w:basedOn w:val="Tipodeletrapredefinidodopargrafo"/>
    <w:locked/>
    <w:rsid w:val="006134ED"/>
    <w:rPr>
      <w:rFonts w:ascii="Courier New" w:hAnsi="Courier New" w:cs="Courier New"/>
      <w:sz w:val="20"/>
      <w:szCs w:val="20"/>
    </w:rPr>
  </w:style>
  <w:style w:type="character" w:styleId="DefinioHTML">
    <w:name w:val="HTML Definition"/>
    <w:basedOn w:val="Tipodeletrapredefinidodopargrafo"/>
    <w:locked/>
    <w:rsid w:val="006134ED"/>
    <w:rPr>
      <w:i/>
      <w:iCs/>
    </w:rPr>
  </w:style>
  <w:style w:type="character" w:styleId="TecladoHTML">
    <w:name w:val="HTML Keyboard"/>
    <w:basedOn w:val="Tipodeletrapredefinidodopargrafo"/>
    <w:locked/>
    <w:rsid w:val="006134ED"/>
    <w:rPr>
      <w:rFonts w:ascii="Courier New" w:hAnsi="Courier New" w:cs="Courier New"/>
      <w:sz w:val="20"/>
      <w:szCs w:val="20"/>
    </w:rPr>
  </w:style>
  <w:style w:type="character" w:styleId="ExemplodeHTML">
    <w:name w:val="HTML Sample"/>
    <w:basedOn w:val="Tipodeletrapredefinidodopargrafo"/>
    <w:locked/>
    <w:rsid w:val="006134ED"/>
    <w:rPr>
      <w:rFonts w:ascii="Courier New" w:hAnsi="Courier New" w:cs="Courier New"/>
    </w:rPr>
  </w:style>
  <w:style w:type="character" w:styleId="VarivelHTML">
    <w:name w:val="HTML Variable"/>
    <w:basedOn w:val="Tipodeletrapredefinidodopargrafo"/>
    <w:locked/>
    <w:rsid w:val="006134ED"/>
    <w:rPr>
      <w:i/>
      <w:iCs/>
    </w:rPr>
  </w:style>
  <w:style w:type="paragraph" w:customStyle="1" w:styleId="VignetteBullet">
    <w:name w:val="Vignette Bullet"/>
    <w:basedOn w:val="VignetteBody"/>
    <w:rsid w:val="006134ED"/>
    <w:pPr>
      <w:tabs>
        <w:tab w:val="num" w:pos="360"/>
      </w:tabs>
      <w:ind w:left="357" w:hanging="357"/>
    </w:pPr>
  </w:style>
  <w:style w:type="paragraph" w:customStyle="1" w:styleId="VignetteBody">
    <w:name w:val="Vignette Body"/>
    <w:basedOn w:val="VignetteTitle"/>
    <w:rsid w:val="006134ED"/>
    <w:rPr>
      <w:b w:val="0"/>
    </w:rPr>
  </w:style>
  <w:style w:type="paragraph" w:customStyle="1" w:styleId="VignetteTitle">
    <w:name w:val="Vignette Title"/>
    <w:basedOn w:val="Corpodetexto"/>
    <w:next w:val="VignetteBody"/>
    <w:rsid w:val="006134ED"/>
    <w:pPr>
      <w:spacing w:before="160" w:after="0" w:line="260" w:lineRule="exact"/>
    </w:pPr>
    <w:rPr>
      <w:rFonts w:ascii="Helvetica" w:hAnsi="Helvetica"/>
      <w:b/>
    </w:rPr>
  </w:style>
  <w:style w:type="paragraph" w:customStyle="1" w:styleId="Sig1">
    <w:name w:val="Sig 1"/>
    <w:basedOn w:val="Corpodetexto"/>
    <w:next w:val="Sig2"/>
    <w:rsid w:val="006134ED"/>
    <w:pPr>
      <w:spacing w:before="160" w:after="0"/>
    </w:pPr>
    <w:rPr>
      <w:rFonts w:ascii="Helvetica" w:hAnsi="Helvetica"/>
      <w:b/>
    </w:rPr>
  </w:style>
  <w:style w:type="paragraph" w:customStyle="1" w:styleId="Sig2">
    <w:name w:val="Sig 2"/>
    <w:basedOn w:val="Corpodetexto"/>
    <w:rsid w:val="006134ED"/>
    <w:pPr>
      <w:spacing w:before="160" w:after="0" w:line="260" w:lineRule="exact"/>
    </w:pPr>
    <w:rPr>
      <w:rFonts w:ascii="Helvetica" w:hAnsi="Helvetica"/>
      <w:i/>
    </w:rPr>
  </w:style>
  <w:style w:type="paragraph" w:customStyle="1" w:styleId="TableBody">
    <w:name w:val="Table Body"/>
    <w:basedOn w:val="Corpodetexto"/>
    <w:rsid w:val="006134ED"/>
    <w:pPr>
      <w:spacing w:before="60" w:after="60" w:line="220" w:lineRule="exact"/>
    </w:pPr>
    <w:rPr>
      <w:rFonts w:ascii="Helvetica" w:hAnsi="Helvetica"/>
    </w:rPr>
  </w:style>
  <w:style w:type="paragraph" w:customStyle="1" w:styleId="TableLeft0">
    <w:name w:val="Table Left"/>
    <w:basedOn w:val="TableBody"/>
    <w:rsid w:val="006134ED"/>
    <w:pPr>
      <w:keepNext/>
    </w:pPr>
  </w:style>
  <w:style w:type="paragraph" w:styleId="Avanonormal">
    <w:name w:val="Normal Indent"/>
    <w:basedOn w:val="Normal"/>
    <w:locked/>
    <w:rsid w:val="006134ED"/>
    <w:pPr>
      <w:spacing w:before="0"/>
      <w:ind w:left="284"/>
    </w:pPr>
  </w:style>
  <w:style w:type="paragraph" w:customStyle="1" w:styleId="Text2">
    <w:name w:val="Text 2"/>
    <w:basedOn w:val="Normal"/>
    <w:rsid w:val="006134ED"/>
    <w:pPr>
      <w:tabs>
        <w:tab w:val="left" w:pos="2161"/>
      </w:tabs>
      <w:overflowPunct w:val="0"/>
      <w:autoSpaceDE w:val="0"/>
      <w:autoSpaceDN w:val="0"/>
      <w:adjustRightInd w:val="0"/>
      <w:spacing w:before="0"/>
      <w:ind w:left="1077"/>
      <w:textAlignment w:val="baseline"/>
    </w:pPr>
    <w:rPr>
      <w:rFonts w:ascii="Courier" w:hAnsi="Courier"/>
    </w:rPr>
  </w:style>
  <w:style w:type="paragraph" w:customStyle="1" w:styleId="MainBullet">
    <w:name w:val="Main Bullet"/>
    <w:basedOn w:val="Normal"/>
    <w:rsid w:val="006134ED"/>
    <w:pPr>
      <w:tabs>
        <w:tab w:val="num" w:pos="768"/>
      </w:tabs>
      <w:spacing w:before="0" w:after="220"/>
      <w:ind w:left="768" w:hanging="360"/>
    </w:pPr>
  </w:style>
  <w:style w:type="paragraph" w:customStyle="1" w:styleId="tablebullet0">
    <w:name w:val="table bullet"/>
    <w:basedOn w:val="Normal"/>
    <w:rsid w:val="006134ED"/>
    <w:pPr>
      <w:tabs>
        <w:tab w:val="num" w:pos="1488"/>
      </w:tabs>
      <w:spacing w:before="0" w:after="0"/>
      <w:ind w:left="1488" w:hanging="360"/>
    </w:pPr>
  </w:style>
  <w:style w:type="paragraph" w:customStyle="1" w:styleId="xl24">
    <w:name w:val="xl24"/>
    <w:basedOn w:val="Normal"/>
    <w:rsid w:val="006134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5">
    <w:name w:val="xl25"/>
    <w:basedOn w:val="Normal"/>
    <w:rsid w:val="006134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sdfootnote-western">
    <w:name w:val="sdfootnote-western"/>
    <w:basedOn w:val="Normal"/>
    <w:rsid w:val="006134ED"/>
    <w:pPr>
      <w:spacing w:before="100" w:beforeAutospacing="1" w:after="0"/>
    </w:pPr>
    <w:rPr>
      <w:rFonts w:eastAsia="Arial Unicode MS"/>
    </w:rPr>
  </w:style>
  <w:style w:type="paragraph" w:customStyle="1" w:styleId="normalcvhead3">
    <w:name w:val="normal cv head 3"/>
    <w:basedOn w:val="Normal"/>
    <w:rsid w:val="006134ED"/>
    <w:pPr>
      <w:spacing w:before="0"/>
    </w:pPr>
    <w:rPr>
      <w:b/>
      <w:i/>
    </w:rPr>
  </w:style>
  <w:style w:type="paragraph" w:customStyle="1" w:styleId="Tabletext0">
    <w:name w:val="Table text"/>
    <w:basedOn w:val="Normal"/>
    <w:rsid w:val="006134ED"/>
    <w:pPr>
      <w:tabs>
        <w:tab w:val="left" w:pos="357"/>
        <w:tab w:val="left" w:pos="720"/>
      </w:tabs>
      <w:spacing w:after="0"/>
    </w:pPr>
    <w:rPr>
      <w:rFonts w:ascii="Times New Roman" w:hAnsi="Times New Roman"/>
      <w:snapToGrid w:val="0"/>
    </w:rPr>
  </w:style>
  <w:style w:type="paragraph" w:styleId="ndiceremissivo2">
    <w:name w:val="index 2"/>
    <w:basedOn w:val="Normal"/>
    <w:next w:val="Normal"/>
    <w:autoRedefine/>
    <w:locked/>
    <w:rsid w:val="006134ED"/>
    <w:pPr>
      <w:spacing w:before="0"/>
      <w:ind w:left="440" w:hanging="220"/>
    </w:pPr>
  </w:style>
  <w:style w:type="paragraph" w:styleId="ndiceremissivo4">
    <w:name w:val="index 4"/>
    <w:basedOn w:val="Normal"/>
    <w:next w:val="Normal"/>
    <w:autoRedefine/>
    <w:locked/>
    <w:rsid w:val="006134ED"/>
    <w:pPr>
      <w:spacing w:before="0"/>
      <w:ind w:left="880" w:hanging="220"/>
    </w:pPr>
  </w:style>
  <w:style w:type="paragraph" w:styleId="ndiceremissivo5">
    <w:name w:val="index 5"/>
    <w:basedOn w:val="Normal"/>
    <w:next w:val="Normal"/>
    <w:autoRedefine/>
    <w:locked/>
    <w:rsid w:val="006134ED"/>
    <w:pPr>
      <w:spacing w:before="0"/>
      <w:ind w:left="1100" w:hanging="220"/>
    </w:pPr>
  </w:style>
  <w:style w:type="paragraph" w:styleId="ndiceremissivo6">
    <w:name w:val="index 6"/>
    <w:basedOn w:val="Normal"/>
    <w:next w:val="Normal"/>
    <w:autoRedefine/>
    <w:locked/>
    <w:rsid w:val="006134ED"/>
    <w:pPr>
      <w:spacing w:before="0"/>
      <w:ind w:left="1320" w:hanging="220"/>
    </w:pPr>
  </w:style>
  <w:style w:type="paragraph" w:styleId="ndiceremissivo7">
    <w:name w:val="index 7"/>
    <w:basedOn w:val="Normal"/>
    <w:next w:val="Normal"/>
    <w:autoRedefine/>
    <w:locked/>
    <w:rsid w:val="006134ED"/>
    <w:pPr>
      <w:spacing w:before="0"/>
      <w:ind w:left="1540" w:hanging="220"/>
    </w:pPr>
  </w:style>
  <w:style w:type="paragraph" w:styleId="ndiceremissivo8">
    <w:name w:val="index 8"/>
    <w:basedOn w:val="Normal"/>
    <w:next w:val="Normal"/>
    <w:autoRedefine/>
    <w:locked/>
    <w:rsid w:val="006134ED"/>
    <w:pPr>
      <w:spacing w:before="0"/>
      <w:ind w:left="1760" w:hanging="220"/>
    </w:pPr>
  </w:style>
  <w:style w:type="paragraph" w:styleId="ndiceremissivo9">
    <w:name w:val="index 9"/>
    <w:basedOn w:val="Normal"/>
    <w:next w:val="Normal"/>
    <w:autoRedefine/>
    <w:locked/>
    <w:rsid w:val="006134ED"/>
    <w:pPr>
      <w:spacing w:before="0"/>
      <w:ind w:left="1980" w:hanging="220"/>
    </w:pPr>
  </w:style>
  <w:style w:type="paragraph" w:customStyle="1" w:styleId="Asuntodelcomentario">
    <w:name w:val="Asunto del comentario"/>
    <w:basedOn w:val="Textodecomentrio"/>
    <w:next w:val="Textodecomentrio"/>
    <w:semiHidden/>
    <w:rsid w:val="006134ED"/>
    <w:pPr>
      <w:spacing w:before="0"/>
    </w:pPr>
    <w:rPr>
      <w:b/>
      <w:bCs/>
    </w:rPr>
  </w:style>
  <w:style w:type="paragraph" w:customStyle="1" w:styleId="Textodeglobo">
    <w:name w:val="Texto de globo"/>
    <w:basedOn w:val="Normal"/>
    <w:semiHidden/>
    <w:rsid w:val="006134ED"/>
    <w:pPr>
      <w:spacing w:before="0"/>
    </w:pPr>
    <w:rPr>
      <w:rFonts w:cs="Tahoma"/>
      <w:sz w:val="16"/>
      <w:szCs w:val="16"/>
    </w:rPr>
  </w:style>
  <w:style w:type="paragraph" w:customStyle="1" w:styleId="MT1">
    <w:name w:val="MT1"/>
    <w:basedOn w:val="Normal"/>
    <w:next w:val="Normal"/>
    <w:link w:val="MT1Char"/>
    <w:rsid w:val="006134ED"/>
    <w:pPr>
      <w:tabs>
        <w:tab w:val="num" w:pos="720"/>
      </w:tabs>
      <w:spacing w:before="0"/>
      <w:ind w:left="720" w:hanging="720"/>
      <w:outlineLvl w:val="0"/>
    </w:pPr>
    <w:rPr>
      <w:rFonts w:ascii="Times New Roman Bold" w:hAnsi="Times New Roman Bold"/>
      <w:b/>
      <w:caps/>
      <w:color w:val="333399"/>
      <w:sz w:val="28"/>
      <w:lang w:val="en-CA"/>
    </w:rPr>
  </w:style>
  <w:style w:type="character" w:customStyle="1" w:styleId="MT1Char">
    <w:name w:val="MT1 Char"/>
    <w:basedOn w:val="Tipodeletrapredefinidodopargrafo"/>
    <w:link w:val="MT1"/>
    <w:rsid w:val="00404056"/>
    <w:rPr>
      <w:rFonts w:ascii="Times New Roman Bold" w:eastAsia="Times New Roman" w:hAnsi="Times New Roman Bold"/>
      <w:b/>
      <w:caps/>
      <w:color w:val="333399"/>
      <w:sz w:val="28"/>
      <w:lang w:val="en-CA" w:eastAsia="en-US"/>
    </w:rPr>
  </w:style>
  <w:style w:type="paragraph" w:customStyle="1" w:styleId="MT2">
    <w:name w:val="MT2"/>
    <w:basedOn w:val="Normal"/>
    <w:rsid w:val="006134ED"/>
    <w:pPr>
      <w:tabs>
        <w:tab w:val="num" w:pos="720"/>
      </w:tabs>
      <w:spacing w:before="0"/>
      <w:ind w:left="720" w:hanging="720"/>
      <w:outlineLvl w:val="1"/>
    </w:pPr>
    <w:rPr>
      <w:rFonts w:ascii="Times New Roman" w:hAnsi="Times New Roman"/>
      <w:b/>
      <w:bCs/>
      <w:lang w:val="en-CA"/>
    </w:rPr>
  </w:style>
  <w:style w:type="paragraph" w:customStyle="1" w:styleId="MT3">
    <w:name w:val="MT3"/>
    <w:basedOn w:val="Normal"/>
    <w:rsid w:val="006134ED"/>
    <w:pPr>
      <w:tabs>
        <w:tab w:val="num" w:pos="720"/>
      </w:tabs>
      <w:spacing w:before="0"/>
      <w:ind w:left="720" w:hanging="720"/>
    </w:pPr>
    <w:rPr>
      <w:rFonts w:ascii="Times New Roman" w:hAnsi="Times New Roman"/>
      <w:lang w:val="en-CA"/>
    </w:rPr>
  </w:style>
  <w:style w:type="paragraph" w:customStyle="1" w:styleId="MT4">
    <w:name w:val="MT4"/>
    <w:basedOn w:val="Normal"/>
    <w:rsid w:val="006134ED"/>
    <w:pPr>
      <w:tabs>
        <w:tab w:val="num" w:pos="1440"/>
      </w:tabs>
      <w:spacing w:before="0"/>
      <w:ind w:left="1440" w:hanging="720"/>
    </w:pPr>
    <w:rPr>
      <w:rFonts w:ascii="Times New Roman" w:hAnsi="Times New Roman"/>
      <w:lang w:val="en-CA"/>
    </w:rPr>
  </w:style>
  <w:style w:type="paragraph" w:customStyle="1" w:styleId="MT5">
    <w:name w:val="MT5"/>
    <w:basedOn w:val="Normal"/>
    <w:rsid w:val="006134ED"/>
    <w:pPr>
      <w:tabs>
        <w:tab w:val="num" w:pos="720"/>
      </w:tabs>
      <w:spacing w:before="0"/>
      <w:ind w:left="720" w:hanging="720"/>
    </w:pPr>
    <w:rPr>
      <w:rFonts w:ascii="Times New Roman Bold" w:hAnsi="Times New Roman Bold"/>
      <w:b/>
      <w:caps/>
      <w:szCs w:val="24"/>
      <w:lang w:val="en-CA"/>
    </w:rPr>
  </w:style>
  <w:style w:type="paragraph" w:customStyle="1" w:styleId="MT6">
    <w:name w:val="MT6"/>
    <w:basedOn w:val="Normal"/>
    <w:rsid w:val="006134ED"/>
    <w:pPr>
      <w:tabs>
        <w:tab w:val="num" w:pos="720"/>
      </w:tabs>
      <w:spacing w:before="0"/>
      <w:ind w:left="720" w:hanging="720"/>
    </w:pPr>
    <w:rPr>
      <w:rFonts w:ascii="Times New Roman" w:hAnsi="Times New Roman"/>
      <w:lang w:val="en-CA"/>
    </w:rPr>
  </w:style>
  <w:style w:type="paragraph" w:customStyle="1" w:styleId="MT7">
    <w:name w:val="MT7"/>
    <w:basedOn w:val="Normal"/>
    <w:rsid w:val="006134ED"/>
    <w:pPr>
      <w:tabs>
        <w:tab w:val="num" w:pos="1440"/>
      </w:tabs>
      <w:spacing w:before="0"/>
      <w:ind w:left="1440" w:hanging="720"/>
    </w:pPr>
    <w:rPr>
      <w:rFonts w:ascii="Times New Roman" w:hAnsi="Times New Roman"/>
      <w:lang w:val="en-CA"/>
    </w:rPr>
  </w:style>
  <w:style w:type="paragraph" w:customStyle="1" w:styleId="MT8">
    <w:name w:val="MT8"/>
    <w:basedOn w:val="Normal"/>
    <w:rsid w:val="006134ED"/>
    <w:pPr>
      <w:tabs>
        <w:tab w:val="num" w:pos="4320"/>
      </w:tabs>
      <w:spacing w:before="0"/>
      <w:ind w:left="4320" w:hanging="720"/>
    </w:pPr>
    <w:rPr>
      <w:rFonts w:ascii="Times New Roman" w:hAnsi="Times New Roman"/>
      <w:lang w:val="en-CA"/>
    </w:rPr>
  </w:style>
  <w:style w:type="paragraph" w:customStyle="1" w:styleId="MT9">
    <w:name w:val="MT9"/>
    <w:basedOn w:val="Normal"/>
    <w:rsid w:val="006134ED"/>
    <w:pPr>
      <w:tabs>
        <w:tab w:val="num" w:pos="4320"/>
      </w:tabs>
      <w:spacing w:before="0"/>
      <w:ind w:left="4320" w:hanging="720"/>
    </w:pPr>
    <w:rPr>
      <w:rFonts w:ascii="Times New Roman" w:hAnsi="Times New Roman"/>
      <w:lang w:val="en-CA"/>
    </w:rPr>
  </w:style>
  <w:style w:type="paragraph" w:customStyle="1" w:styleId="SumTextBoxHead">
    <w:name w:val="Sum TextBox Head"/>
    <w:basedOn w:val="Normal"/>
    <w:link w:val="SumTextBoxHeadChar"/>
    <w:rsid w:val="000054C4"/>
    <w:pPr>
      <w:pBdr>
        <w:top w:val="single" w:sz="8" w:space="10" w:color="FFFFFF" w:themeColor="background1"/>
        <w:bottom w:val="single" w:sz="8" w:space="10" w:color="FFFFFF" w:themeColor="background1"/>
      </w:pBdr>
      <w:spacing w:before="0" w:after="0"/>
    </w:pPr>
    <w:rPr>
      <w:b/>
      <w:iCs/>
      <w:lang w:val="en-GB" w:eastAsia="en-GB"/>
    </w:rPr>
  </w:style>
  <w:style w:type="character" w:customStyle="1" w:styleId="SumTextBoxHeadChar">
    <w:name w:val="Sum TextBox Head Char"/>
    <w:basedOn w:val="Tipodeletrapredefinidodopargrafo"/>
    <w:link w:val="SumTextBoxHead"/>
    <w:rsid w:val="000054C4"/>
    <w:rPr>
      <w:rFonts w:ascii="Arial" w:eastAsiaTheme="minorEastAsia" w:hAnsi="Arial" w:cs="Arial"/>
      <w:b/>
      <w:iCs/>
      <w:sz w:val="22"/>
      <w:szCs w:val="22"/>
      <w:lang w:val="en-GB" w:eastAsia="en-GB"/>
    </w:rPr>
  </w:style>
  <w:style w:type="paragraph" w:customStyle="1" w:styleId="SumTextBoxTex">
    <w:name w:val="Sum TextBox Tex"/>
    <w:basedOn w:val="Normal"/>
    <w:link w:val="SumTextBoxTexChar"/>
    <w:rsid w:val="00BB5CA2"/>
    <w:pPr>
      <w:pBdr>
        <w:top w:val="single" w:sz="24" w:space="10" w:color="F79D9C" w:themeColor="accent3" w:themeTint="7F"/>
        <w:bottom w:val="single" w:sz="24" w:space="10" w:color="F79D9C" w:themeColor="accent3" w:themeTint="7F"/>
      </w:pBdr>
      <w:spacing w:before="40" w:after="0"/>
      <w:ind w:left="851" w:right="1131"/>
    </w:pPr>
    <w:rPr>
      <w:lang w:val="en-GB" w:eastAsia="en-GB"/>
    </w:rPr>
  </w:style>
  <w:style w:type="character" w:customStyle="1" w:styleId="SumTextBoxTexChar">
    <w:name w:val="Sum TextBox Tex Char"/>
    <w:basedOn w:val="Tipodeletrapredefinidodopargrafo"/>
    <w:link w:val="SumTextBoxTex"/>
    <w:rsid w:val="00BB5CA2"/>
    <w:rPr>
      <w:rFonts w:ascii="Arial" w:eastAsiaTheme="minorEastAsia" w:hAnsi="Arial" w:cs="Arial"/>
      <w:sz w:val="18"/>
      <w:szCs w:val="18"/>
      <w:lang w:val="en-GB" w:eastAsia="en-GB"/>
    </w:rPr>
  </w:style>
  <w:style w:type="paragraph" w:customStyle="1" w:styleId="IncyteFootnote">
    <w:name w:val="Incyte Footnote"/>
    <w:basedOn w:val="Cabealho"/>
    <w:link w:val="IncyteFootnoteChar"/>
    <w:rsid w:val="002D26A5"/>
    <w:rPr>
      <w:b/>
      <w:bCs/>
      <w:color w:val="456E7F" w:themeColor="accent2" w:themeShade="BF"/>
      <w:sz w:val="16"/>
      <w:szCs w:val="16"/>
    </w:rPr>
  </w:style>
  <w:style w:type="character" w:customStyle="1" w:styleId="IncyteFootnoteChar">
    <w:name w:val="Incyte Footnote Char"/>
    <w:basedOn w:val="TextodenotaderodapCarter"/>
    <w:link w:val="IncyteFootnote"/>
    <w:rsid w:val="002D26A5"/>
    <w:rPr>
      <w:rFonts w:ascii="Garamond" w:eastAsiaTheme="minorEastAsia" w:hAnsi="Garamond" w:cs="Arial"/>
      <w:b/>
      <w:bCs/>
      <w:color w:val="456E7F" w:themeColor="accent2" w:themeShade="BF"/>
      <w:sz w:val="16"/>
      <w:szCs w:val="16"/>
      <w:lang w:val="en-US"/>
    </w:rPr>
  </w:style>
  <w:style w:type="paragraph" w:customStyle="1" w:styleId="MTBody">
    <w:name w:val="MTBody"/>
    <w:basedOn w:val="Normal"/>
    <w:link w:val="MTBodyChar"/>
    <w:rsid w:val="006241A9"/>
    <w:pPr>
      <w:spacing w:before="0"/>
    </w:pPr>
    <w:rPr>
      <w:rFonts w:ascii="Times New Roman" w:hAnsi="Times New Roman"/>
      <w:lang w:val="en-CA"/>
    </w:rPr>
  </w:style>
  <w:style w:type="character" w:customStyle="1" w:styleId="MTBodyChar">
    <w:name w:val="MTBody Char"/>
    <w:basedOn w:val="Tipodeletrapredefinidodopargrafo"/>
    <w:link w:val="MTBody"/>
    <w:rsid w:val="00404056"/>
    <w:rPr>
      <w:rFonts w:ascii="Times New Roman" w:eastAsia="Times New Roman" w:hAnsi="Times New Roman"/>
      <w:sz w:val="24"/>
      <w:lang w:val="en-CA" w:eastAsia="en-US"/>
    </w:rPr>
  </w:style>
  <w:style w:type="character" w:customStyle="1" w:styleId="mtbold">
    <w:name w:val="mtbold"/>
    <w:basedOn w:val="Tipodeletrapredefinidodopargrafo"/>
    <w:rsid w:val="006241A9"/>
    <w:rPr>
      <w:rFonts w:ascii="Times New Roman Bold" w:hAnsi="Times New Roman Bold"/>
      <w:b/>
      <w:sz w:val="24"/>
    </w:rPr>
  </w:style>
  <w:style w:type="paragraph" w:customStyle="1" w:styleId="mtbodyindentnospacing">
    <w:name w:val="mtbodyindentnospacing"/>
    <w:basedOn w:val="Normal"/>
    <w:rsid w:val="006241A9"/>
    <w:pPr>
      <w:spacing w:before="0" w:after="0"/>
      <w:ind w:left="720"/>
    </w:pPr>
    <w:rPr>
      <w:rFonts w:ascii="Times New Roman" w:hAnsi="Times New Roman"/>
      <w:lang w:val="en-CA"/>
    </w:rPr>
  </w:style>
  <w:style w:type="paragraph" w:customStyle="1" w:styleId="mtlistnoindent">
    <w:name w:val="mtlistnoindent"/>
    <w:basedOn w:val="MTBody"/>
    <w:link w:val="mtlistnoindentChar"/>
    <w:uiPriority w:val="99"/>
    <w:rsid w:val="006241A9"/>
    <w:pPr>
      <w:numPr>
        <w:numId w:val="3"/>
      </w:numPr>
    </w:pPr>
  </w:style>
  <w:style w:type="character" w:customStyle="1" w:styleId="mtlistnoindentChar">
    <w:name w:val="mtlistnoindent Char"/>
    <w:basedOn w:val="Tipodeletrapredefinidodopargrafo"/>
    <w:link w:val="mtlistnoindent"/>
    <w:uiPriority w:val="99"/>
    <w:rsid w:val="006241A9"/>
    <w:rPr>
      <w:rFonts w:ascii="Times New Roman" w:eastAsiaTheme="minorEastAsia" w:hAnsi="Times New Roman" w:cs="Arial"/>
      <w:sz w:val="22"/>
      <w:szCs w:val="22"/>
      <w:lang w:val="en-CA"/>
    </w:rPr>
  </w:style>
  <w:style w:type="character" w:customStyle="1" w:styleId="MTBold0">
    <w:name w:val="MTBold"/>
    <w:basedOn w:val="Tipodeletrapredefinidodopargrafo"/>
    <w:rsid w:val="006241A9"/>
    <w:rPr>
      <w:rFonts w:ascii="Times New Roman" w:hAnsi="Times New Roman"/>
      <w:b/>
      <w:sz w:val="24"/>
    </w:rPr>
  </w:style>
  <w:style w:type="character" w:customStyle="1" w:styleId="MTItalic">
    <w:name w:val="MTItalic"/>
    <w:basedOn w:val="Tipodeletrapredefinidodopargrafo"/>
    <w:rsid w:val="006241A9"/>
    <w:rPr>
      <w:rFonts w:ascii="Times New Roman" w:hAnsi="Times New Roman"/>
      <w:i/>
      <w:sz w:val="24"/>
    </w:rPr>
  </w:style>
  <w:style w:type="paragraph" w:customStyle="1" w:styleId="TableTxt">
    <w:name w:val="TableTxt"/>
    <w:basedOn w:val="Corpodetexto"/>
    <w:rsid w:val="00624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rFonts w:ascii="Times New Roman" w:hAnsi="Times New Roman"/>
      <w:b/>
      <w:snapToGrid w:val="0"/>
    </w:rPr>
  </w:style>
  <w:style w:type="character" w:customStyle="1" w:styleId="tablessuperscript">
    <w:name w:val="tablessuperscript"/>
    <w:basedOn w:val="Tipodeletrapredefinidodopargrafo"/>
    <w:rsid w:val="00404056"/>
    <w:rPr>
      <w:dstrike w:val="0"/>
      <w:sz w:val="22"/>
      <w:vertAlign w:val="superscript"/>
    </w:rPr>
  </w:style>
  <w:style w:type="paragraph" w:customStyle="1" w:styleId="TablesCharChar">
    <w:name w:val="Tables Char Char"/>
    <w:basedOn w:val="Normal"/>
    <w:link w:val="TablesCharCharChar"/>
    <w:rsid w:val="00404056"/>
    <w:pPr>
      <w:widowControl w:val="0"/>
      <w:spacing w:before="0"/>
    </w:pPr>
    <w:rPr>
      <w:rFonts w:ascii="Times New Roman" w:eastAsia="MS Mincho" w:hAnsi="Times New Roman"/>
      <w:lang w:val="en-CA"/>
    </w:rPr>
  </w:style>
  <w:style w:type="character" w:customStyle="1" w:styleId="TablesCharCharChar">
    <w:name w:val="Tables Char Char Char"/>
    <w:basedOn w:val="Tipodeletrapredefinidodopargrafo"/>
    <w:link w:val="TablesCharChar"/>
    <w:rsid w:val="00404056"/>
    <w:rPr>
      <w:rFonts w:ascii="Times New Roman" w:eastAsia="MS Mincho" w:hAnsi="Times New Roman"/>
      <w:lang w:val="en-CA" w:eastAsia="en-US"/>
    </w:rPr>
  </w:style>
  <w:style w:type="paragraph" w:customStyle="1" w:styleId="Tables">
    <w:name w:val="Tables"/>
    <w:basedOn w:val="Normal"/>
    <w:link w:val="TablesChar"/>
    <w:rsid w:val="00404056"/>
    <w:pPr>
      <w:spacing w:before="0"/>
    </w:pPr>
    <w:rPr>
      <w:rFonts w:ascii="Times New Roman" w:eastAsia="MS Mincho" w:hAnsi="Times New Roman"/>
      <w:lang w:val="en-CA"/>
    </w:rPr>
  </w:style>
  <w:style w:type="character" w:customStyle="1" w:styleId="TablesChar">
    <w:name w:val="Tables Char"/>
    <w:basedOn w:val="Tipodeletrapredefinidodopargrafo"/>
    <w:link w:val="Tables"/>
    <w:rsid w:val="00404056"/>
    <w:rPr>
      <w:rFonts w:ascii="Times New Roman" w:eastAsia="MS Mincho" w:hAnsi="Times New Roman"/>
      <w:lang w:val="en-CA" w:eastAsia="en-US"/>
    </w:rPr>
  </w:style>
  <w:style w:type="paragraph" w:customStyle="1" w:styleId="TablesCharCharCharChar">
    <w:name w:val="Tables Char Char Char Char"/>
    <w:basedOn w:val="Normal"/>
    <w:link w:val="TablesCharCharCharCharChar"/>
    <w:rsid w:val="00404056"/>
    <w:pPr>
      <w:spacing w:before="0"/>
    </w:pPr>
    <w:rPr>
      <w:rFonts w:ascii="Times New Roman" w:eastAsia="MS Mincho" w:hAnsi="Times New Roman"/>
      <w:lang w:val="en-CA"/>
    </w:rPr>
  </w:style>
  <w:style w:type="character" w:customStyle="1" w:styleId="TablesCharCharCharCharChar">
    <w:name w:val="Tables Char Char Char Char Char"/>
    <w:basedOn w:val="Tipodeletrapredefinidodopargrafo"/>
    <w:link w:val="TablesCharCharCharChar"/>
    <w:rsid w:val="00404056"/>
    <w:rPr>
      <w:rFonts w:ascii="Times New Roman" w:eastAsia="MS Mincho" w:hAnsi="Times New Roman"/>
      <w:lang w:val="en-CA" w:eastAsia="en-US"/>
    </w:rPr>
  </w:style>
  <w:style w:type="paragraph" w:customStyle="1" w:styleId="Cover3">
    <w:name w:val="Cover3"/>
    <w:basedOn w:val="Normal"/>
    <w:link w:val="Cover3Char"/>
    <w:rsid w:val="0014742E"/>
    <w:pPr>
      <w:spacing w:before="0" w:after="0"/>
      <w:ind w:left="360"/>
    </w:pPr>
    <w:rPr>
      <w:rFonts w:ascii="Trebuchet MS" w:hAnsi="Trebuchet MS"/>
      <w:b/>
      <w:color w:val="5F93A8"/>
      <w:szCs w:val="24"/>
    </w:rPr>
  </w:style>
  <w:style w:type="character" w:customStyle="1" w:styleId="Cover3Char">
    <w:name w:val="Cover3 Char"/>
    <w:basedOn w:val="Tipodeletrapredefinidodopargrafo"/>
    <w:link w:val="Cover3"/>
    <w:rsid w:val="0014742E"/>
    <w:rPr>
      <w:rFonts w:ascii="Trebuchet MS" w:eastAsia="Times New Roman" w:hAnsi="Trebuchet MS"/>
      <w:b/>
      <w:color w:val="5F93A8"/>
      <w:sz w:val="22"/>
      <w:szCs w:val="24"/>
      <w:lang w:val="en-GB" w:eastAsia="en-GB"/>
    </w:rPr>
  </w:style>
  <w:style w:type="paragraph" w:customStyle="1" w:styleId="14Coverdate">
    <w:name w:val="1.4 Cover date"/>
    <w:basedOn w:val="Normal"/>
    <w:link w:val="14CoverdateChar"/>
    <w:autoRedefine/>
    <w:rsid w:val="0069327C"/>
    <w:pPr>
      <w:spacing w:after="100" w:afterAutospacing="1"/>
      <w:jc w:val="right"/>
    </w:pPr>
    <w:rPr>
      <w:rFonts w:ascii="Liberation Sans" w:hAnsi="Liberation Sans"/>
      <w:color w:val="002D62"/>
      <w:sz w:val="28"/>
      <w:szCs w:val="28"/>
    </w:rPr>
  </w:style>
  <w:style w:type="character" w:customStyle="1" w:styleId="14CoverdateChar">
    <w:name w:val="1.4 Cover date Char"/>
    <w:basedOn w:val="Tipodeletrapredefinidodopargrafo"/>
    <w:link w:val="14Coverdate"/>
    <w:rsid w:val="0069327C"/>
    <w:rPr>
      <w:rFonts w:ascii="Liberation Sans" w:eastAsia="Times New Roman" w:hAnsi="Liberation Sans"/>
      <w:color w:val="002D62"/>
      <w:sz w:val="28"/>
      <w:szCs w:val="28"/>
      <w:lang w:val="en-GB" w:eastAsia="en-GB"/>
    </w:rPr>
  </w:style>
  <w:style w:type="paragraph" w:customStyle="1" w:styleId="15Coverassociation">
    <w:name w:val="1.5 Cover association"/>
    <w:basedOn w:val="Normal"/>
    <w:link w:val="15CoverassociationChar"/>
    <w:autoRedefine/>
    <w:rsid w:val="008669A7"/>
    <w:pPr>
      <w:spacing w:before="60" w:after="0"/>
    </w:pPr>
    <w:rPr>
      <w:rFonts w:ascii="Liberation Sans" w:hAnsi="Liberation Sans"/>
      <w:b/>
      <w:color w:val="002D62"/>
      <w:sz w:val="36"/>
      <w:szCs w:val="36"/>
    </w:rPr>
  </w:style>
  <w:style w:type="character" w:customStyle="1" w:styleId="15CoverassociationChar">
    <w:name w:val="1.5 Cover association Char"/>
    <w:basedOn w:val="Tipodeletrapredefinidodopargrafo"/>
    <w:link w:val="15Coverassociation"/>
    <w:rsid w:val="008669A7"/>
    <w:rPr>
      <w:rFonts w:ascii="Liberation Sans" w:eastAsia="Times New Roman" w:hAnsi="Liberation Sans"/>
      <w:b/>
      <w:color w:val="002D62"/>
      <w:sz w:val="36"/>
      <w:szCs w:val="36"/>
      <w:lang w:val="en-GB" w:eastAsia="en-GB"/>
    </w:rPr>
  </w:style>
  <w:style w:type="table" w:styleId="SombreadoClaro-Cor1">
    <w:name w:val="Light Shading Accent 1"/>
    <w:basedOn w:val="Tabelanormal"/>
    <w:uiPriority w:val="60"/>
    <w:rsid w:val="003306EF"/>
    <w:rPr>
      <w:rFonts w:asciiTheme="minorHAnsi" w:eastAsiaTheme="minorEastAsia" w:hAnsiTheme="minorHAnsi" w:cstheme="minorBidi"/>
      <w:color w:val="002149" w:themeColor="accent1" w:themeShade="BF"/>
      <w:sz w:val="22"/>
      <w:szCs w:val="22"/>
      <w:lang w:val="en-US" w:eastAsia="zh-TW"/>
    </w:rPr>
    <w:tblPr>
      <w:tblStyleRowBandSize w:val="1"/>
      <w:tblStyleColBandSize w:val="1"/>
      <w:tblBorders>
        <w:top w:val="single" w:sz="8" w:space="0" w:color="002D62" w:themeColor="accent1"/>
        <w:bottom w:val="single" w:sz="8" w:space="0" w:color="002D62" w:themeColor="accent1"/>
      </w:tblBorders>
    </w:tblPr>
    <w:tblStylePr w:type="firstRow">
      <w:pPr>
        <w:spacing w:before="0" w:after="0" w:line="240" w:lineRule="auto"/>
      </w:pPr>
      <w:rPr>
        <w:b/>
        <w:bCs/>
      </w:rPr>
      <w:tblPr/>
      <w:tcPr>
        <w:tcBorders>
          <w:top w:val="single" w:sz="8" w:space="0" w:color="002D62" w:themeColor="accent1"/>
          <w:left w:val="nil"/>
          <w:bottom w:val="single" w:sz="8" w:space="0" w:color="002D62" w:themeColor="accent1"/>
          <w:right w:val="nil"/>
          <w:insideH w:val="nil"/>
          <w:insideV w:val="nil"/>
        </w:tcBorders>
      </w:tcPr>
    </w:tblStylePr>
    <w:tblStylePr w:type="lastRow">
      <w:pPr>
        <w:spacing w:before="0" w:after="0" w:line="240" w:lineRule="auto"/>
      </w:pPr>
      <w:rPr>
        <w:b/>
        <w:bCs/>
      </w:rPr>
      <w:tblPr/>
      <w:tcPr>
        <w:tcBorders>
          <w:top w:val="single" w:sz="8" w:space="0" w:color="002D62" w:themeColor="accent1"/>
          <w:left w:val="nil"/>
          <w:bottom w:val="single" w:sz="8" w:space="0" w:color="002D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1" w:themeFillTint="3F"/>
      </w:tcPr>
    </w:tblStylePr>
    <w:tblStylePr w:type="band1Horz">
      <w:tblPr/>
      <w:tcPr>
        <w:tcBorders>
          <w:left w:val="nil"/>
          <w:right w:val="nil"/>
          <w:insideH w:val="nil"/>
          <w:insideV w:val="nil"/>
        </w:tcBorders>
        <w:shd w:val="clear" w:color="auto" w:fill="99C7FF" w:themeFill="accent1" w:themeFillTint="3F"/>
      </w:tcPr>
    </w:tblStylePr>
  </w:style>
  <w:style w:type="paragraph" w:customStyle="1" w:styleId="Normala">
    <w:name w:val="Normal(a)"/>
    <w:basedOn w:val="Normal"/>
    <w:rsid w:val="00486845"/>
    <w:pPr>
      <w:keepLines/>
      <w:tabs>
        <w:tab w:val="left" w:pos="1418"/>
        <w:tab w:val="num" w:pos="1712"/>
      </w:tabs>
      <w:spacing w:before="0"/>
      <w:ind w:left="1418" w:hanging="426"/>
    </w:pPr>
    <w:rPr>
      <w:rFonts w:ascii="Times New Roman" w:hAnsi="Times New Roman"/>
    </w:rPr>
  </w:style>
  <w:style w:type="paragraph" w:customStyle="1" w:styleId="BodyText2">
    <w:name w:val="Body Text2"/>
    <w:basedOn w:val="Normal"/>
    <w:uiPriority w:val="99"/>
    <w:rsid w:val="006F7B49"/>
    <w:pPr>
      <w:spacing w:before="0" w:after="0" w:line="240" w:lineRule="exact"/>
    </w:pPr>
    <w:rPr>
      <w:rFonts w:eastAsia="Calibri"/>
      <w:color w:val="000000"/>
      <w:sz w:val="17"/>
      <w:szCs w:val="17"/>
    </w:rPr>
  </w:style>
  <w:style w:type="paragraph" w:customStyle="1" w:styleId="Title3">
    <w:name w:val="Title3"/>
    <w:basedOn w:val="Normal"/>
    <w:uiPriority w:val="99"/>
    <w:rsid w:val="006F7B49"/>
    <w:pPr>
      <w:spacing w:before="2160" w:line="520" w:lineRule="exact"/>
    </w:pPr>
    <w:rPr>
      <w:rFonts w:ascii="Verdana" w:eastAsia="Calibri" w:hAnsi="Verdana"/>
      <w:b/>
      <w:sz w:val="48"/>
      <w:lang w:bidi="he-IL"/>
    </w:rPr>
  </w:style>
  <w:style w:type="paragraph" w:customStyle="1" w:styleId="Subtitle2">
    <w:name w:val="Subtitle2"/>
    <w:basedOn w:val="Title3"/>
    <w:uiPriority w:val="99"/>
    <w:rsid w:val="006F7B49"/>
    <w:pPr>
      <w:spacing w:before="0" w:after="0"/>
    </w:pPr>
    <w:rPr>
      <w:rFonts w:ascii="Helvetica" w:hAnsi="Helvetica"/>
      <w:bCs/>
      <w:sz w:val="32"/>
      <w:szCs w:val="32"/>
    </w:rPr>
  </w:style>
  <w:style w:type="paragraph" w:customStyle="1" w:styleId="TableText">
    <w:name w:val="Table Text"/>
    <w:basedOn w:val="Normal"/>
    <w:rsid w:val="006F7B49"/>
    <w:pPr>
      <w:keepLines/>
      <w:numPr>
        <w:numId w:val="4"/>
      </w:numPr>
      <w:tabs>
        <w:tab w:val="clear" w:pos="360"/>
      </w:tabs>
      <w:suppressAutoHyphens/>
      <w:ind w:left="0" w:firstLine="0"/>
    </w:pPr>
    <w:rPr>
      <w:snapToGrid w:val="0"/>
      <w:lang w:val="en-NZ"/>
    </w:rPr>
  </w:style>
  <w:style w:type="paragraph" w:customStyle="1" w:styleId="mtlistbullet">
    <w:name w:val="mtlistbullet"/>
    <w:basedOn w:val="Normal"/>
    <w:rsid w:val="006F7B49"/>
    <w:pPr>
      <w:numPr>
        <w:numId w:val="5"/>
      </w:numPr>
      <w:spacing w:before="0"/>
    </w:pPr>
    <w:rPr>
      <w:rFonts w:ascii="Times New Roman" w:eastAsia="MS Mincho" w:hAnsi="Times New Roman"/>
      <w:lang w:val="en-CA"/>
    </w:rPr>
  </w:style>
  <w:style w:type="paragraph" w:customStyle="1" w:styleId="MTBodyInd">
    <w:name w:val="MTBodyInd"/>
    <w:basedOn w:val="Normal"/>
    <w:rsid w:val="006F7B49"/>
    <w:pPr>
      <w:spacing w:before="0"/>
      <w:ind w:left="720"/>
    </w:pPr>
    <w:rPr>
      <w:rFonts w:ascii="Times New Roman" w:eastAsia="MS Mincho" w:hAnsi="Times New Roman"/>
      <w:lang w:val="en-CA"/>
    </w:rPr>
  </w:style>
  <w:style w:type="paragraph" w:styleId="Ttulo">
    <w:name w:val="Title"/>
    <w:basedOn w:val="Normal"/>
    <w:next w:val="Normal"/>
    <w:link w:val="TtuloCarter"/>
    <w:uiPriority w:val="99"/>
    <w:locked/>
    <w:rsid w:val="000054C4"/>
    <w:pPr>
      <w:jc w:val="right"/>
    </w:pPr>
    <w:rPr>
      <w:rFonts w:ascii="Trebuchet MS" w:hAnsi="Trebuchet MS"/>
      <w:b/>
      <w:color w:val="002D62" w:themeColor="accent1"/>
      <w:sz w:val="68"/>
      <w:szCs w:val="68"/>
      <w:lang w:val="en-GB" w:eastAsia="en-GB"/>
    </w:rPr>
  </w:style>
  <w:style w:type="character" w:customStyle="1" w:styleId="TtuloCarter">
    <w:name w:val="Título Caráter"/>
    <w:basedOn w:val="Tipodeletrapredefinidodopargrafo"/>
    <w:link w:val="Ttulo"/>
    <w:uiPriority w:val="99"/>
    <w:rsid w:val="000054C4"/>
    <w:rPr>
      <w:rFonts w:ascii="Trebuchet MS" w:eastAsiaTheme="minorEastAsia" w:hAnsi="Trebuchet MS" w:cs="Arial"/>
      <w:b/>
      <w:color w:val="002D62" w:themeColor="accent1"/>
      <w:sz w:val="68"/>
      <w:szCs w:val="68"/>
      <w:lang w:val="en-GB" w:eastAsia="en-GB"/>
    </w:rPr>
  </w:style>
  <w:style w:type="paragraph" w:styleId="Cabealho">
    <w:name w:val="header"/>
    <w:basedOn w:val="Normal"/>
    <w:link w:val="CabealhoCarter"/>
    <w:unhideWhenUsed/>
    <w:locked/>
    <w:rsid w:val="000054C4"/>
    <w:pPr>
      <w:tabs>
        <w:tab w:val="center" w:pos="4320"/>
        <w:tab w:val="right" w:pos="8640"/>
      </w:tabs>
      <w:spacing w:before="0" w:after="0"/>
    </w:pPr>
  </w:style>
  <w:style w:type="character" w:customStyle="1" w:styleId="CabealhoCarter">
    <w:name w:val="Cabeçalho Caráter"/>
    <w:basedOn w:val="Tipodeletrapredefinidodopargrafo"/>
    <w:link w:val="Cabealho"/>
    <w:rsid w:val="000054C4"/>
    <w:rPr>
      <w:rFonts w:ascii="Arial" w:eastAsiaTheme="minorEastAsia" w:hAnsi="Arial" w:cs="Arial"/>
      <w:sz w:val="18"/>
      <w:szCs w:val="18"/>
      <w:lang w:val="en-US" w:eastAsia="en-US"/>
    </w:rPr>
  </w:style>
  <w:style w:type="paragraph" w:styleId="SemEspaamento">
    <w:name w:val="No Spacing"/>
    <w:basedOn w:val="Normal"/>
    <w:link w:val="SemEspaamentoCarter"/>
    <w:uiPriority w:val="1"/>
    <w:rsid w:val="000054C4"/>
    <w:pPr>
      <w:spacing w:after="0"/>
    </w:pPr>
  </w:style>
  <w:style w:type="character" w:customStyle="1" w:styleId="SemEspaamentoCarter">
    <w:name w:val="Sem Espaçamento Caráter"/>
    <w:basedOn w:val="Tipodeletrapredefinidodopargrafo"/>
    <w:link w:val="SemEspaamento"/>
    <w:uiPriority w:val="99"/>
    <w:rsid w:val="000054C4"/>
  </w:style>
  <w:style w:type="character" w:styleId="nfaseDiscreta">
    <w:name w:val="Subtle Emphasis"/>
    <w:uiPriority w:val="19"/>
    <w:rsid w:val="000054C4"/>
    <w:rPr>
      <w:i/>
    </w:rPr>
  </w:style>
  <w:style w:type="character" w:styleId="nfaseIntensa">
    <w:name w:val="Intense Emphasis"/>
    <w:uiPriority w:val="21"/>
    <w:rsid w:val="000054C4"/>
    <w:rPr>
      <w:b/>
      <w:i/>
      <w:color w:val="5F93A8" w:themeColor="accent2"/>
      <w:spacing w:val="10"/>
    </w:rPr>
  </w:style>
  <w:style w:type="character" w:styleId="TtulodoLivro">
    <w:name w:val="Book Title"/>
    <w:uiPriority w:val="33"/>
    <w:rsid w:val="000054C4"/>
    <w:rPr>
      <w:rFonts w:asciiTheme="majorHAnsi" w:eastAsiaTheme="majorEastAsia" w:hAnsiTheme="majorHAnsi" w:cstheme="majorBidi"/>
      <w:i/>
      <w:iCs/>
      <w:sz w:val="20"/>
      <w:szCs w:val="20"/>
    </w:rPr>
  </w:style>
  <w:style w:type="paragraph" w:customStyle="1" w:styleId="Heading3incyte">
    <w:name w:val="Heading 3 (incyte)"/>
    <w:basedOn w:val="Ttulo3"/>
    <w:next w:val="Normal"/>
    <w:qFormat/>
    <w:rsid w:val="00CA6FE9"/>
    <w:rPr>
      <w:sz w:val="24"/>
      <w:szCs w:val="24"/>
    </w:rPr>
  </w:style>
  <w:style w:type="paragraph" w:customStyle="1" w:styleId="Heading5">
    <w:name w:val="Heading5"/>
    <w:basedOn w:val="Ttulo4"/>
    <w:rsid w:val="009F659C"/>
    <w:rPr>
      <w:i/>
      <w:color w:val="auto"/>
      <w:sz w:val="18"/>
      <w:szCs w:val="18"/>
    </w:rPr>
  </w:style>
  <w:style w:type="paragraph" w:customStyle="1" w:styleId="broodtekst">
    <w:name w:val="broodtekst"/>
    <w:basedOn w:val="Normal"/>
    <w:link w:val="broodtekstChar"/>
    <w:uiPriority w:val="99"/>
    <w:rsid w:val="005A2F33"/>
    <w:pPr>
      <w:spacing w:before="0" w:after="0" w:line="280" w:lineRule="atLeast"/>
    </w:pPr>
    <w:rPr>
      <w:rFonts w:eastAsia="Times New Roman" w:cs="Times New Roman"/>
      <w:szCs w:val="24"/>
      <w:lang w:val="en-GB" w:eastAsia="nl-NL"/>
    </w:rPr>
  </w:style>
  <w:style w:type="character" w:customStyle="1" w:styleId="broodtekstChar">
    <w:name w:val="broodtekst Char"/>
    <w:link w:val="broodtekst"/>
    <w:uiPriority w:val="99"/>
    <w:rsid w:val="005A2F33"/>
    <w:rPr>
      <w:rFonts w:ascii="Arial" w:eastAsia="Times New Roman" w:hAnsi="Arial"/>
      <w:sz w:val="18"/>
      <w:szCs w:val="24"/>
      <w:lang w:val="en-GB" w:eastAsia="nl-NL"/>
    </w:rPr>
  </w:style>
  <w:style w:type="paragraph" w:customStyle="1" w:styleId="CharChar3CharCharCharChar21">
    <w:name w:val="Char Char3 Char Char Char Char21"/>
    <w:basedOn w:val="Normal"/>
    <w:uiPriority w:val="99"/>
    <w:rsid w:val="004819DF"/>
    <w:pPr>
      <w:spacing w:before="60" w:after="160" w:line="240" w:lineRule="exact"/>
    </w:pPr>
    <w:rPr>
      <w:rFonts w:ascii="Verdana" w:eastAsia="Times New Roman" w:hAnsi="Verdana" w:cs="Verdana"/>
      <w:color w:val="000000"/>
    </w:rPr>
  </w:style>
  <w:style w:type="paragraph" w:customStyle="1" w:styleId="DMSLINEX2">
    <w:name w:val="DMSLINEX2"/>
    <w:basedOn w:val="Normal"/>
    <w:rsid w:val="006516B5"/>
    <w:pPr>
      <w:spacing w:before="0" w:after="0" w:line="480" w:lineRule="auto"/>
    </w:pPr>
    <w:rPr>
      <w:rFonts w:eastAsia="Times New Roman" w:cs="Times New Roman"/>
      <w:lang w:val="en-ZA"/>
    </w:rPr>
  </w:style>
  <w:style w:type="paragraph" w:customStyle="1" w:styleId="GVICCVText">
    <w:name w:val="GVIC CV Text"/>
    <w:basedOn w:val="Corpodetexto"/>
    <w:link w:val="GVICCVTextChar"/>
    <w:rsid w:val="009442BB"/>
    <w:pPr>
      <w:spacing w:before="0" w:after="0" w:line="240" w:lineRule="atLeast"/>
    </w:pPr>
    <w:rPr>
      <w:rFonts w:ascii="Calibri" w:eastAsia="Calibri" w:hAnsi="Calibri" w:cs="Times New Roman"/>
      <w:lang w:val="en-GB" w:eastAsia="en-GB"/>
    </w:rPr>
  </w:style>
  <w:style w:type="character" w:customStyle="1" w:styleId="GVICCVTextChar">
    <w:name w:val="GVIC CV Text Char"/>
    <w:link w:val="GVICCVText"/>
    <w:rsid w:val="009442BB"/>
    <w:rPr>
      <w:sz w:val="22"/>
      <w:lang w:val="en-GB" w:eastAsia="en-GB"/>
    </w:rPr>
  </w:style>
  <w:style w:type="paragraph" w:customStyle="1" w:styleId="CVtext0">
    <w:name w:val=".CV text"/>
    <w:basedOn w:val="Corpodetexto"/>
    <w:link w:val="CVtextChar0"/>
    <w:rsid w:val="006B3F00"/>
    <w:pPr>
      <w:spacing w:before="240" w:after="240" w:line="288" w:lineRule="auto"/>
    </w:pPr>
    <w:rPr>
      <w:rFonts w:eastAsia="Times New Roman" w:cs="Times New Roman"/>
      <w:szCs w:val="24"/>
      <w:lang w:val="en-GB" w:eastAsia="en-GB"/>
    </w:rPr>
  </w:style>
  <w:style w:type="character" w:customStyle="1" w:styleId="CVtextChar0">
    <w:name w:val=".CV text Char"/>
    <w:basedOn w:val="CorpodetextoCarter"/>
    <w:link w:val="CVtext0"/>
    <w:rsid w:val="006B3F00"/>
    <w:rPr>
      <w:rFonts w:ascii="Arial" w:eastAsia="Times New Roman" w:hAnsi="Arial" w:cs="Times New Roman"/>
      <w:sz w:val="24"/>
      <w:szCs w:val="24"/>
      <w:lang w:val="en-GB" w:eastAsia="en-GB"/>
    </w:rPr>
  </w:style>
  <w:style w:type="paragraph" w:customStyle="1" w:styleId="CVHeading0">
    <w:name w:val=".CV Heading"/>
    <w:basedOn w:val="CVtext0"/>
    <w:link w:val="CVHeadingChar0"/>
    <w:rsid w:val="006B3F00"/>
    <w:rPr>
      <w:b/>
    </w:rPr>
  </w:style>
  <w:style w:type="character" w:customStyle="1" w:styleId="CVHeadingChar0">
    <w:name w:val=".CV Heading Char"/>
    <w:basedOn w:val="CVtextChar0"/>
    <w:link w:val="CVHeading0"/>
    <w:rsid w:val="006B3F00"/>
    <w:rPr>
      <w:rFonts w:ascii="Arial" w:eastAsia="Times New Roman" w:hAnsi="Arial" w:cs="Times New Roman"/>
      <w:b/>
      <w:sz w:val="24"/>
      <w:szCs w:val="24"/>
      <w:lang w:val="en-GB" w:eastAsia="en-GB"/>
    </w:rPr>
  </w:style>
  <w:style w:type="paragraph" w:customStyle="1" w:styleId="CVboxtext0">
    <w:name w:val=".CV box text"/>
    <w:basedOn w:val="CVtext0"/>
    <w:link w:val="CVboxtextChar0"/>
    <w:rsid w:val="006B3F00"/>
    <w:pPr>
      <w:spacing w:before="60" w:after="60"/>
      <w:ind w:left="153" w:hanging="10"/>
    </w:pPr>
  </w:style>
  <w:style w:type="character" w:customStyle="1" w:styleId="CVboxtextChar0">
    <w:name w:val=".CV box text Char"/>
    <w:basedOn w:val="CVtextChar0"/>
    <w:link w:val="CVboxtext0"/>
    <w:rsid w:val="006B3F00"/>
    <w:rPr>
      <w:rFonts w:ascii="Arial" w:eastAsia="Times New Roman" w:hAnsi="Arial" w:cs="Times New Roman"/>
      <w:sz w:val="24"/>
      <w:szCs w:val="24"/>
      <w:lang w:val="en-GB" w:eastAsia="en-GB"/>
    </w:rPr>
  </w:style>
  <w:style w:type="paragraph" w:customStyle="1" w:styleId="SectionTitle">
    <w:name w:val="Section Title"/>
    <w:basedOn w:val="Normal"/>
    <w:next w:val="Normal"/>
    <w:rsid w:val="008655B8"/>
    <w:pPr>
      <w:spacing w:before="240"/>
    </w:pPr>
    <w:rPr>
      <w:rFonts w:eastAsia="Times New Roman" w:cs="Times New Roman"/>
      <w:u w:val="single"/>
      <w:lang w:val="en-GB" w:eastAsia="en-GB"/>
    </w:rPr>
  </w:style>
  <w:style w:type="table" w:customStyle="1" w:styleId="LightList1">
    <w:name w:val="Light List1"/>
    <w:basedOn w:val="Tabelanormal"/>
    <w:uiPriority w:val="61"/>
    <w:rsid w:val="007038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PageFooter">
    <w:name w:val="Cover Page Footer"/>
    <w:basedOn w:val="Rodap"/>
    <w:rsid w:val="00394E89"/>
    <w:pPr>
      <w:tabs>
        <w:tab w:val="clear" w:pos="4513"/>
        <w:tab w:val="clear" w:pos="9026"/>
        <w:tab w:val="center" w:pos="4153"/>
        <w:tab w:val="right" w:pos="8306"/>
      </w:tabs>
      <w:spacing w:before="160" w:after="0" w:line="260" w:lineRule="exact"/>
      <w:jc w:val="center"/>
    </w:pPr>
    <w:rPr>
      <w:rFonts w:ascii="Verdana" w:eastAsia="Times New Roman" w:hAnsi="Verdana" w:cs="Times New Roman"/>
      <w:lang w:val="en-GB" w:eastAsia="en-GB"/>
    </w:rPr>
  </w:style>
  <w:style w:type="character" w:customStyle="1" w:styleId="BookTitle1">
    <w:name w:val="Book Title1"/>
    <w:aliases w:val="Page No."/>
    <w:uiPriority w:val="33"/>
    <w:rsid w:val="00394E89"/>
    <w:rPr>
      <w:sz w:val="32"/>
      <w:szCs w:val="32"/>
    </w:rPr>
  </w:style>
  <w:style w:type="paragraph" w:customStyle="1" w:styleId="Paragraphpresentation">
    <w:name w:val="Paragraph presentation"/>
    <w:basedOn w:val="Normal"/>
    <w:link w:val="ParagraphpresentationChar"/>
    <w:rsid w:val="00394E89"/>
    <w:pPr>
      <w:spacing w:before="0" w:after="240" w:line="260" w:lineRule="atLeast"/>
    </w:pPr>
    <w:rPr>
      <w:rFonts w:ascii="Trebuchet MS" w:eastAsia="Times New Roman" w:hAnsi="Trebuchet MS" w:cs="Times New Roman"/>
      <w:szCs w:val="24"/>
      <w:lang w:val="en-CA"/>
    </w:rPr>
  </w:style>
  <w:style w:type="character" w:customStyle="1" w:styleId="ParagraphpresentationChar">
    <w:name w:val="Paragraph presentation Char"/>
    <w:basedOn w:val="Tipodeletrapredefinidodopargrafo"/>
    <w:link w:val="Paragraphpresentation"/>
    <w:rsid w:val="00394E89"/>
    <w:rPr>
      <w:rFonts w:ascii="Trebuchet MS" w:eastAsia="Times New Roman" w:hAnsi="Trebuchet MS"/>
      <w:sz w:val="24"/>
      <w:szCs w:val="24"/>
      <w:lang w:val="en-CA" w:eastAsia="en-US"/>
    </w:rPr>
  </w:style>
  <w:style w:type="paragraph" w:customStyle="1" w:styleId="a">
    <w:name w:val="표준 (웹)"/>
    <w:basedOn w:val="Normal"/>
    <w:rsid w:val="00394E89"/>
    <w:pPr>
      <w:spacing w:before="100" w:beforeAutospacing="1" w:after="100" w:afterAutospacing="1"/>
    </w:pPr>
    <w:rPr>
      <w:rFonts w:ascii="Verdana" w:eastAsia="Batang" w:hAnsi="Verdana" w:cs="Times New Roman"/>
      <w:color w:val="666666"/>
      <w:sz w:val="17"/>
      <w:szCs w:val="17"/>
      <w:lang w:eastAsia="ko-KR"/>
    </w:rPr>
  </w:style>
  <w:style w:type="paragraph" w:customStyle="1" w:styleId="BodyText3">
    <w:name w:val="Body Text3"/>
    <w:basedOn w:val="Normal"/>
    <w:rsid w:val="006D60A5"/>
    <w:pPr>
      <w:spacing w:before="0" w:after="0" w:line="240" w:lineRule="exact"/>
    </w:pPr>
    <w:rPr>
      <w:rFonts w:eastAsia="Times New Roman" w:cs="Times New Roman"/>
      <w:color w:val="000000"/>
      <w:sz w:val="17"/>
      <w:szCs w:val="17"/>
      <w:lang w:val="en-GB" w:eastAsia="en-GB"/>
    </w:rPr>
  </w:style>
  <w:style w:type="paragraph" w:customStyle="1" w:styleId="Hyperlink">
    <w:name w:val=".Hyperlink"/>
    <w:basedOn w:val="CVboxtext0"/>
    <w:rsid w:val="00E02295"/>
    <w:pPr>
      <w:numPr>
        <w:numId w:val="6"/>
      </w:numPr>
      <w:spacing w:before="120" w:after="120"/>
    </w:pPr>
    <w:rPr>
      <w:sz w:val="18"/>
      <w:szCs w:val="18"/>
    </w:rPr>
  </w:style>
  <w:style w:type="character" w:customStyle="1" w:styleId="PargrafodaListaCarter">
    <w:name w:val="Parágrafo da Lista Caráter"/>
    <w:basedOn w:val="Tipodeletrapredefinidodopargrafo"/>
    <w:link w:val="PargrafodaLista"/>
    <w:uiPriority w:val="34"/>
    <w:rsid w:val="00F2309F"/>
    <w:rPr>
      <w:rFonts w:ascii="Garamond" w:eastAsiaTheme="minorEastAsia" w:hAnsi="Garamond" w:cs="Arial"/>
      <w:sz w:val="24"/>
      <w:lang w:val="en-US"/>
    </w:rPr>
  </w:style>
  <w:style w:type="paragraph" w:styleId="Lista2">
    <w:name w:val="List 2"/>
    <w:basedOn w:val="Normal"/>
    <w:uiPriority w:val="99"/>
    <w:semiHidden/>
    <w:unhideWhenUsed/>
    <w:locked/>
    <w:rsid w:val="0016246B"/>
    <w:pPr>
      <w:ind w:left="566" w:hanging="283"/>
      <w:contextualSpacing/>
    </w:pPr>
  </w:style>
  <w:style w:type="paragraph" w:customStyle="1" w:styleId="IncyteFigure">
    <w:name w:val="Incyte Figure"/>
    <w:basedOn w:val="Normal"/>
    <w:next w:val="Normal"/>
    <w:qFormat/>
    <w:rsid w:val="00F6527D"/>
    <w:rPr>
      <w:b/>
      <w:color w:val="002D62" w:themeColor="accent1"/>
    </w:rPr>
  </w:style>
  <w:style w:type="table" w:customStyle="1" w:styleId="Incytetable">
    <w:name w:val="Incyte table"/>
    <w:basedOn w:val="Tabelanormal"/>
    <w:uiPriority w:val="99"/>
    <w:rsid w:val="003E73CB"/>
    <w:tblPr/>
  </w:style>
  <w:style w:type="paragraph" w:styleId="Primeiroavanodecorpodetexto2">
    <w:name w:val="Body Text First Indent 2"/>
    <w:basedOn w:val="Avanodecorpodetexto"/>
    <w:link w:val="Primeiroavanodecorpodetexto2Carter"/>
    <w:uiPriority w:val="99"/>
    <w:unhideWhenUsed/>
    <w:locked/>
    <w:rsid w:val="00F64368"/>
    <w:pPr>
      <w:spacing w:before="120" w:after="120" w:line="240" w:lineRule="auto"/>
      <w:ind w:left="360" w:firstLine="360"/>
    </w:pPr>
    <w:rPr>
      <w:rFonts w:ascii="Garamond" w:eastAsiaTheme="minorEastAsia" w:hAnsi="Garamond"/>
    </w:rPr>
  </w:style>
  <w:style w:type="character" w:customStyle="1" w:styleId="Primeiroavanodecorpodetexto2Carter">
    <w:name w:val="Primeiro avanço de corpo de texto 2 Caráter"/>
    <w:basedOn w:val="AvanodecorpodetextoCarter"/>
    <w:link w:val="Primeiroavanodecorpodetexto2"/>
    <w:uiPriority w:val="99"/>
    <w:rsid w:val="00F64368"/>
    <w:rPr>
      <w:rFonts w:ascii="Garamond" w:eastAsiaTheme="minorEastAsia" w:hAnsi="Garamond" w:cs="Arial"/>
      <w:sz w:val="24"/>
      <w:szCs w:val="24"/>
      <w:lang w:val="en-US" w:eastAsia="en-GB"/>
    </w:rPr>
  </w:style>
  <w:style w:type="table" w:styleId="ListaClara-Cor1">
    <w:name w:val="Light List Accent 1"/>
    <w:basedOn w:val="Tabelanormal"/>
    <w:uiPriority w:val="61"/>
    <w:rsid w:val="00297787"/>
    <w:rPr>
      <w:rFonts w:asciiTheme="minorHAnsi" w:eastAsiaTheme="minorEastAsia" w:hAnsiTheme="minorHAnsi" w:cstheme="minorBidi"/>
      <w:sz w:val="24"/>
      <w:szCs w:val="24"/>
      <w:lang w:val="en-US" w:eastAsia="en-US"/>
    </w:rPr>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tblBorders>
    </w:tblPr>
    <w:tblStylePr w:type="firstRow">
      <w:pPr>
        <w:spacing w:before="0" w:after="0" w:line="240" w:lineRule="auto"/>
      </w:pPr>
      <w:rPr>
        <w:b/>
        <w:bCs/>
        <w:color w:val="FFFFFF" w:themeColor="background1"/>
      </w:rPr>
      <w:tblPr/>
      <w:tcPr>
        <w:shd w:val="clear" w:color="auto" w:fill="002D62" w:themeFill="accent1"/>
      </w:tcPr>
    </w:tblStylePr>
    <w:tblStylePr w:type="lastRow">
      <w:pPr>
        <w:spacing w:before="0" w:after="0" w:line="240" w:lineRule="auto"/>
      </w:pPr>
      <w:rPr>
        <w:b/>
        <w:bCs/>
      </w:rPr>
      <w:tblPr/>
      <w:tcPr>
        <w:tcBorders>
          <w:top w:val="double" w:sz="6" w:space="0" w:color="002D62" w:themeColor="accent1"/>
          <w:left w:val="single" w:sz="8" w:space="0" w:color="002D62" w:themeColor="accent1"/>
          <w:bottom w:val="single" w:sz="8" w:space="0" w:color="002D62" w:themeColor="accent1"/>
          <w:right w:val="single" w:sz="8" w:space="0" w:color="002D62" w:themeColor="accent1"/>
        </w:tcBorders>
      </w:tcPr>
    </w:tblStylePr>
    <w:tblStylePr w:type="firstCol">
      <w:rPr>
        <w:b/>
        <w:bCs/>
      </w:rPr>
    </w:tblStylePr>
    <w:tblStylePr w:type="lastCol">
      <w:rPr>
        <w:b/>
        <w:bCs/>
      </w:rPr>
    </w:tblStylePr>
    <w:tblStylePr w:type="band1Vert">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tblStylePr w:type="band1Horz">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style>
  <w:style w:type="paragraph" w:customStyle="1" w:styleId="IncyteTitle1">
    <w:name w:val="Incyte Title 1"/>
    <w:basedOn w:val="Ttulo"/>
    <w:next w:val="Normal"/>
    <w:qFormat/>
    <w:rsid w:val="000B3AE0"/>
    <w:rPr>
      <w:rFonts w:ascii="Tahoma" w:hAnsi="Tahoma"/>
      <w:sz w:val="56"/>
      <w:szCs w:val="56"/>
    </w:rPr>
  </w:style>
  <w:style w:type="paragraph" w:customStyle="1" w:styleId="IncyteTitle2">
    <w:name w:val="Incyte Title 2"/>
    <w:basedOn w:val="Cabealhodondice"/>
    <w:qFormat/>
    <w:rsid w:val="00E93E64"/>
    <w:pPr>
      <w:jc w:val="right"/>
    </w:pPr>
    <w:rPr>
      <w:color w:val="456E7F" w:themeColor="accent2" w:themeShade="BF"/>
      <w:sz w:val="48"/>
      <w:szCs w:val="48"/>
    </w:rPr>
  </w:style>
  <w:style w:type="paragraph" w:customStyle="1" w:styleId="IncyteTitle3">
    <w:name w:val="Incyte Title 3"/>
    <w:basedOn w:val="Normal"/>
    <w:qFormat/>
    <w:rsid w:val="00E93E64"/>
    <w:pPr>
      <w:jc w:val="right"/>
    </w:pPr>
    <w:rPr>
      <w:b/>
      <w:color w:val="002D62" w:themeColor="accent1"/>
      <w:sz w:val="28"/>
      <w:szCs w:val="28"/>
    </w:rPr>
  </w:style>
  <w:style w:type="paragraph" w:customStyle="1" w:styleId="IncyteTabletext">
    <w:name w:val="Incyte Table text"/>
    <w:basedOn w:val="Normal"/>
    <w:qFormat/>
    <w:rsid w:val="002E2024"/>
    <w:rPr>
      <w:sz w:val="20"/>
      <w:szCs w:val="24"/>
      <w:lang w:eastAsia="en-US"/>
    </w:rPr>
  </w:style>
  <w:style w:type="paragraph" w:customStyle="1" w:styleId="Incytefootnote0">
    <w:name w:val="Incyte footnote"/>
    <w:basedOn w:val="Textodenotaderodap"/>
    <w:qFormat/>
    <w:rsid w:val="002E2024"/>
    <w:pPr>
      <w:spacing w:before="120" w:after="120"/>
    </w:pPr>
    <w:rPr>
      <w:sz w:val="16"/>
      <w:szCs w:val="16"/>
    </w:rPr>
  </w:style>
  <w:style w:type="paragraph" w:customStyle="1" w:styleId="TOClevel1">
    <w:name w:val="TOC level 1"/>
    <w:basedOn w:val="ndice1"/>
    <w:qFormat/>
    <w:rsid w:val="001D684F"/>
    <w:rPr>
      <w:rFonts w:ascii="Tahoma" w:hAnsi="Tahoma" w:cs="Tahoma"/>
      <w:szCs w:val="22"/>
    </w:rPr>
  </w:style>
  <w:style w:type="paragraph" w:customStyle="1" w:styleId="TOClevel2">
    <w:name w:val="TOC level 2"/>
    <w:basedOn w:val="ndice2"/>
    <w:qFormat/>
    <w:rsid w:val="00F15EE5"/>
    <w:pPr>
      <w:tabs>
        <w:tab w:val="left" w:pos="494"/>
      </w:tabs>
    </w:pPr>
  </w:style>
  <w:style w:type="paragraph" w:customStyle="1" w:styleId="TOClevel3">
    <w:name w:val="TOC level 3"/>
    <w:basedOn w:val="ndice3"/>
    <w:qFormat/>
    <w:rsid w:val="00F15EE5"/>
    <w:pPr>
      <w:tabs>
        <w:tab w:val="left" w:pos="916"/>
        <w:tab w:val="right" w:leader="dot" w:pos="9011"/>
      </w:tabs>
    </w:pPr>
    <w:rPr>
      <w:i/>
      <w:noProof/>
      <w:sz w:val="20"/>
      <w:szCs w:val="20"/>
    </w:rPr>
  </w:style>
  <w:style w:type="paragraph" w:customStyle="1" w:styleId="Style2">
    <w:name w:val="Style2"/>
    <w:basedOn w:val="ndice3"/>
    <w:rsid w:val="00A63EEA"/>
    <w:pPr>
      <w:tabs>
        <w:tab w:val="left" w:pos="916"/>
        <w:tab w:val="right" w:leader="dot" w:pos="9011"/>
      </w:tabs>
    </w:pPr>
  </w:style>
  <w:style w:type="paragraph" w:customStyle="1" w:styleId="Style3">
    <w:name w:val="Style3"/>
    <w:basedOn w:val="TOClevel3"/>
    <w:rsid w:val="00A63EEA"/>
  </w:style>
  <w:style w:type="paragraph" w:customStyle="1" w:styleId="Style4">
    <w:name w:val="Style4"/>
    <w:basedOn w:val="ndice3"/>
    <w:rsid w:val="00A63EEA"/>
    <w:pPr>
      <w:tabs>
        <w:tab w:val="left" w:pos="916"/>
        <w:tab w:val="right" w:leader="dot" w:pos="9011"/>
      </w:tabs>
    </w:pPr>
    <w:rPr>
      <w:noProof/>
    </w:rPr>
  </w:style>
  <w:style w:type="paragraph" w:customStyle="1" w:styleId="TOC3">
    <w:name w:val="TOC3"/>
    <w:basedOn w:val="ndice3"/>
    <w:qFormat/>
    <w:rsid w:val="00A63EEA"/>
    <w:pPr>
      <w:tabs>
        <w:tab w:val="left" w:pos="916"/>
        <w:tab w:val="right" w:leader="dot" w:pos="9011"/>
      </w:tabs>
    </w:pPr>
    <w:rPr>
      <w:i/>
      <w:noProof/>
    </w:rPr>
  </w:style>
  <w:style w:type="paragraph" w:customStyle="1" w:styleId="Style5">
    <w:name w:val="Style5"/>
    <w:basedOn w:val="ndice3"/>
    <w:rsid w:val="00A63EEA"/>
    <w:pPr>
      <w:tabs>
        <w:tab w:val="left" w:pos="916"/>
        <w:tab w:val="right" w:leader="dot" w:pos="9011"/>
      </w:tabs>
    </w:pPr>
    <w:rPr>
      <w:i/>
      <w:noProof/>
    </w:rPr>
  </w:style>
  <w:style w:type="paragraph" w:customStyle="1" w:styleId="Style6">
    <w:name w:val="Style6"/>
    <w:basedOn w:val="ndice3"/>
    <w:rsid w:val="00A63EEA"/>
    <w:pPr>
      <w:tabs>
        <w:tab w:val="left" w:pos="916"/>
        <w:tab w:val="right" w:leader="dot" w:pos="9011"/>
      </w:tabs>
    </w:pPr>
    <w:rPr>
      <w:noProof/>
    </w:rPr>
  </w:style>
  <w:style w:type="character" w:styleId="MenoNoResolvida">
    <w:name w:val="Unresolved Mention"/>
    <w:basedOn w:val="Tipodeletrapredefinidodopargrafo"/>
    <w:uiPriority w:val="99"/>
    <w:semiHidden/>
    <w:unhideWhenUsed/>
    <w:rsid w:val="001E16A5"/>
    <w:rPr>
      <w:color w:val="605E5C"/>
      <w:shd w:val="clear" w:color="auto" w:fill="E1DFDD"/>
    </w:rPr>
  </w:style>
  <w:style w:type="character" w:customStyle="1" w:styleId="tlid-translation">
    <w:name w:val="tlid-translation"/>
    <w:basedOn w:val="Tipodeletrapredefinidodopargrafo"/>
    <w:rsid w:val="001E16A5"/>
  </w:style>
  <w:style w:type="paragraph" w:customStyle="1" w:styleId="PYRExhibitChartheader">
    <w:name w:val="PYR Exhibit Chart header"/>
    <w:basedOn w:val="Normal"/>
    <w:rsid w:val="00FE6382"/>
    <w:pPr>
      <w:keepNext/>
      <w:keepLines/>
      <w:pBdr>
        <w:top w:val="single" w:sz="4" w:space="3" w:color="auto"/>
      </w:pBdr>
      <w:spacing w:before="0" w:after="0" w:line="240" w:lineRule="auto"/>
      <w:jc w:val="both"/>
    </w:pPr>
    <w:rPr>
      <w:rFonts w:ascii="Trebuchet MS" w:eastAsia="Times New Roman" w:hAnsi="Trebuchet MS" w:cs="Times New Roman"/>
      <w:b/>
      <w:bCs/>
      <w:snapToGrid w:val="0"/>
      <w:kern w:val="36"/>
      <w:sz w:val="20"/>
      <w:szCs w:val="20"/>
      <w:lang w:eastAsia="en-US"/>
    </w:rPr>
  </w:style>
  <w:style w:type="character" w:styleId="Refdenotadefim">
    <w:name w:val="endnote reference"/>
    <w:basedOn w:val="Tipodeletrapredefinidodopargrafo"/>
    <w:semiHidden/>
    <w:unhideWhenUsed/>
    <w:locked/>
    <w:rsid w:val="00A96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88">
      <w:bodyDiv w:val="1"/>
      <w:marLeft w:val="0"/>
      <w:marRight w:val="0"/>
      <w:marTop w:val="0"/>
      <w:marBottom w:val="0"/>
      <w:divBdr>
        <w:top w:val="none" w:sz="0" w:space="0" w:color="auto"/>
        <w:left w:val="none" w:sz="0" w:space="0" w:color="auto"/>
        <w:bottom w:val="none" w:sz="0" w:space="0" w:color="auto"/>
        <w:right w:val="none" w:sz="0" w:space="0" w:color="auto"/>
      </w:divBdr>
    </w:div>
    <w:div w:id="8991030">
      <w:bodyDiv w:val="1"/>
      <w:marLeft w:val="0"/>
      <w:marRight w:val="0"/>
      <w:marTop w:val="0"/>
      <w:marBottom w:val="0"/>
      <w:divBdr>
        <w:top w:val="none" w:sz="0" w:space="0" w:color="auto"/>
        <w:left w:val="none" w:sz="0" w:space="0" w:color="auto"/>
        <w:bottom w:val="none" w:sz="0" w:space="0" w:color="auto"/>
        <w:right w:val="none" w:sz="0" w:space="0" w:color="auto"/>
      </w:divBdr>
    </w:div>
    <w:div w:id="56052620">
      <w:marLeft w:val="0"/>
      <w:marRight w:val="0"/>
      <w:marTop w:val="0"/>
      <w:marBottom w:val="0"/>
      <w:divBdr>
        <w:top w:val="none" w:sz="0" w:space="0" w:color="auto"/>
        <w:left w:val="none" w:sz="0" w:space="0" w:color="auto"/>
        <w:bottom w:val="none" w:sz="0" w:space="0" w:color="auto"/>
        <w:right w:val="none" w:sz="0" w:space="0" w:color="auto"/>
      </w:divBdr>
      <w:divsChild>
        <w:div w:id="56052627">
          <w:marLeft w:val="994"/>
          <w:marRight w:val="0"/>
          <w:marTop w:val="228"/>
          <w:marBottom w:val="0"/>
          <w:divBdr>
            <w:top w:val="none" w:sz="0" w:space="0" w:color="auto"/>
            <w:left w:val="none" w:sz="0" w:space="0" w:color="auto"/>
            <w:bottom w:val="none" w:sz="0" w:space="0" w:color="auto"/>
            <w:right w:val="none" w:sz="0" w:space="0" w:color="auto"/>
          </w:divBdr>
        </w:div>
      </w:divsChild>
    </w:div>
    <w:div w:id="56052621">
      <w:marLeft w:val="0"/>
      <w:marRight w:val="0"/>
      <w:marTop w:val="0"/>
      <w:marBottom w:val="0"/>
      <w:divBdr>
        <w:top w:val="none" w:sz="0" w:space="0" w:color="auto"/>
        <w:left w:val="none" w:sz="0" w:space="0" w:color="auto"/>
        <w:bottom w:val="none" w:sz="0" w:space="0" w:color="auto"/>
        <w:right w:val="none" w:sz="0" w:space="0" w:color="auto"/>
      </w:divBdr>
    </w:div>
    <w:div w:id="56052622">
      <w:marLeft w:val="0"/>
      <w:marRight w:val="0"/>
      <w:marTop w:val="0"/>
      <w:marBottom w:val="0"/>
      <w:divBdr>
        <w:top w:val="none" w:sz="0" w:space="0" w:color="auto"/>
        <w:left w:val="none" w:sz="0" w:space="0" w:color="auto"/>
        <w:bottom w:val="none" w:sz="0" w:space="0" w:color="auto"/>
        <w:right w:val="none" w:sz="0" w:space="0" w:color="auto"/>
      </w:divBdr>
    </w:div>
    <w:div w:id="56052623">
      <w:marLeft w:val="0"/>
      <w:marRight w:val="0"/>
      <w:marTop w:val="0"/>
      <w:marBottom w:val="0"/>
      <w:divBdr>
        <w:top w:val="none" w:sz="0" w:space="0" w:color="auto"/>
        <w:left w:val="none" w:sz="0" w:space="0" w:color="auto"/>
        <w:bottom w:val="none" w:sz="0" w:space="0" w:color="auto"/>
        <w:right w:val="none" w:sz="0" w:space="0" w:color="auto"/>
      </w:divBdr>
    </w:div>
    <w:div w:id="56052624">
      <w:marLeft w:val="0"/>
      <w:marRight w:val="0"/>
      <w:marTop w:val="0"/>
      <w:marBottom w:val="0"/>
      <w:divBdr>
        <w:top w:val="none" w:sz="0" w:space="0" w:color="auto"/>
        <w:left w:val="none" w:sz="0" w:space="0" w:color="auto"/>
        <w:bottom w:val="none" w:sz="0" w:space="0" w:color="auto"/>
        <w:right w:val="none" w:sz="0" w:space="0" w:color="auto"/>
      </w:divBdr>
    </w:div>
    <w:div w:id="56052625">
      <w:marLeft w:val="0"/>
      <w:marRight w:val="0"/>
      <w:marTop w:val="0"/>
      <w:marBottom w:val="0"/>
      <w:divBdr>
        <w:top w:val="none" w:sz="0" w:space="0" w:color="auto"/>
        <w:left w:val="none" w:sz="0" w:space="0" w:color="auto"/>
        <w:bottom w:val="none" w:sz="0" w:space="0" w:color="auto"/>
        <w:right w:val="none" w:sz="0" w:space="0" w:color="auto"/>
      </w:divBdr>
    </w:div>
    <w:div w:id="56052626">
      <w:marLeft w:val="0"/>
      <w:marRight w:val="0"/>
      <w:marTop w:val="0"/>
      <w:marBottom w:val="0"/>
      <w:divBdr>
        <w:top w:val="none" w:sz="0" w:space="0" w:color="auto"/>
        <w:left w:val="none" w:sz="0" w:space="0" w:color="auto"/>
        <w:bottom w:val="none" w:sz="0" w:space="0" w:color="auto"/>
        <w:right w:val="none" w:sz="0" w:space="0" w:color="auto"/>
      </w:divBdr>
    </w:div>
    <w:div w:id="56052628">
      <w:marLeft w:val="0"/>
      <w:marRight w:val="0"/>
      <w:marTop w:val="0"/>
      <w:marBottom w:val="0"/>
      <w:divBdr>
        <w:top w:val="none" w:sz="0" w:space="0" w:color="auto"/>
        <w:left w:val="none" w:sz="0" w:space="0" w:color="auto"/>
        <w:bottom w:val="none" w:sz="0" w:space="0" w:color="auto"/>
        <w:right w:val="none" w:sz="0" w:space="0" w:color="auto"/>
      </w:divBdr>
    </w:div>
    <w:div w:id="135072854">
      <w:bodyDiv w:val="1"/>
      <w:marLeft w:val="0"/>
      <w:marRight w:val="0"/>
      <w:marTop w:val="0"/>
      <w:marBottom w:val="0"/>
      <w:divBdr>
        <w:top w:val="none" w:sz="0" w:space="0" w:color="auto"/>
        <w:left w:val="none" w:sz="0" w:space="0" w:color="auto"/>
        <w:bottom w:val="none" w:sz="0" w:space="0" w:color="auto"/>
        <w:right w:val="none" w:sz="0" w:space="0" w:color="auto"/>
      </w:divBdr>
    </w:div>
    <w:div w:id="266743267">
      <w:bodyDiv w:val="1"/>
      <w:marLeft w:val="0"/>
      <w:marRight w:val="0"/>
      <w:marTop w:val="0"/>
      <w:marBottom w:val="0"/>
      <w:divBdr>
        <w:top w:val="none" w:sz="0" w:space="0" w:color="auto"/>
        <w:left w:val="none" w:sz="0" w:space="0" w:color="auto"/>
        <w:bottom w:val="none" w:sz="0" w:space="0" w:color="auto"/>
        <w:right w:val="none" w:sz="0" w:space="0" w:color="auto"/>
      </w:divBdr>
    </w:div>
    <w:div w:id="296377983">
      <w:bodyDiv w:val="1"/>
      <w:marLeft w:val="0"/>
      <w:marRight w:val="0"/>
      <w:marTop w:val="0"/>
      <w:marBottom w:val="0"/>
      <w:divBdr>
        <w:top w:val="none" w:sz="0" w:space="0" w:color="auto"/>
        <w:left w:val="none" w:sz="0" w:space="0" w:color="auto"/>
        <w:bottom w:val="none" w:sz="0" w:space="0" w:color="auto"/>
        <w:right w:val="none" w:sz="0" w:space="0" w:color="auto"/>
      </w:divBdr>
    </w:div>
    <w:div w:id="312956388">
      <w:bodyDiv w:val="1"/>
      <w:marLeft w:val="0"/>
      <w:marRight w:val="0"/>
      <w:marTop w:val="0"/>
      <w:marBottom w:val="0"/>
      <w:divBdr>
        <w:top w:val="none" w:sz="0" w:space="0" w:color="auto"/>
        <w:left w:val="none" w:sz="0" w:space="0" w:color="auto"/>
        <w:bottom w:val="none" w:sz="0" w:space="0" w:color="auto"/>
        <w:right w:val="none" w:sz="0" w:space="0" w:color="auto"/>
      </w:divBdr>
      <w:divsChild>
        <w:div w:id="615985419">
          <w:marLeft w:val="274"/>
          <w:marRight w:val="0"/>
          <w:marTop w:val="0"/>
          <w:marBottom w:val="0"/>
          <w:divBdr>
            <w:top w:val="none" w:sz="0" w:space="0" w:color="auto"/>
            <w:left w:val="none" w:sz="0" w:space="0" w:color="auto"/>
            <w:bottom w:val="none" w:sz="0" w:space="0" w:color="auto"/>
            <w:right w:val="none" w:sz="0" w:space="0" w:color="auto"/>
          </w:divBdr>
        </w:div>
        <w:div w:id="1224103353">
          <w:marLeft w:val="274"/>
          <w:marRight w:val="0"/>
          <w:marTop w:val="0"/>
          <w:marBottom w:val="0"/>
          <w:divBdr>
            <w:top w:val="none" w:sz="0" w:space="0" w:color="auto"/>
            <w:left w:val="none" w:sz="0" w:space="0" w:color="auto"/>
            <w:bottom w:val="none" w:sz="0" w:space="0" w:color="auto"/>
            <w:right w:val="none" w:sz="0" w:space="0" w:color="auto"/>
          </w:divBdr>
        </w:div>
      </w:divsChild>
    </w:div>
    <w:div w:id="320698773">
      <w:bodyDiv w:val="1"/>
      <w:marLeft w:val="0"/>
      <w:marRight w:val="0"/>
      <w:marTop w:val="0"/>
      <w:marBottom w:val="0"/>
      <w:divBdr>
        <w:top w:val="none" w:sz="0" w:space="0" w:color="auto"/>
        <w:left w:val="none" w:sz="0" w:space="0" w:color="auto"/>
        <w:bottom w:val="none" w:sz="0" w:space="0" w:color="auto"/>
        <w:right w:val="none" w:sz="0" w:space="0" w:color="auto"/>
      </w:divBdr>
    </w:div>
    <w:div w:id="363671450">
      <w:bodyDiv w:val="1"/>
      <w:marLeft w:val="0"/>
      <w:marRight w:val="0"/>
      <w:marTop w:val="0"/>
      <w:marBottom w:val="0"/>
      <w:divBdr>
        <w:top w:val="none" w:sz="0" w:space="0" w:color="auto"/>
        <w:left w:val="none" w:sz="0" w:space="0" w:color="auto"/>
        <w:bottom w:val="none" w:sz="0" w:space="0" w:color="auto"/>
        <w:right w:val="none" w:sz="0" w:space="0" w:color="auto"/>
      </w:divBdr>
    </w:div>
    <w:div w:id="409426372">
      <w:bodyDiv w:val="1"/>
      <w:marLeft w:val="0"/>
      <w:marRight w:val="0"/>
      <w:marTop w:val="0"/>
      <w:marBottom w:val="0"/>
      <w:divBdr>
        <w:top w:val="none" w:sz="0" w:space="0" w:color="auto"/>
        <w:left w:val="none" w:sz="0" w:space="0" w:color="auto"/>
        <w:bottom w:val="none" w:sz="0" w:space="0" w:color="auto"/>
        <w:right w:val="none" w:sz="0" w:space="0" w:color="auto"/>
      </w:divBdr>
    </w:div>
    <w:div w:id="410663082">
      <w:bodyDiv w:val="1"/>
      <w:marLeft w:val="0"/>
      <w:marRight w:val="0"/>
      <w:marTop w:val="0"/>
      <w:marBottom w:val="0"/>
      <w:divBdr>
        <w:top w:val="none" w:sz="0" w:space="0" w:color="auto"/>
        <w:left w:val="none" w:sz="0" w:space="0" w:color="auto"/>
        <w:bottom w:val="none" w:sz="0" w:space="0" w:color="auto"/>
        <w:right w:val="none" w:sz="0" w:space="0" w:color="auto"/>
      </w:divBdr>
    </w:div>
    <w:div w:id="526792323">
      <w:bodyDiv w:val="1"/>
      <w:marLeft w:val="0"/>
      <w:marRight w:val="0"/>
      <w:marTop w:val="0"/>
      <w:marBottom w:val="0"/>
      <w:divBdr>
        <w:top w:val="none" w:sz="0" w:space="0" w:color="auto"/>
        <w:left w:val="none" w:sz="0" w:space="0" w:color="auto"/>
        <w:bottom w:val="none" w:sz="0" w:space="0" w:color="auto"/>
        <w:right w:val="none" w:sz="0" w:space="0" w:color="auto"/>
      </w:divBdr>
    </w:div>
    <w:div w:id="547574686">
      <w:bodyDiv w:val="1"/>
      <w:marLeft w:val="0"/>
      <w:marRight w:val="0"/>
      <w:marTop w:val="0"/>
      <w:marBottom w:val="0"/>
      <w:divBdr>
        <w:top w:val="none" w:sz="0" w:space="0" w:color="auto"/>
        <w:left w:val="none" w:sz="0" w:space="0" w:color="auto"/>
        <w:bottom w:val="none" w:sz="0" w:space="0" w:color="auto"/>
        <w:right w:val="none" w:sz="0" w:space="0" w:color="auto"/>
      </w:divBdr>
    </w:div>
    <w:div w:id="551889974">
      <w:bodyDiv w:val="1"/>
      <w:marLeft w:val="0"/>
      <w:marRight w:val="0"/>
      <w:marTop w:val="0"/>
      <w:marBottom w:val="0"/>
      <w:divBdr>
        <w:top w:val="none" w:sz="0" w:space="0" w:color="auto"/>
        <w:left w:val="none" w:sz="0" w:space="0" w:color="auto"/>
        <w:bottom w:val="none" w:sz="0" w:space="0" w:color="auto"/>
        <w:right w:val="none" w:sz="0" w:space="0" w:color="auto"/>
      </w:divBdr>
    </w:div>
    <w:div w:id="566186432">
      <w:bodyDiv w:val="1"/>
      <w:marLeft w:val="0"/>
      <w:marRight w:val="0"/>
      <w:marTop w:val="0"/>
      <w:marBottom w:val="0"/>
      <w:divBdr>
        <w:top w:val="none" w:sz="0" w:space="0" w:color="auto"/>
        <w:left w:val="none" w:sz="0" w:space="0" w:color="auto"/>
        <w:bottom w:val="none" w:sz="0" w:space="0" w:color="auto"/>
        <w:right w:val="none" w:sz="0" w:space="0" w:color="auto"/>
      </w:divBdr>
    </w:div>
    <w:div w:id="575673675">
      <w:bodyDiv w:val="1"/>
      <w:marLeft w:val="0"/>
      <w:marRight w:val="0"/>
      <w:marTop w:val="0"/>
      <w:marBottom w:val="0"/>
      <w:divBdr>
        <w:top w:val="none" w:sz="0" w:space="0" w:color="auto"/>
        <w:left w:val="none" w:sz="0" w:space="0" w:color="auto"/>
        <w:bottom w:val="none" w:sz="0" w:space="0" w:color="auto"/>
        <w:right w:val="none" w:sz="0" w:space="0" w:color="auto"/>
      </w:divBdr>
    </w:div>
    <w:div w:id="586429627">
      <w:bodyDiv w:val="1"/>
      <w:marLeft w:val="0"/>
      <w:marRight w:val="0"/>
      <w:marTop w:val="0"/>
      <w:marBottom w:val="0"/>
      <w:divBdr>
        <w:top w:val="none" w:sz="0" w:space="0" w:color="auto"/>
        <w:left w:val="none" w:sz="0" w:space="0" w:color="auto"/>
        <w:bottom w:val="none" w:sz="0" w:space="0" w:color="auto"/>
        <w:right w:val="none" w:sz="0" w:space="0" w:color="auto"/>
      </w:divBdr>
    </w:div>
    <w:div w:id="666054546">
      <w:bodyDiv w:val="1"/>
      <w:marLeft w:val="0"/>
      <w:marRight w:val="0"/>
      <w:marTop w:val="0"/>
      <w:marBottom w:val="0"/>
      <w:divBdr>
        <w:top w:val="none" w:sz="0" w:space="0" w:color="auto"/>
        <w:left w:val="none" w:sz="0" w:space="0" w:color="auto"/>
        <w:bottom w:val="none" w:sz="0" w:space="0" w:color="auto"/>
        <w:right w:val="none" w:sz="0" w:space="0" w:color="auto"/>
      </w:divBdr>
      <w:divsChild>
        <w:div w:id="1517226913">
          <w:marLeft w:val="0"/>
          <w:marRight w:val="0"/>
          <w:marTop w:val="0"/>
          <w:marBottom w:val="0"/>
          <w:divBdr>
            <w:top w:val="none" w:sz="0" w:space="0" w:color="auto"/>
            <w:left w:val="none" w:sz="0" w:space="0" w:color="auto"/>
            <w:bottom w:val="none" w:sz="0" w:space="0" w:color="auto"/>
            <w:right w:val="none" w:sz="0" w:space="0" w:color="auto"/>
          </w:divBdr>
        </w:div>
      </w:divsChild>
    </w:div>
    <w:div w:id="698895172">
      <w:bodyDiv w:val="1"/>
      <w:marLeft w:val="0"/>
      <w:marRight w:val="0"/>
      <w:marTop w:val="0"/>
      <w:marBottom w:val="0"/>
      <w:divBdr>
        <w:top w:val="none" w:sz="0" w:space="0" w:color="auto"/>
        <w:left w:val="none" w:sz="0" w:space="0" w:color="auto"/>
        <w:bottom w:val="none" w:sz="0" w:space="0" w:color="auto"/>
        <w:right w:val="none" w:sz="0" w:space="0" w:color="auto"/>
      </w:divBdr>
    </w:div>
    <w:div w:id="719743442">
      <w:bodyDiv w:val="1"/>
      <w:marLeft w:val="0"/>
      <w:marRight w:val="0"/>
      <w:marTop w:val="0"/>
      <w:marBottom w:val="0"/>
      <w:divBdr>
        <w:top w:val="none" w:sz="0" w:space="0" w:color="auto"/>
        <w:left w:val="none" w:sz="0" w:space="0" w:color="auto"/>
        <w:bottom w:val="none" w:sz="0" w:space="0" w:color="auto"/>
        <w:right w:val="none" w:sz="0" w:space="0" w:color="auto"/>
      </w:divBdr>
    </w:div>
    <w:div w:id="727067706">
      <w:bodyDiv w:val="1"/>
      <w:marLeft w:val="0"/>
      <w:marRight w:val="0"/>
      <w:marTop w:val="0"/>
      <w:marBottom w:val="0"/>
      <w:divBdr>
        <w:top w:val="none" w:sz="0" w:space="0" w:color="auto"/>
        <w:left w:val="none" w:sz="0" w:space="0" w:color="auto"/>
        <w:bottom w:val="none" w:sz="0" w:space="0" w:color="auto"/>
        <w:right w:val="none" w:sz="0" w:space="0" w:color="auto"/>
      </w:divBdr>
    </w:div>
    <w:div w:id="763889344">
      <w:bodyDiv w:val="1"/>
      <w:marLeft w:val="0"/>
      <w:marRight w:val="0"/>
      <w:marTop w:val="0"/>
      <w:marBottom w:val="0"/>
      <w:divBdr>
        <w:top w:val="none" w:sz="0" w:space="0" w:color="auto"/>
        <w:left w:val="none" w:sz="0" w:space="0" w:color="auto"/>
        <w:bottom w:val="none" w:sz="0" w:space="0" w:color="auto"/>
        <w:right w:val="none" w:sz="0" w:space="0" w:color="auto"/>
      </w:divBdr>
      <w:divsChild>
        <w:div w:id="510530199">
          <w:marLeft w:val="1411"/>
          <w:marRight w:val="0"/>
          <w:marTop w:val="67"/>
          <w:marBottom w:val="67"/>
          <w:divBdr>
            <w:top w:val="none" w:sz="0" w:space="0" w:color="auto"/>
            <w:left w:val="none" w:sz="0" w:space="0" w:color="auto"/>
            <w:bottom w:val="none" w:sz="0" w:space="0" w:color="auto"/>
            <w:right w:val="none" w:sz="0" w:space="0" w:color="auto"/>
          </w:divBdr>
        </w:div>
        <w:div w:id="536048604">
          <w:marLeft w:val="1411"/>
          <w:marRight w:val="0"/>
          <w:marTop w:val="67"/>
          <w:marBottom w:val="67"/>
          <w:divBdr>
            <w:top w:val="none" w:sz="0" w:space="0" w:color="auto"/>
            <w:left w:val="none" w:sz="0" w:space="0" w:color="auto"/>
            <w:bottom w:val="none" w:sz="0" w:space="0" w:color="auto"/>
            <w:right w:val="none" w:sz="0" w:space="0" w:color="auto"/>
          </w:divBdr>
        </w:div>
        <w:div w:id="884609653">
          <w:marLeft w:val="274"/>
          <w:marRight w:val="0"/>
          <w:marTop w:val="86"/>
          <w:marBottom w:val="86"/>
          <w:divBdr>
            <w:top w:val="none" w:sz="0" w:space="0" w:color="auto"/>
            <w:left w:val="none" w:sz="0" w:space="0" w:color="auto"/>
            <w:bottom w:val="none" w:sz="0" w:space="0" w:color="auto"/>
            <w:right w:val="none" w:sz="0" w:space="0" w:color="auto"/>
          </w:divBdr>
        </w:div>
        <w:div w:id="1024552865">
          <w:marLeft w:val="1411"/>
          <w:marRight w:val="0"/>
          <w:marTop w:val="67"/>
          <w:marBottom w:val="67"/>
          <w:divBdr>
            <w:top w:val="none" w:sz="0" w:space="0" w:color="auto"/>
            <w:left w:val="none" w:sz="0" w:space="0" w:color="auto"/>
            <w:bottom w:val="none" w:sz="0" w:space="0" w:color="auto"/>
            <w:right w:val="none" w:sz="0" w:space="0" w:color="auto"/>
          </w:divBdr>
        </w:div>
        <w:div w:id="1186291906">
          <w:marLeft w:val="835"/>
          <w:marRight w:val="0"/>
          <w:marTop w:val="77"/>
          <w:marBottom w:val="77"/>
          <w:divBdr>
            <w:top w:val="none" w:sz="0" w:space="0" w:color="auto"/>
            <w:left w:val="none" w:sz="0" w:space="0" w:color="auto"/>
            <w:bottom w:val="none" w:sz="0" w:space="0" w:color="auto"/>
            <w:right w:val="none" w:sz="0" w:space="0" w:color="auto"/>
          </w:divBdr>
        </w:div>
        <w:div w:id="1243830769">
          <w:marLeft w:val="835"/>
          <w:marRight w:val="0"/>
          <w:marTop w:val="77"/>
          <w:marBottom w:val="77"/>
          <w:divBdr>
            <w:top w:val="none" w:sz="0" w:space="0" w:color="auto"/>
            <w:left w:val="none" w:sz="0" w:space="0" w:color="auto"/>
            <w:bottom w:val="none" w:sz="0" w:space="0" w:color="auto"/>
            <w:right w:val="none" w:sz="0" w:space="0" w:color="auto"/>
          </w:divBdr>
        </w:div>
        <w:div w:id="1258172130">
          <w:marLeft w:val="1411"/>
          <w:marRight w:val="0"/>
          <w:marTop w:val="67"/>
          <w:marBottom w:val="67"/>
          <w:divBdr>
            <w:top w:val="none" w:sz="0" w:space="0" w:color="auto"/>
            <w:left w:val="none" w:sz="0" w:space="0" w:color="auto"/>
            <w:bottom w:val="none" w:sz="0" w:space="0" w:color="auto"/>
            <w:right w:val="none" w:sz="0" w:space="0" w:color="auto"/>
          </w:divBdr>
        </w:div>
        <w:div w:id="1352219455">
          <w:marLeft w:val="274"/>
          <w:marRight w:val="0"/>
          <w:marTop w:val="86"/>
          <w:marBottom w:val="86"/>
          <w:divBdr>
            <w:top w:val="none" w:sz="0" w:space="0" w:color="auto"/>
            <w:left w:val="none" w:sz="0" w:space="0" w:color="auto"/>
            <w:bottom w:val="none" w:sz="0" w:space="0" w:color="auto"/>
            <w:right w:val="none" w:sz="0" w:space="0" w:color="auto"/>
          </w:divBdr>
        </w:div>
        <w:div w:id="1457455953">
          <w:marLeft w:val="835"/>
          <w:marRight w:val="0"/>
          <w:marTop w:val="77"/>
          <w:marBottom w:val="77"/>
          <w:divBdr>
            <w:top w:val="none" w:sz="0" w:space="0" w:color="auto"/>
            <w:left w:val="none" w:sz="0" w:space="0" w:color="auto"/>
            <w:bottom w:val="none" w:sz="0" w:space="0" w:color="auto"/>
            <w:right w:val="none" w:sz="0" w:space="0" w:color="auto"/>
          </w:divBdr>
        </w:div>
        <w:div w:id="1644968860">
          <w:marLeft w:val="835"/>
          <w:marRight w:val="0"/>
          <w:marTop w:val="77"/>
          <w:marBottom w:val="77"/>
          <w:divBdr>
            <w:top w:val="none" w:sz="0" w:space="0" w:color="auto"/>
            <w:left w:val="none" w:sz="0" w:space="0" w:color="auto"/>
            <w:bottom w:val="none" w:sz="0" w:space="0" w:color="auto"/>
            <w:right w:val="none" w:sz="0" w:space="0" w:color="auto"/>
          </w:divBdr>
        </w:div>
        <w:div w:id="1645311438">
          <w:marLeft w:val="835"/>
          <w:marRight w:val="0"/>
          <w:marTop w:val="77"/>
          <w:marBottom w:val="77"/>
          <w:divBdr>
            <w:top w:val="none" w:sz="0" w:space="0" w:color="auto"/>
            <w:left w:val="none" w:sz="0" w:space="0" w:color="auto"/>
            <w:bottom w:val="none" w:sz="0" w:space="0" w:color="auto"/>
            <w:right w:val="none" w:sz="0" w:space="0" w:color="auto"/>
          </w:divBdr>
        </w:div>
      </w:divsChild>
    </w:div>
    <w:div w:id="769276653">
      <w:bodyDiv w:val="1"/>
      <w:marLeft w:val="0"/>
      <w:marRight w:val="0"/>
      <w:marTop w:val="0"/>
      <w:marBottom w:val="0"/>
      <w:divBdr>
        <w:top w:val="none" w:sz="0" w:space="0" w:color="auto"/>
        <w:left w:val="none" w:sz="0" w:space="0" w:color="auto"/>
        <w:bottom w:val="none" w:sz="0" w:space="0" w:color="auto"/>
        <w:right w:val="none" w:sz="0" w:space="0" w:color="auto"/>
      </w:divBdr>
    </w:div>
    <w:div w:id="785002216">
      <w:bodyDiv w:val="1"/>
      <w:marLeft w:val="0"/>
      <w:marRight w:val="0"/>
      <w:marTop w:val="0"/>
      <w:marBottom w:val="0"/>
      <w:divBdr>
        <w:top w:val="none" w:sz="0" w:space="0" w:color="auto"/>
        <w:left w:val="none" w:sz="0" w:space="0" w:color="auto"/>
        <w:bottom w:val="none" w:sz="0" w:space="0" w:color="auto"/>
        <w:right w:val="none" w:sz="0" w:space="0" w:color="auto"/>
      </w:divBdr>
    </w:div>
    <w:div w:id="826551661">
      <w:bodyDiv w:val="1"/>
      <w:marLeft w:val="0"/>
      <w:marRight w:val="0"/>
      <w:marTop w:val="0"/>
      <w:marBottom w:val="0"/>
      <w:divBdr>
        <w:top w:val="none" w:sz="0" w:space="0" w:color="auto"/>
        <w:left w:val="none" w:sz="0" w:space="0" w:color="auto"/>
        <w:bottom w:val="none" w:sz="0" w:space="0" w:color="auto"/>
        <w:right w:val="none" w:sz="0" w:space="0" w:color="auto"/>
      </w:divBdr>
    </w:div>
    <w:div w:id="835462613">
      <w:bodyDiv w:val="1"/>
      <w:marLeft w:val="0"/>
      <w:marRight w:val="0"/>
      <w:marTop w:val="0"/>
      <w:marBottom w:val="0"/>
      <w:divBdr>
        <w:top w:val="none" w:sz="0" w:space="0" w:color="auto"/>
        <w:left w:val="none" w:sz="0" w:space="0" w:color="auto"/>
        <w:bottom w:val="none" w:sz="0" w:space="0" w:color="auto"/>
        <w:right w:val="none" w:sz="0" w:space="0" w:color="auto"/>
      </w:divBdr>
      <w:divsChild>
        <w:div w:id="1398672493">
          <w:marLeft w:val="0"/>
          <w:marRight w:val="0"/>
          <w:marTop w:val="0"/>
          <w:marBottom w:val="0"/>
          <w:divBdr>
            <w:top w:val="none" w:sz="0" w:space="0" w:color="auto"/>
            <w:left w:val="none" w:sz="0" w:space="0" w:color="auto"/>
            <w:bottom w:val="none" w:sz="0" w:space="0" w:color="auto"/>
            <w:right w:val="none" w:sz="0" w:space="0" w:color="auto"/>
          </w:divBdr>
        </w:div>
      </w:divsChild>
    </w:div>
    <w:div w:id="847250233">
      <w:bodyDiv w:val="1"/>
      <w:marLeft w:val="0"/>
      <w:marRight w:val="0"/>
      <w:marTop w:val="0"/>
      <w:marBottom w:val="0"/>
      <w:divBdr>
        <w:top w:val="none" w:sz="0" w:space="0" w:color="auto"/>
        <w:left w:val="none" w:sz="0" w:space="0" w:color="auto"/>
        <w:bottom w:val="none" w:sz="0" w:space="0" w:color="auto"/>
        <w:right w:val="none" w:sz="0" w:space="0" w:color="auto"/>
      </w:divBdr>
    </w:div>
    <w:div w:id="852643136">
      <w:bodyDiv w:val="1"/>
      <w:marLeft w:val="0"/>
      <w:marRight w:val="0"/>
      <w:marTop w:val="0"/>
      <w:marBottom w:val="0"/>
      <w:divBdr>
        <w:top w:val="none" w:sz="0" w:space="0" w:color="auto"/>
        <w:left w:val="none" w:sz="0" w:space="0" w:color="auto"/>
        <w:bottom w:val="none" w:sz="0" w:space="0" w:color="auto"/>
        <w:right w:val="none" w:sz="0" w:space="0" w:color="auto"/>
      </w:divBdr>
      <w:divsChild>
        <w:div w:id="379091477">
          <w:marLeft w:val="274"/>
          <w:marRight w:val="0"/>
          <w:marTop w:val="86"/>
          <w:marBottom w:val="86"/>
          <w:divBdr>
            <w:top w:val="none" w:sz="0" w:space="0" w:color="auto"/>
            <w:left w:val="none" w:sz="0" w:space="0" w:color="auto"/>
            <w:bottom w:val="none" w:sz="0" w:space="0" w:color="auto"/>
            <w:right w:val="none" w:sz="0" w:space="0" w:color="auto"/>
          </w:divBdr>
        </w:div>
        <w:div w:id="505292176">
          <w:marLeft w:val="274"/>
          <w:marRight w:val="0"/>
          <w:marTop w:val="86"/>
          <w:marBottom w:val="86"/>
          <w:divBdr>
            <w:top w:val="none" w:sz="0" w:space="0" w:color="auto"/>
            <w:left w:val="none" w:sz="0" w:space="0" w:color="auto"/>
            <w:bottom w:val="none" w:sz="0" w:space="0" w:color="auto"/>
            <w:right w:val="none" w:sz="0" w:space="0" w:color="auto"/>
          </w:divBdr>
        </w:div>
        <w:div w:id="1366172987">
          <w:marLeft w:val="274"/>
          <w:marRight w:val="0"/>
          <w:marTop w:val="86"/>
          <w:marBottom w:val="86"/>
          <w:divBdr>
            <w:top w:val="none" w:sz="0" w:space="0" w:color="auto"/>
            <w:left w:val="none" w:sz="0" w:space="0" w:color="auto"/>
            <w:bottom w:val="none" w:sz="0" w:space="0" w:color="auto"/>
            <w:right w:val="none" w:sz="0" w:space="0" w:color="auto"/>
          </w:divBdr>
        </w:div>
        <w:div w:id="1477451500">
          <w:marLeft w:val="835"/>
          <w:marRight w:val="0"/>
          <w:marTop w:val="86"/>
          <w:marBottom w:val="86"/>
          <w:divBdr>
            <w:top w:val="none" w:sz="0" w:space="0" w:color="auto"/>
            <w:left w:val="none" w:sz="0" w:space="0" w:color="auto"/>
            <w:bottom w:val="none" w:sz="0" w:space="0" w:color="auto"/>
            <w:right w:val="none" w:sz="0" w:space="0" w:color="auto"/>
          </w:divBdr>
        </w:div>
        <w:div w:id="2032366551">
          <w:marLeft w:val="274"/>
          <w:marRight w:val="0"/>
          <w:marTop w:val="86"/>
          <w:marBottom w:val="86"/>
          <w:divBdr>
            <w:top w:val="none" w:sz="0" w:space="0" w:color="auto"/>
            <w:left w:val="none" w:sz="0" w:space="0" w:color="auto"/>
            <w:bottom w:val="none" w:sz="0" w:space="0" w:color="auto"/>
            <w:right w:val="none" w:sz="0" w:space="0" w:color="auto"/>
          </w:divBdr>
        </w:div>
        <w:div w:id="2048869938">
          <w:marLeft w:val="835"/>
          <w:marRight w:val="0"/>
          <w:marTop w:val="86"/>
          <w:marBottom w:val="86"/>
          <w:divBdr>
            <w:top w:val="none" w:sz="0" w:space="0" w:color="auto"/>
            <w:left w:val="none" w:sz="0" w:space="0" w:color="auto"/>
            <w:bottom w:val="none" w:sz="0" w:space="0" w:color="auto"/>
            <w:right w:val="none" w:sz="0" w:space="0" w:color="auto"/>
          </w:divBdr>
        </w:div>
      </w:divsChild>
    </w:div>
    <w:div w:id="897008965">
      <w:bodyDiv w:val="1"/>
      <w:marLeft w:val="0"/>
      <w:marRight w:val="0"/>
      <w:marTop w:val="0"/>
      <w:marBottom w:val="0"/>
      <w:divBdr>
        <w:top w:val="none" w:sz="0" w:space="0" w:color="auto"/>
        <w:left w:val="none" w:sz="0" w:space="0" w:color="auto"/>
        <w:bottom w:val="none" w:sz="0" w:space="0" w:color="auto"/>
        <w:right w:val="none" w:sz="0" w:space="0" w:color="auto"/>
      </w:divBdr>
    </w:div>
    <w:div w:id="897789394">
      <w:bodyDiv w:val="1"/>
      <w:marLeft w:val="0"/>
      <w:marRight w:val="0"/>
      <w:marTop w:val="0"/>
      <w:marBottom w:val="0"/>
      <w:divBdr>
        <w:top w:val="none" w:sz="0" w:space="0" w:color="auto"/>
        <w:left w:val="none" w:sz="0" w:space="0" w:color="auto"/>
        <w:bottom w:val="none" w:sz="0" w:space="0" w:color="auto"/>
        <w:right w:val="none" w:sz="0" w:space="0" w:color="auto"/>
      </w:divBdr>
    </w:div>
    <w:div w:id="932276981">
      <w:bodyDiv w:val="1"/>
      <w:marLeft w:val="0"/>
      <w:marRight w:val="0"/>
      <w:marTop w:val="0"/>
      <w:marBottom w:val="0"/>
      <w:divBdr>
        <w:top w:val="none" w:sz="0" w:space="0" w:color="auto"/>
        <w:left w:val="none" w:sz="0" w:space="0" w:color="auto"/>
        <w:bottom w:val="none" w:sz="0" w:space="0" w:color="auto"/>
        <w:right w:val="none" w:sz="0" w:space="0" w:color="auto"/>
      </w:divBdr>
    </w:div>
    <w:div w:id="946741073">
      <w:bodyDiv w:val="1"/>
      <w:marLeft w:val="0"/>
      <w:marRight w:val="0"/>
      <w:marTop w:val="0"/>
      <w:marBottom w:val="0"/>
      <w:divBdr>
        <w:top w:val="none" w:sz="0" w:space="0" w:color="auto"/>
        <w:left w:val="none" w:sz="0" w:space="0" w:color="auto"/>
        <w:bottom w:val="none" w:sz="0" w:space="0" w:color="auto"/>
        <w:right w:val="none" w:sz="0" w:space="0" w:color="auto"/>
      </w:divBdr>
    </w:div>
    <w:div w:id="963268881">
      <w:bodyDiv w:val="1"/>
      <w:marLeft w:val="0"/>
      <w:marRight w:val="0"/>
      <w:marTop w:val="0"/>
      <w:marBottom w:val="0"/>
      <w:divBdr>
        <w:top w:val="none" w:sz="0" w:space="0" w:color="auto"/>
        <w:left w:val="none" w:sz="0" w:space="0" w:color="auto"/>
        <w:bottom w:val="none" w:sz="0" w:space="0" w:color="auto"/>
        <w:right w:val="none" w:sz="0" w:space="0" w:color="auto"/>
      </w:divBdr>
    </w:div>
    <w:div w:id="1007363301">
      <w:bodyDiv w:val="1"/>
      <w:marLeft w:val="0"/>
      <w:marRight w:val="0"/>
      <w:marTop w:val="0"/>
      <w:marBottom w:val="0"/>
      <w:divBdr>
        <w:top w:val="none" w:sz="0" w:space="0" w:color="auto"/>
        <w:left w:val="none" w:sz="0" w:space="0" w:color="auto"/>
        <w:bottom w:val="none" w:sz="0" w:space="0" w:color="auto"/>
        <w:right w:val="none" w:sz="0" w:space="0" w:color="auto"/>
      </w:divBdr>
    </w:div>
    <w:div w:id="1058018043">
      <w:bodyDiv w:val="1"/>
      <w:marLeft w:val="0"/>
      <w:marRight w:val="0"/>
      <w:marTop w:val="0"/>
      <w:marBottom w:val="0"/>
      <w:divBdr>
        <w:top w:val="none" w:sz="0" w:space="0" w:color="auto"/>
        <w:left w:val="none" w:sz="0" w:space="0" w:color="auto"/>
        <w:bottom w:val="none" w:sz="0" w:space="0" w:color="auto"/>
        <w:right w:val="none" w:sz="0" w:space="0" w:color="auto"/>
      </w:divBdr>
    </w:div>
    <w:div w:id="1078289440">
      <w:bodyDiv w:val="1"/>
      <w:marLeft w:val="0"/>
      <w:marRight w:val="0"/>
      <w:marTop w:val="0"/>
      <w:marBottom w:val="0"/>
      <w:divBdr>
        <w:top w:val="none" w:sz="0" w:space="0" w:color="auto"/>
        <w:left w:val="none" w:sz="0" w:space="0" w:color="auto"/>
        <w:bottom w:val="none" w:sz="0" w:space="0" w:color="auto"/>
        <w:right w:val="none" w:sz="0" w:space="0" w:color="auto"/>
      </w:divBdr>
    </w:div>
    <w:div w:id="1091582354">
      <w:bodyDiv w:val="1"/>
      <w:marLeft w:val="0"/>
      <w:marRight w:val="0"/>
      <w:marTop w:val="0"/>
      <w:marBottom w:val="0"/>
      <w:divBdr>
        <w:top w:val="none" w:sz="0" w:space="0" w:color="auto"/>
        <w:left w:val="none" w:sz="0" w:space="0" w:color="auto"/>
        <w:bottom w:val="none" w:sz="0" w:space="0" w:color="auto"/>
        <w:right w:val="none" w:sz="0" w:space="0" w:color="auto"/>
      </w:divBdr>
    </w:div>
    <w:div w:id="1101024051">
      <w:bodyDiv w:val="1"/>
      <w:marLeft w:val="0"/>
      <w:marRight w:val="0"/>
      <w:marTop w:val="0"/>
      <w:marBottom w:val="0"/>
      <w:divBdr>
        <w:top w:val="none" w:sz="0" w:space="0" w:color="auto"/>
        <w:left w:val="none" w:sz="0" w:space="0" w:color="auto"/>
        <w:bottom w:val="none" w:sz="0" w:space="0" w:color="auto"/>
        <w:right w:val="none" w:sz="0" w:space="0" w:color="auto"/>
      </w:divBdr>
    </w:div>
    <w:div w:id="1108963382">
      <w:bodyDiv w:val="1"/>
      <w:marLeft w:val="0"/>
      <w:marRight w:val="0"/>
      <w:marTop w:val="0"/>
      <w:marBottom w:val="0"/>
      <w:divBdr>
        <w:top w:val="none" w:sz="0" w:space="0" w:color="auto"/>
        <w:left w:val="none" w:sz="0" w:space="0" w:color="auto"/>
        <w:bottom w:val="none" w:sz="0" w:space="0" w:color="auto"/>
        <w:right w:val="none" w:sz="0" w:space="0" w:color="auto"/>
      </w:divBdr>
    </w:div>
    <w:div w:id="1146437499">
      <w:bodyDiv w:val="1"/>
      <w:marLeft w:val="0"/>
      <w:marRight w:val="0"/>
      <w:marTop w:val="0"/>
      <w:marBottom w:val="0"/>
      <w:divBdr>
        <w:top w:val="none" w:sz="0" w:space="0" w:color="auto"/>
        <w:left w:val="none" w:sz="0" w:space="0" w:color="auto"/>
        <w:bottom w:val="none" w:sz="0" w:space="0" w:color="auto"/>
        <w:right w:val="none" w:sz="0" w:space="0" w:color="auto"/>
      </w:divBdr>
    </w:div>
    <w:div w:id="1170754572">
      <w:bodyDiv w:val="1"/>
      <w:marLeft w:val="0"/>
      <w:marRight w:val="0"/>
      <w:marTop w:val="0"/>
      <w:marBottom w:val="0"/>
      <w:divBdr>
        <w:top w:val="none" w:sz="0" w:space="0" w:color="auto"/>
        <w:left w:val="none" w:sz="0" w:space="0" w:color="auto"/>
        <w:bottom w:val="none" w:sz="0" w:space="0" w:color="auto"/>
        <w:right w:val="none" w:sz="0" w:space="0" w:color="auto"/>
      </w:divBdr>
    </w:div>
    <w:div w:id="1194004969">
      <w:bodyDiv w:val="1"/>
      <w:marLeft w:val="0"/>
      <w:marRight w:val="0"/>
      <w:marTop w:val="0"/>
      <w:marBottom w:val="0"/>
      <w:divBdr>
        <w:top w:val="none" w:sz="0" w:space="0" w:color="auto"/>
        <w:left w:val="none" w:sz="0" w:space="0" w:color="auto"/>
        <w:bottom w:val="none" w:sz="0" w:space="0" w:color="auto"/>
        <w:right w:val="none" w:sz="0" w:space="0" w:color="auto"/>
      </w:divBdr>
    </w:div>
    <w:div w:id="1197236020">
      <w:bodyDiv w:val="1"/>
      <w:marLeft w:val="0"/>
      <w:marRight w:val="0"/>
      <w:marTop w:val="0"/>
      <w:marBottom w:val="0"/>
      <w:divBdr>
        <w:top w:val="none" w:sz="0" w:space="0" w:color="auto"/>
        <w:left w:val="none" w:sz="0" w:space="0" w:color="auto"/>
        <w:bottom w:val="none" w:sz="0" w:space="0" w:color="auto"/>
        <w:right w:val="none" w:sz="0" w:space="0" w:color="auto"/>
      </w:divBdr>
    </w:div>
    <w:div w:id="1214274349">
      <w:bodyDiv w:val="1"/>
      <w:marLeft w:val="0"/>
      <w:marRight w:val="0"/>
      <w:marTop w:val="0"/>
      <w:marBottom w:val="0"/>
      <w:divBdr>
        <w:top w:val="none" w:sz="0" w:space="0" w:color="auto"/>
        <w:left w:val="none" w:sz="0" w:space="0" w:color="auto"/>
        <w:bottom w:val="none" w:sz="0" w:space="0" w:color="auto"/>
        <w:right w:val="none" w:sz="0" w:space="0" w:color="auto"/>
      </w:divBdr>
    </w:div>
    <w:div w:id="1244755156">
      <w:bodyDiv w:val="1"/>
      <w:marLeft w:val="0"/>
      <w:marRight w:val="0"/>
      <w:marTop w:val="0"/>
      <w:marBottom w:val="0"/>
      <w:divBdr>
        <w:top w:val="none" w:sz="0" w:space="0" w:color="auto"/>
        <w:left w:val="none" w:sz="0" w:space="0" w:color="auto"/>
        <w:bottom w:val="none" w:sz="0" w:space="0" w:color="auto"/>
        <w:right w:val="none" w:sz="0" w:space="0" w:color="auto"/>
      </w:divBdr>
    </w:div>
    <w:div w:id="1267467217">
      <w:bodyDiv w:val="1"/>
      <w:marLeft w:val="0"/>
      <w:marRight w:val="0"/>
      <w:marTop w:val="0"/>
      <w:marBottom w:val="0"/>
      <w:divBdr>
        <w:top w:val="none" w:sz="0" w:space="0" w:color="auto"/>
        <w:left w:val="none" w:sz="0" w:space="0" w:color="auto"/>
        <w:bottom w:val="none" w:sz="0" w:space="0" w:color="auto"/>
        <w:right w:val="none" w:sz="0" w:space="0" w:color="auto"/>
      </w:divBdr>
    </w:div>
    <w:div w:id="1274752205">
      <w:bodyDiv w:val="1"/>
      <w:marLeft w:val="0"/>
      <w:marRight w:val="0"/>
      <w:marTop w:val="0"/>
      <w:marBottom w:val="0"/>
      <w:divBdr>
        <w:top w:val="none" w:sz="0" w:space="0" w:color="auto"/>
        <w:left w:val="none" w:sz="0" w:space="0" w:color="auto"/>
        <w:bottom w:val="none" w:sz="0" w:space="0" w:color="auto"/>
        <w:right w:val="none" w:sz="0" w:space="0" w:color="auto"/>
      </w:divBdr>
    </w:div>
    <w:div w:id="1286079847">
      <w:bodyDiv w:val="1"/>
      <w:marLeft w:val="0"/>
      <w:marRight w:val="0"/>
      <w:marTop w:val="0"/>
      <w:marBottom w:val="0"/>
      <w:divBdr>
        <w:top w:val="none" w:sz="0" w:space="0" w:color="auto"/>
        <w:left w:val="none" w:sz="0" w:space="0" w:color="auto"/>
        <w:bottom w:val="none" w:sz="0" w:space="0" w:color="auto"/>
        <w:right w:val="none" w:sz="0" w:space="0" w:color="auto"/>
      </w:divBdr>
    </w:div>
    <w:div w:id="1287813166">
      <w:bodyDiv w:val="1"/>
      <w:marLeft w:val="0"/>
      <w:marRight w:val="0"/>
      <w:marTop w:val="0"/>
      <w:marBottom w:val="0"/>
      <w:divBdr>
        <w:top w:val="none" w:sz="0" w:space="0" w:color="auto"/>
        <w:left w:val="none" w:sz="0" w:space="0" w:color="auto"/>
        <w:bottom w:val="none" w:sz="0" w:space="0" w:color="auto"/>
        <w:right w:val="none" w:sz="0" w:space="0" w:color="auto"/>
      </w:divBdr>
    </w:div>
    <w:div w:id="1352874111">
      <w:bodyDiv w:val="1"/>
      <w:marLeft w:val="0"/>
      <w:marRight w:val="0"/>
      <w:marTop w:val="0"/>
      <w:marBottom w:val="0"/>
      <w:divBdr>
        <w:top w:val="none" w:sz="0" w:space="0" w:color="auto"/>
        <w:left w:val="none" w:sz="0" w:space="0" w:color="auto"/>
        <w:bottom w:val="none" w:sz="0" w:space="0" w:color="auto"/>
        <w:right w:val="none" w:sz="0" w:space="0" w:color="auto"/>
      </w:divBdr>
    </w:div>
    <w:div w:id="1356733611">
      <w:bodyDiv w:val="1"/>
      <w:marLeft w:val="0"/>
      <w:marRight w:val="0"/>
      <w:marTop w:val="0"/>
      <w:marBottom w:val="0"/>
      <w:divBdr>
        <w:top w:val="none" w:sz="0" w:space="0" w:color="auto"/>
        <w:left w:val="none" w:sz="0" w:space="0" w:color="auto"/>
        <w:bottom w:val="none" w:sz="0" w:space="0" w:color="auto"/>
        <w:right w:val="none" w:sz="0" w:space="0" w:color="auto"/>
      </w:divBdr>
    </w:div>
    <w:div w:id="1386835823">
      <w:bodyDiv w:val="1"/>
      <w:marLeft w:val="0"/>
      <w:marRight w:val="0"/>
      <w:marTop w:val="0"/>
      <w:marBottom w:val="0"/>
      <w:divBdr>
        <w:top w:val="none" w:sz="0" w:space="0" w:color="auto"/>
        <w:left w:val="none" w:sz="0" w:space="0" w:color="auto"/>
        <w:bottom w:val="none" w:sz="0" w:space="0" w:color="auto"/>
        <w:right w:val="none" w:sz="0" w:space="0" w:color="auto"/>
      </w:divBdr>
    </w:div>
    <w:div w:id="1406144876">
      <w:bodyDiv w:val="1"/>
      <w:marLeft w:val="0"/>
      <w:marRight w:val="0"/>
      <w:marTop w:val="0"/>
      <w:marBottom w:val="0"/>
      <w:divBdr>
        <w:top w:val="none" w:sz="0" w:space="0" w:color="auto"/>
        <w:left w:val="none" w:sz="0" w:space="0" w:color="auto"/>
        <w:bottom w:val="none" w:sz="0" w:space="0" w:color="auto"/>
        <w:right w:val="none" w:sz="0" w:space="0" w:color="auto"/>
      </w:divBdr>
    </w:div>
    <w:div w:id="1443107358">
      <w:bodyDiv w:val="1"/>
      <w:marLeft w:val="0"/>
      <w:marRight w:val="0"/>
      <w:marTop w:val="0"/>
      <w:marBottom w:val="0"/>
      <w:divBdr>
        <w:top w:val="none" w:sz="0" w:space="0" w:color="auto"/>
        <w:left w:val="none" w:sz="0" w:space="0" w:color="auto"/>
        <w:bottom w:val="none" w:sz="0" w:space="0" w:color="auto"/>
        <w:right w:val="none" w:sz="0" w:space="0" w:color="auto"/>
      </w:divBdr>
    </w:div>
    <w:div w:id="1457479228">
      <w:bodyDiv w:val="1"/>
      <w:marLeft w:val="0"/>
      <w:marRight w:val="0"/>
      <w:marTop w:val="0"/>
      <w:marBottom w:val="0"/>
      <w:divBdr>
        <w:top w:val="none" w:sz="0" w:space="0" w:color="auto"/>
        <w:left w:val="none" w:sz="0" w:space="0" w:color="auto"/>
        <w:bottom w:val="none" w:sz="0" w:space="0" w:color="auto"/>
        <w:right w:val="none" w:sz="0" w:space="0" w:color="auto"/>
      </w:divBdr>
    </w:div>
    <w:div w:id="1467242413">
      <w:bodyDiv w:val="1"/>
      <w:marLeft w:val="0"/>
      <w:marRight w:val="0"/>
      <w:marTop w:val="0"/>
      <w:marBottom w:val="0"/>
      <w:divBdr>
        <w:top w:val="none" w:sz="0" w:space="0" w:color="auto"/>
        <w:left w:val="none" w:sz="0" w:space="0" w:color="auto"/>
        <w:bottom w:val="none" w:sz="0" w:space="0" w:color="auto"/>
        <w:right w:val="none" w:sz="0" w:space="0" w:color="auto"/>
      </w:divBdr>
    </w:div>
    <w:div w:id="1505053029">
      <w:bodyDiv w:val="1"/>
      <w:marLeft w:val="0"/>
      <w:marRight w:val="0"/>
      <w:marTop w:val="0"/>
      <w:marBottom w:val="0"/>
      <w:divBdr>
        <w:top w:val="none" w:sz="0" w:space="0" w:color="auto"/>
        <w:left w:val="none" w:sz="0" w:space="0" w:color="auto"/>
        <w:bottom w:val="none" w:sz="0" w:space="0" w:color="auto"/>
        <w:right w:val="none" w:sz="0" w:space="0" w:color="auto"/>
      </w:divBdr>
    </w:div>
    <w:div w:id="1524200675">
      <w:bodyDiv w:val="1"/>
      <w:marLeft w:val="0"/>
      <w:marRight w:val="0"/>
      <w:marTop w:val="0"/>
      <w:marBottom w:val="0"/>
      <w:divBdr>
        <w:top w:val="none" w:sz="0" w:space="0" w:color="auto"/>
        <w:left w:val="none" w:sz="0" w:space="0" w:color="auto"/>
        <w:bottom w:val="none" w:sz="0" w:space="0" w:color="auto"/>
        <w:right w:val="none" w:sz="0" w:space="0" w:color="auto"/>
      </w:divBdr>
    </w:div>
    <w:div w:id="1528517735">
      <w:bodyDiv w:val="1"/>
      <w:marLeft w:val="0"/>
      <w:marRight w:val="0"/>
      <w:marTop w:val="0"/>
      <w:marBottom w:val="0"/>
      <w:divBdr>
        <w:top w:val="none" w:sz="0" w:space="0" w:color="auto"/>
        <w:left w:val="none" w:sz="0" w:space="0" w:color="auto"/>
        <w:bottom w:val="none" w:sz="0" w:space="0" w:color="auto"/>
        <w:right w:val="none" w:sz="0" w:space="0" w:color="auto"/>
      </w:divBdr>
    </w:div>
    <w:div w:id="1560171108">
      <w:bodyDiv w:val="1"/>
      <w:marLeft w:val="0"/>
      <w:marRight w:val="0"/>
      <w:marTop w:val="0"/>
      <w:marBottom w:val="0"/>
      <w:divBdr>
        <w:top w:val="none" w:sz="0" w:space="0" w:color="auto"/>
        <w:left w:val="none" w:sz="0" w:space="0" w:color="auto"/>
        <w:bottom w:val="none" w:sz="0" w:space="0" w:color="auto"/>
        <w:right w:val="none" w:sz="0" w:space="0" w:color="auto"/>
      </w:divBdr>
      <w:divsChild>
        <w:div w:id="231476438">
          <w:marLeft w:val="0"/>
          <w:marRight w:val="0"/>
          <w:marTop w:val="0"/>
          <w:marBottom w:val="0"/>
          <w:divBdr>
            <w:top w:val="none" w:sz="0" w:space="0" w:color="auto"/>
            <w:left w:val="none" w:sz="0" w:space="0" w:color="auto"/>
            <w:bottom w:val="none" w:sz="0" w:space="0" w:color="auto"/>
            <w:right w:val="none" w:sz="0" w:space="0" w:color="auto"/>
          </w:divBdr>
        </w:div>
        <w:div w:id="311254206">
          <w:marLeft w:val="0"/>
          <w:marRight w:val="0"/>
          <w:marTop w:val="0"/>
          <w:marBottom w:val="0"/>
          <w:divBdr>
            <w:top w:val="none" w:sz="0" w:space="0" w:color="auto"/>
            <w:left w:val="none" w:sz="0" w:space="0" w:color="auto"/>
            <w:bottom w:val="none" w:sz="0" w:space="0" w:color="auto"/>
            <w:right w:val="none" w:sz="0" w:space="0" w:color="auto"/>
          </w:divBdr>
        </w:div>
        <w:div w:id="1139146981">
          <w:marLeft w:val="0"/>
          <w:marRight w:val="0"/>
          <w:marTop w:val="0"/>
          <w:marBottom w:val="0"/>
          <w:divBdr>
            <w:top w:val="none" w:sz="0" w:space="0" w:color="auto"/>
            <w:left w:val="none" w:sz="0" w:space="0" w:color="auto"/>
            <w:bottom w:val="none" w:sz="0" w:space="0" w:color="auto"/>
            <w:right w:val="none" w:sz="0" w:space="0" w:color="auto"/>
          </w:divBdr>
        </w:div>
        <w:div w:id="1291739413">
          <w:marLeft w:val="0"/>
          <w:marRight w:val="0"/>
          <w:marTop w:val="0"/>
          <w:marBottom w:val="0"/>
          <w:divBdr>
            <w:top w:val="none" w:sz="0" w:space="0" w:color="auto"/>
            <w:left w:val="none" w:sz="0" w:space="0" w:color="auto"/>
            <w:bottom w:val="none" w:sz="0" w:space="0" w:color="auto"/>
            <w:right w:val="none" w:sz="0" w:space="0" w:color="auto"/>
          </w:divBdr>
        </w:div>
        <w:div w:id="1835602520">
          <w:marLeft w:val="0"/>
          <w:marRight w:val="0"/>
          <w:marTop w:val="0"/>
          <w:marBottom w:val="0"/>
          <w:divBdr>
            <w:top w:val="none" w:sz="0" w:space="0" w:color="auto"/>
            <w:left w:val="none" w:sz="0" w:space="0" w:color="auto"/>
            <w:bottom w:val="none" w:sz="0" w:space="0" w:color="auto"/>
            <w:right w:val="none" w:sz="0" w:space="0" w:color="auto"/>
          </w:divBdr>
        </w:div>
        <w:div w:id="2057897404">
          <w:marLeft w:val="0"/>
          <w:marRight w:val="0"/>
          <w:marTop w:val="0"/>
          <w:marBottom w:val="0"/>
          <w:divBdr>
            <w:top w:val="none" w:sz="0" w:space="0" w:color="auto"/>
            <w:left w:val="none" w:sz="0" w:space="0" w:color="auto"/>
            <w:bottom w:val="none" w:sz="0" w:space="0" w:color="auto"/>
            <w:right w:val="none" w:sz="0" w:space="0" w:color="auto"/>
          </w:divBdr>
        </w:div>
      </w:divsChild>
    </w:div>
    <w:div w:id="1569464191">
      <w:bodyDiv w:val="1"/>
      <w:marLeft w:val="0"/>
      <w:marRight w:val="0"/>
      <w:marTop w:val="0"/>
      <w:marBottom w:val="0"/>
      <w:divBdr>
        <w:top w:val="none" w:sz="0" w:space="0" w:color="auto"/>
        <w:left w:val="none" w:sz="0" w:space="0" w:color="auto"/>
        <w:bottom w:val="none" w:sz="0" w:space="0" w:color="auto"/>
        <w:right w:val="none" w:sz="0" w:space="0" w:color="auto"/>
      </w:divBdr>
    </w:div>
    <w:div w:id="1570533704">
      <w:bodyDiv w:val="1"/>
      <w:marLeft w:val="0"/>
      <w:marRight w:val="0"/>
      <w:marTop w:val="0"/>
      <w:marBottom w:val="0"/>
      <w:divBdr>
        <w:top w:val="none" w:sz="0" w:space="0" w:color="auto"/>
        <w:left w:val="none" w:sz="0" w:space="0" w:color="auto"/>
        <w:bottom w:val="none" w:sz="0" w:space="0" w:color="auto"/>
        <w:right w:val="none" w:sz="0" w:space="0" w:color="auto"/>
      </w:divBdr>
    </w:div>
    <w:div w:id="1610770510">
      <w:bodyDiv w:val="1"/>
      <w:marLeft w:val="0"/>
      <w:marRight w:val="0"/>
      <w:marTop w:val="0"/>
      <w:marBottom w:val="0"/>
      <w:divBdr>
        <w:top w:val="none" w:sz="0" w:space="0" w:color="auto"/>
        <w:left w:val="none" w:sz="0" w:space="0" w:color="auto"/>
        <w:bottom w:val="none" w:sz="0" w:space="0" w:color="auto"/>
        <w:right w:val="none" w:sz="0" w:space="0" w:color="auto"/>
      </w:divBdr>
    </w:div>
    <w:div w:id="1611931985">
      <w:bodyDiv w:val="1"/>
      <w:marLeft w:val="0"/>
      <w:marRight w:val="0"/>
      <w:marTop w:val="0"/>
      <w:marBottom w:val="0"/>
      <w:divBdr>
        <w:top w:val="none" w:sz="0" w:space="0" w:color="auto"/>
        <w:left w:val="none" w:sz="0" w:space="0" w:color="auto"/>
        <w:bottom w:val="none" w:sz="0" w:space="0" w:color="auto"/>
        <w:right w:val="none" w:sz="0" w:space="0" w:color="auto"/>
      </w:divBdr>
    </w:div>
    <w:div w:id="1663385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785">
          <w:marLeft w:val="274"/>
          <w:marRight w:val="0"/>
          <w:marTop w:val="96"/>
          <w:marBottom w:val="96"/>
          <w:divBdr>
            <w:top w:val="none" w:sz="0" w:space="0" w:color="auto"/>
            <w:left w:val="none" w:sz="0" w:space="0" w:color="auto"/>
            <w:bottom w:val="none" w:sz="0" w:space="0" w:color="auto"/>
            <w:right w:val="none" w:sz="0" w:space="0" w:color="auto"/>
          </w:divBdr>
        </w:div>
        <w:div w:id="894851729">
          <w:marLeft w:val="835"/>
          <w:marRight w:val="0"/>
          <w:marTop w:val="77"/>
          <w:marBottom w:val="77"/>
          <w:divBdr>
            <w:top w:val="none" w:sz="0" w:space="0" w:color="auto"/>
            <w:left w:val="none" w:sz="0" w:space="0" w:color="auto"/>
            <w:bottom w:val="none" w:sz="0" w:space="0" w:color="auto"/>
            <w:right w:val="none" w:sz="0" w:space="0" w:color="auto"/>
          </w:divBdr>
        </w:div>
        <w:div w:id="1365205605">
          <w:marLeft w:val="835"/>
          <w:marRight w:val="0"/>
          <w:marTop w:val="77"/>
          <w:marBottom w:val="77"/>
          <w:divBdr>
            <w:top w:val="none" w:sz="0" w:space="0" w:color="auto"/>
            <w:left w:val="none" w:sz="0" w:space="0" w:color="auto"/>
            <w:bottom w:val="none" w:sz="0" w:space="0" w:color="auto"/>
            <w:right w:val="none" w:sz="0" w:space="0" w:color="auto"/>
          </w:divBdr>
        </w:div>
        <w:div w:id="1459453335">
          <w:marLeft w:val="835"/>
          <w:marRight w:val="0"/>
          <w:marTop w:val="77"/>
          <w:marBottom w:val="77"/>
          <w:divBdr>
            <w:top w:val="none" w:sz="0" w:space="0" w:color="auto"/>
            <w:left w:val="none" w:sz="0" w:space="0" w:color="auto"/>
            <w:bottom w:val="none" w:sz="0" w:space="0" w:color="auto"/>
            <w:right w:val="none" w:sz="0" w:space="0" w:color="auto"/>
          </w:divBdr>
        </w:div>
        <w:div w:id="1630742848">
          <w:marLeft w:val="835"/>
          <w:marRight w:val="0"/>
          <w:marTop w:val="77"/>
          <w:marBottom w:val="77"/>
          <w:divBdr>
            <w:top w:val="none" w:sz="0" w:space="0" w:color="auto"/>
            <w:left w:val="none" w:sz="0" w:space="0" w:color="auto"/>
            <w:bottom w:val="none" w:sz="0" w:space="0" w:color="auto"/>
            <w:right w:val="none" w:sz="0" w:space="0" w:color="auto"/>
          </w:divBdr>
        </w:div>
        <w:div w:id="1683700496">
          <w:marLeft w:val="835"/>
          <w:marRight w:val="0"/>
          <w:marTop w:val="77"/>
          <w:marBottom w:val="77"/>
          <w:divBdr>
            <w:top w:val="none" w:sz="0" w:space="0" w:color="auto"/>
            <w:left w:val="none" w:sz="0" w:space="0" w:color="auto"/>
            <w:bottom w:val="none" w:sz="0" w:space="0" w:color="auto"/>
            <w:right w:val="none" w:sz="0" w:space="0" w:color="auto"/>
          </w:divBdr>
        </w:div>
      </w:divsChild>
    </w:div>
    <w:div w:id="1683777389">
      <w:bodyDiv w:val="1"/>
      <w:marLeft w:val="0"/>
      <w:marRight w:val="0"/>
      <w:marTop w:val="0"/>
      <w:marBottom w:val="0"/>
      <w:divBdr>
        <w:top w:val="none" w:sz="0" w:space="0" w:color="auto"/>
        <w:left w:val="none" w:sz="0" w:space="0" w:color="auto"/>
        <w:bottom w:val="none" w:sz="0" w:space="0" w:color="auto"/>
        <w:right w:val="none" w:sz="0" w:space="0" w:color="auto"/>
      </w:divBdr>
    </w:div>
    <w:div w:id="1687054287">
      <w:bodyDiv w:val="1"/>
      <w:marLeft w:val="0"/>
      <w:marRight w:val="0"/>
      <w:marTop w:val="0"/>
      <w:marBottom w:val="0"/>
      <w:divBdr>
        <w:top w:val="none" w:sz="0" w:space="0" w:color="auto"/>
        <w:left w:val="none" w:sz="0" w:space="0" w:color="auto"/>
        <w:bottom w:val="none" w:sz="0" w:space="0" w:color="auto"/>
        <w:right w:val="none" w:sz="0" w:space="0" w:color="auto"/>
      </w:divBdr>
    </w:div>
    <w:div w:id="1688481020">
      <w:bodyDiv w:val="1"/>
      <w:marLeft w:val="0"/>
      <w:marRight w:val="0"/>
      <w:marTop w:val="0"/>
      <w:marBottom w:val="0"/>
      <w:divBdr>
        <w:top w:val="none" w:sz="0" w:space="0" w:color="auto"/>
        <w:left w:val="none" w:sz="0" w:space="0" w:color="auto"/>
        <w:bottom w:val="none" w:sz="0" w:space="0" w:color="auto"/>
        <w:right w:val="none" w:sz="0" w:space="0" w:color="auto"/>
      </w:divBdr>
    </w:div>
    <w:div w:id="1789547672">
      <w:bodyDiv w:val="1"/>
      <w:marLeft w:val="0"/>
      <w:marRight w:val="0"/>
      <w:marTop w:val="0"/>
      <w:marBottom w:val="0"/>
      <w:divBdr>
        <w:top w:val="none" w:sz="0" w:space="0" w:color="auto"/>
        <w:left w:val="none" w:sz="0" w:space="0" w:color="auto"/>
        <w:bottom w:val="none" w:sz="0" w:space="0" w:color="auto"/>
        <w:right w:val="none" w:sz="0" w:space="0" w:color="auto"/>
      </w:divBdr>
    </w:div>
    <w:div w:id="1839731361">
      <w:bodyDiv w:val="1"/>
      <w:marLeft w:val="0"/>
      <w:marRight w:val="0"/>
      <w:marTop w:val="0"/>
      <w:marBottom w:val="0"/>
      <w:divBdr>
        <w:top w:val="none" w:sz="0" w:space="0" w:color="auto"/>
        <w:left w:val="none" w:sz="0" w:space="0" w:color="auto"/>
        <w:bottom w:val="none" w:sz="0" w:space="0" w:color="auto"/>
        <w:right w:val="none" w:sz="0" w:space="0" w:color="auto"/>
      </w:divBdr>
    </w:div>
    <w:div w:id="1864437548">
      <w:bodyDiv w:val="1"/>
      <w:marLeft w:val="0"/>
      <w:marRight w:val="0"/>
      <w:marTop w:val="0"/>
      <w:marBottom w:val="0"/>
      <w:divBdr>
        <w:top w:val="none" w:sz="0" w:space="0" w:color="auto"/>
        <w:left w:val="none" w:sz="0" w:space="0" w:color="auto"/>
        <w:bottom w:val="none" w:sz="0" w:space="0" w:color="auto"/>
        <w:right w:val="none" w:sz="0" w:space="0" w:color="auto"/>
      </w:divBdr>
    </w:div>
    <w:div w:id="1928224271">
      <w:bodyDiv w:val="1"/>
      <w:marLeft w:val="0"/>
      <w:marRight w:val="0"/>
      <w:marTop w:val="0"/>
      <w:marBottom w:val="0"/>
      <w:divBdr>
        <w:top w:val="none" w:sz="0" w:space="0" w:color="auto"/>
        <w:left w:val="none" w:sz="0" w:space="0" w:color="auto"/>
        <w:bottom w:val="none" w:sz="0" w:space="0" w:color="auto"/>
        <w:right w:val="none" w:sz="0" w:space="0" w:color="auto"/>
      </w:divBdr>
    </w:div>
    <w:div w:id="1993099921">
      <w:bodyDiv w:val="1"/>
      <w:marLeft w:val="0"/>
      <w:marRight w:val="0"/>
      <w:marTop w:val="0"/>
      <w:marBottom w:val="0"/>
      <w:divBdr>
        <w:top w:val="none" w:sz="0" w:space="0" w:color="auto"/>
        <w:left w:val="none" w:sz="0" w:space="0" w:color="auto"/>
        <w:bottom w:val="none" w:sz="0" w:space="0" w:color="auto"/>
        <w:right w:val="none" w:sz="0" w:space="0" w:color="auto"/>
      </w:divBdr>
    </w:div>
    <w:div w:id="2035299093">
      <w:bodyDiv w:val="1"/>
      <w:marLeft w:val="0"/>
      <w:marRight w:val="0"/>
      <w:marTop w:val="0"/>
      <w:marBottom w:val="0"/>
      <w:divBdr>
        <w:top w:val="none" w:sz="0" w:space="0" w:color="auto"/>
        <w:left w:val="none" w:sz="0" w:space="0" w:color="auto"/>
        <w:bottom w:val="none" w:sz="0" w:space="0" w:color="auto"/>
        <w:right w:val="none" w:sz="0" w:space="0" w:color="auto"/>
      </w:divBdr>
    </w:div>
    <w:div w:id="2051953082">
      <w:bodyDiv w:val="1"/>
      <w:marLeft w:val="0"/>
      <w:marRight w:val="0"/>
      <w:marTop w:val="0"/>
      <w:marBottom w:val="0"/>
      <w:divBdr>
        <w:top w:val="none" w:sz="0" w:space="0" w:color="auto"/>
        <w:left w:val="none" w:sz="0" w:space="0" w:color="auto"/>
        <w:bottom w:val="none" w:sz="0" w:space="0" w:color="auto"/>
        <w:right w:val="none" w:sz="0" w:space="0" w:color="auto"/>
      </w:divBdr>
    </w:div>
    <w:div w:id="2058846164">
      <w:bodyDiv w:val="1"/>
      <w:marLeft w:val="0"/>
      <w:marRight w:val="0"/>
      <w:marTop w:val="0"/>
      <w:marBottom w:val="0"/>
      <w:divBdr>
        <w:top w:val="none" w:sz="0" w:space="0" w:color="auto"/>
        <w:left w:val="none" w:sz="0" w:space="0" w:color="auto"/>
        <w:bottom w:val="none" w:sz="0" w:space="0" w:color="auto"/>
        <w:right w:val="none" w:sz="0" w:space="0" w:color="auto"/>
      </w:divBdr>
    </w:div>
    <w:div w:id="2058894242">
      <w:bodyDiv w:val="1"/>
      <w:marLeft w:val="0"/>
      <w:marRight w:val="0"/>
      <w:marTop w:val="0"/>
      <w:marBottom w:val="0"/>
      <w:divBdr>
        <w:top w:val="none" w:sz="0" w:space="0" w:color="auto"/>
        <w:left w:val="none" w:sz="0" w:space="0" w:color="auto"/>
        <w:bottom w:val="none" w:sz="0" w:space="0" w:color="auto"/>
        <w:right w:val="none" w:sz="0" w:space="0" w:color="auto"/>
      </w:divBdr>
    </w:div>
    <w:div w:id="2062167997">
      <w:bodyDiv w:val="1"/>
      <w:marLeft w:val="0"/>
      <w:marRight w:val="0"/>
      <w:marTop w:val="0"/>
      <w:marBottom w:val="0"/>
      <w:divBdr>
        <w:top w:val="none" w:sz="0" w:space="0" w:color="auto"/>
        <w:left w:val="none" w:sz="0" w:space="0" w:color="auto"/>
        <w:bottom w:val="none" w:sz="0" w:space="0" w:color="auto"/>
        <w:right w:val="none" w:sz="0" w:space="0" w:color="auto"/>
      </w:divBdr>
    </w:div>
    <w:div w:id="2086148183">
      <w:bodyDiv w:val="1"/>
      <w:marLeft w:val="0"/>
      <w:marRight w:val="0"/>
      <w:marTop w:val="0"/>
      <w:marBottom w:val="0"/>
      <w:divBdr>
        <w:top w:val="none" w:sz="0" w:space="0" w:color="auto"/>
        <w:left w:val="none" w:sz="0" w:space="0" w:color="auto"/>
        <w:bottom w:val="none" w:sz="0" w:space="0" w:color="auto"/>
        <w:right w:val="none" w:sz="0" w:space="0" w:color="auto"/>
      </w:divBdr>
    </w:div>
    <w:div w:id="2101025852">
      <w:bodyDiv w:val="1"/>
      <w:marLeft w:val="0"/>
      <w:marRight w:val="0"/>
      <w:marTop w:val="0"/>
      <w:marBottom w:val="0"/>
      <w:divBdr>
        <w:top w:val="none" w:sz="0" w:space="0" w:color="auto"/>
        <w:left w:val="none" w:sz="0" w:space="0" w:color="auto"/>
        <w:bottom w:val="none" w:sz="0" w:space="0" w:color="auto"/>
        <w:right w:val="none" w:sz="0" w:space="0" w:color="auto"/>
      </w:divBdr>
    </w:div>
    <w:div w:id="2128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tatistica@arn.gw" TargetMode="Externa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oter" Target="footer2.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nacom.pt/streaming/erg0330.pdf?categoryId=85233&amp;contentId=144356&amp;field=ATTACHED_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Incyte Colours">
      <a:dk1>
        <a:sysClr val="windowText" lastClr="000000"/>
      </a:dk1>
      <a:lt1>
        <a:sysClr val="window" lastClr="FFFFFF"/>
      </a:lt1>
      <a:dk2>
        <a:srgbClr val="1F497D"/>
      </a:dk2>
      <a:lt2>
        <a:srgbClr val="EEECE1"/>
      </a:lt2>
      <a:accent1>
        <a:srgbClr val="002D62"/>
      </a:accent1>
      <a:accent2>
        <a:srgbClr val="5F93A8"/>
      </a:accent2>
      <a:accent3>
        <a:srgbClr val="EF3C3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Consulta Pública para a Autoridade Reguladora Nacional das Tecnologias de Informação e Comunicação da Guiné Bissau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34082-C378-4B28-BD34-60A2123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26447</Words>
  <Characters>146263</Characters>
  <Application>Microsoft Office Word</Application>
  <DocSecurity>0</DocSecurity>
  <Lines>1218</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custeio de serviços de telecomunicação a grosso e retalho</vt:lpstr>
      <vt:lpstr>Report Title</vt:lpstr>
    </vt:vector>
  </TitlesOfParts>
  <Company>Incyte Consulting</Company>
  <LinksUpToDate>false</LinksUpToDate>
  <CharactersWithSpaces>172366</CharactersWithSpaces>
  <SharedDoc>false</SharedDoc>
  <HLinks>
    <vt:vector size="246" baseType="variant">
      <vt:variant>
        <vt:i4>6619172</vt:i4>
      </vt:variant>
      <vt:variant>
        <vt:i4>321</vt:i4>
      </vt:variant>
      <vt:variant>
        <vt:i4>0</vt:i4>
      </vt:variant>
      <vt:variant>
        <vt:i4>5</vt:i4>
      </vt:variant>
      <vt:variant>
        <vt:lpwstr>http://www.incyteconsulting.com/papersandarticles.html</vt:lpwstr>
      </vt:variant>
      <vt:variant>
        <vt:lpwstr/>
      </vt:variant>
      <vt:variant>
        <vt:i4>6553723</vt:i4>
      </vt:variant>
      <vt:variant>
        <vt:i4>318</vt:i4>
      </vt:variant>
      <vt:variant>
        <vt:i4>0</vt:i4>
      </vt:variant>
      <vt:variant>
        <vt:i4>5</vt:i4>
      </vt:variant>
      <vt:variant>
        <vt:lpwstr>http://www.uq.edu.au/emsah/mia/issues/miacp127.html</vt:lpwstr>
      </vt:variant>
      <vt:variant>
        <vt:lpwstr/>
      </vt:variant>
      <vt:variant>
        <vt:i4>6619172</vt:i4>
      </vt:variant>
      <vt:variant>
        <vt:i4>315</vt:i4>
      </vt:variant>
      <vt:variant>
        <vt:i4>0</vt:i4>
      </vt:variant>
      <vt:variant>
        <vt:i4>5</vt:i4>
      </vt:variant>
      <vt:variant>
        <vt:lpwstr>http://www.incyteconsulting.com/papersandarticles.html</vt:lpwstr>
      </vt:variant>
      <vt:variant>
        <vt:lpwstr/>
      </vt:variant>
      <vt:variant>
        <vt:i4>7340124</vt:i4>
      </vt:variant>
      <vt:variant>
        <vt:i4>312</vt:i4>
      </vt:variant>
      <vt:variant>
        <vt:i4>0</vt:i4>
      </vt:variant>
      <vt:variant>
        <vt:i4>5</vt:i4>
      </vt:variant>
      <vt:variant>
        <vt:lpwstr>http://www.antelope.org.uk/consumer_meetings.htm</vt:lpwstr>
      </vt:variant>
      <vt:variant>
        <vt:lpwstr/>
      </vt:variant>
      <vt:variant>
        <vt:i4>3801197</vt:i4>
      </vt:variant>
      <vt:variant>
        <vt:i4>309</vt:i4>
      </vt:variant>
      <vt:variant>
        <vt:i4>0</vt:i4>
      </vt:variant>
      <vt:variant>
        <vt:i4>5</vt:i4>
      </vt:variant>
      <vt:variant>
        <vt:lpwstr>http://www.seefire.org/publications.php?language=en</vt:lpwstr>
      </vt:variant>
      <vt:variant>
        <vt:lpwstr/>
      </vt:variant>
      <vt:variant>
        <vt:i4>1507420</vt:i4>
      </vt:variant>
      <vt:variant>
        <vt:i4>306</vt:i4>
      </vt:variant>
      <vt:variant>
        <vt:i4>0</vt:i4>
      </vt:variant>
      <vt:variant>
        <vt:i4>5</vt:i4>
      </vt:variant>
      <vt:variant>
        <vt:lpwstr>http://www.ruralict.ftml.net/np/nepal.htm</vt:lpwstr>
      </vt:variant>
      <vt:variant>
        <vt:lpwstr/>
      </vt:variant>
      <vt:variant>
        <vt:i4>7012385</vt:i4>
      </vt:variant>
      <vt:variant>
        <vt:i4>303</vt:i4>
      </vt:variant>
      <vt:variant>
        <vt:i4>0</vt:i4>
      </vt:variant>
      <vt:variant>
        <vt:i4>5</vt:i4>
      </vt:variant>
      <vt:variant>
        <vt:lpwstr>http://www.regulateonline.org/content/view/619/71/</vt:lpwstr>
      </vt:variant>
      <vt:variant>
        <vt:lpwstr/>
      </vt:variant>
      <vt:variant>
        <vt:i4>5832797</vt:i4>
      </vt:variant>
      <vt:variant>
        <vt:i4>300</vt:i4>
      </vt:variant>
      <vt:variant>
        <vt:i4>0</vt:i4>
      </vt:variant>
      <vt:variant>
        <vt:i4>5</vt:i4>
      </vt:variant>
      <vt:variant>
        <vt:lpwstr>http://www.ictregulationtoolkit.org/</vt:lpwstr>
      </vt:variant>
      <vt:variant>
        <vt:lpwstr/>
      </vt:variant>
      <vt:variant>
        <vt:i4>8323119</vt:i4>
      </vt:variant>
      <vt:variant>
        <vt:i4>297</vt:i4>
      </vt:variant>
      <vt:variant>
        <vt:i4>0</vt:i4>
      </vt:variant>
      <vt:variant>
        <vt:i4>5</vt:i4>
      </vt:variant>
      <vt:variant>
        <vt:lpwstr>http://www.ofcom.org.uk/about/organisations-we-work-with/consumer-forum-for-communications/</vt:lpwstr>
      </vt:variant>
      <vt:variant>
        <vt:lpwstr/>
      </vt:variant>
      <vt:variant>
        <vt:i4>3866668</vt:i4>
      </vt:variant>
      <vt:variant>
        <vt:i4>294</vt:i4>
      </vt:variant>
      <vt:variant>
        <vt:i4>0</vt:i4>
      </vt:variant>
      <vt:variant>
        <vt:i4>5</vt:i4>
      </vt:variant>
      <vt:variant>
        <vt:lpwstr>http://www.antelope.org.uk/</vt:lpwstr>
      </vt:variant>
      <vt:variant>
        <vt:lpwstr/>
      </vt:variant>
      <vt:variant>
        <vt:i4>3080217</vt:i4>
      </vt:variant>
      <vt:variant>
        <vt:i4>198</vt:i4>
      </vt:variant>
      <vt:variant>
        <vt:i4>0</vt:i4>
      </vt:variant>
      <vt:variant>
        <vt:i4>5</vt:i4>
      </vt:variant>
      <vt:variant>
        <vt:lpwstr>http://www.antelope.org.uk/internet_costs.htm</vt:lpwstr>
      </vt:variant>
      <vt:variant>
        <vt:lpwstr/>
      </vt:variant>
      <vt:variant>
        <vt:i4>1507420</vt:i4>
      </vt:variant>
      <vt:variant>
        <vt:i4>195</vt:i4>
      </vt:variant>
      <vt:variant>
        <vt:i4>0</vt:i4>
      </vt:variant>
      <vt:variant>
        <vt:i4>5</vt:i4>
      </vt:variant>
      <vt:variant>
        <vt:lpwstr>http://www.ruralict.ftml.net/np/nepal.htm</vt:lpwstr>
      </vt:variant>
      <vt:variant>
        <vt:lpwstr/>
      </vt:variant>
      <vt:variant>
        <vt:i4>5832797</vt:i4>
      </vt:variant>
      <vt:variant>
        <vt:i4>192</vt:i4>
      </vt:variant>
      <vt:variant>
        <vt:i4>0</vt:i4>
      </vt:variant>
      <vt:variant>
        <vt:i4>5</vt:i4>
      </vt:variant>
      <vt:variant>
        <vt:lpwstr>http://www.ictregulationtoolkit.org/</vt:lpwstr>
      </vt:variant>
      <vt:variant>
        <vt:lpwstr/>
      </vt:variant>
      <vt:variant>
        <vt:i4>1638461</vt:i4>
      </vt:variant>
      <vt:variant>
        <vt:i4>155</vt:i4>
      </vt:variant>
      <vt:variant>
        <vt:i4>0</vt:i4>
      </vt:variant>
      <vt:variant>
        <vt:i4>5</vt:i4>
      </vt:variant>
      <vt:variant>
        <vt:lpwstr/>
      </vt:variant>
      <vt:variant>
        <vt:lpwstr>_Toc285632921</vt:lpwstr>
      </vt:variant>
      <vt:variant>
        <vt:i4>1638461</vt:i4>
      </vt:variant>
      <vt:variant>
        <vt:i4>149</vt:i4>
      </vt:variant>
      <vt:variant>
        <vt:i4>0</vt:i4>
      </vt:variant>
      <vt:variant>
        <vt:i4>5</vt:i4>
      </vt:variant>
      <vt:variant>
        <vt:lpwstr/>
      </vt:variant>
      <vt:variant>
        <vt:lpwstr>_Toc285632920</vt:lpwstr>
      </vt:variant>
      <vt:variant>
        <vt:i4>1703997</vt:i4>
      </vt:variant>
      <vt:variant>
        <vt:i4>143</vt:i4>
      </vt:variant>
      <vt:variant>
        <vt:i4>0</vt:i4>
      </vt:variant>
      <vt:variant>
        <vt:i4>5</vt:i4>
      </vt:variant>
      <vt:variant>
        <vt:lpwstr/>
      </vt:variant>
      <vt:variant>
        <vt:lpwstr>_Toc285632919</vt:lpwstr>
      </vt:variant>
      <vt:variant>
        <vt:i4>1703997</vt:i4>
      </vt:variant>
      <vt:variant>
        <vt:i4>137</vt:i4>
      </vt:variant>
      <vt:variant>
        <vt:i4>0</vt:i4>
      </vt:variant>
      <vt:variant>
        <vt:i4>5</vt:i4>
      </vt:variant>
      <vt:variant>
        <vt:lpwstr/>
      </vt:variant>
      <vt:variant>
        <vt:lpwstr>_Toc285632918</vt:lpwstr>
      </vt:variant>
      <vt:variant>
        <vt:i4>1703997</vt:i4>
      </vt:variant>
      <vt:variant>
        <vt:i4>131</vt:i4>
      </vt:variant>
      <vt:variant>
        <vt:i4>0</vt:i4>
      </vt:variant>
      <vt:variant>
        <vt:i4>5</vt:i4>
      </vt:variant>
      <vt:variant>
        <vt:lpwstr/>
      </vt:variant>
      <vt:variant>
        <vt:lpwstr>_Toc285632917</vt:lpwstr>
      </vt:variant>
      <vt:variant>
        <vt:i4>1703997</vt:i4>
      </vt:variant>
      <vt:variant>
        <vt:i4>125</vt:i4>
      </vt:variant>
      <vt:variant>
        <vt:i4>0</vt:i4>
      </vt:variant>
      <vt:variant>
        <vt:i4>5</vt:i4>
      </vt:variant>
      <vt:variant>
        <vt:lpwstr/>
      </vt:variant>
      <vt:variant>
        <vt:lpwstr>_Toc285632916</vt:lpwstr>
      </vt:variant>
      <vt:variant>
        <vt:i4>1703997</vt:i4>
      </vt:variant>
      <vt:variant>
        <vt:i4>119</vt:i4>
      </vt:variant>
      <vt:variant>
        <vt:i4>0</vt:i4>
      </vt:variant>
      <vt:variant>
        <vt:i4>5</vt:i4>
      </vt:variant>
      <vt:variant>
        <vt:lpwstr/>
      </vt:variant>
      <vt:variant>
        <vt:lpwstr>_Toc285632915</vt:lpwstr>
      </vt:variant>
      <vt:variant>
        <vt:i4>1703997</vt:i4>
      </vt:variant>
      <vt:variant>
        <vt:i4>113</vt:i4>
      </vt:variant>
      <vt:variant>
        <vt:i4>0</vt:i4>
      </vt:variant>
      <vt:variant>
        <vt:i4>5</vt:i4>
      </vt:variant>
      <vt:variant>
        <vt:lpwstr/>
      </vt:variant>
      <vt:variant>
        <vt:lpwstr>_Toc285632914</vt:lpwstr>
      </vt:variant>
      <vt:variant>
        <vt:i4>1703997</vt:i4>
      </vt:variant>
      <vt:variant>
        <vt:i4>107</vt:i4>
      </vt:variant>
      <vt:variant>
        <vt:i4>0</vt:i4>
      </vt:variant>
      <vt:variant>
        <vt:i4>5</vt:i4>
      </vt:variant>
      <vt:variant>
        <vt:lpwstr/>
      </vt:variant>
      <vt:variant>
        <vt:lpwstr>_Toc285632913</vt:lpwstr>
      </vt:variant>
      <vt:variant>
        <vt:i4>1703997</vt:i4>
      </vt:variant>
      <vt:variant>
        <vt:i4>101</vt:i4>
      </vt:variant>
      <vt:variant>
        <vt:i4>0</vt:i4>
      </vt:variant>
      <vt:variant>
        <vt:i4>5</vt:i4>
      </vt:variant>
      <vt:variant>
        <vt:lpwstr/>
      </vt:variant>
      <vt:variant>
        <vt:lpwstr>_Toc285632912</vt:lpwstr>
      </vt:variant>
      <vt:variant>
        <vt:i4>1703997</vt:i4>
      </vt:variant>
      <vt:variant>
        <vt:i4>95</vt:i4>
      </vt:variant>
      <vt:variant>
        <vt:i4>0</vt:i4>
      </vt:variant>
      <vt:variant>
        <vt:i4>5</vt:i4>
      </vt:variant>
      <vt:variant>
        <vt:lpwstr/>
      </vt:variant>
      <vt:variant>
        <vt:lpwstr>_Toc285632911</vt:lpwstr>
      </vt:variant>
      <vt:variant>
        <vt:i4>1703997</vt:i4>
      </vt:variant>
      <vt:variant>
        <vt:i4>89</vt:i4>
      </vt:variant>
      <vt:variant>
        <vt:i4>0</vt:i4>
      </vt:variant>
      <vt:variant>
        <vt:i4>5</vt:i4>
      </vt:variant>
      <vt:variant>
        <vt:lpwstr/>
      </vt:variant>
      <vt:variant>
        <vt:lpwstr>_Toc285632910</vt:lpwstr>
      </vt:variant>
      <vt:variant>
        <vt:i4>1769533</vt:i4>
      </vt:variant>
      <vt:variant>
        <vt:i4>83</vt:i4>
      </vt:variant>
      <vt:variant>
        <vt:i4>0</vt:i4>
      </vt:variant>
      <vt:variant>
        <vt:i4>5</vt:i4>
      </vt:variant>
      <vt:variant>
        <vt:lpwstr/>
      </vt:variant>
      <vt:variant>
        <vt:lpwstr>_Toc285632909</vt:lpwstr>
      </vt:variant>
      <vt:variant>
        <vt:i4>1769533</vt:i4>
      </vt:variant>
      <vt:variant>
        <vt:i4>77</vt:i4>
      </vt:variant>
      <vt:variant>
        <vt:i4>0</vt:i4>
      </vt:variant>
      <vt:variant>
        <vt:i4>5</vt:i4>
      </vt:variant>
      <vt:variant>
        <vt:lpwstr/>
      </vt:variant>
      <vt:variant>
        <vt:lpwstr>_Toc285632908</vt:lpwstr>
      </vt:variant>
      <vt:variant>
        <vt:i4>1769533</vt:i4>
      </vt:variant>
      <vt:variant>
        <vt:i4>71</vt:i4>
      </vt:variant>
      <vt:variant>
        <vt:i4>0</vt:i4>
      </vt:variant>
      <vt:variant>
        <vt:i4>5</vt:i4>
      </vt:variant>
      <vt:variant>
        <vt:lpwstr/>
      </vt:variant>
      <vt:variant>
        <vt:lpwstr>_Toc285632907</vt:lpwstr>
      </vt:variant>
      <vt:variant>
        <vt:i4>1769533</vt:i4>
      </vt:variant>
      <vt:variant>
        <vt:i4>65</vt:i4>
      </vt:variant>
      <vt:variant>
        <vt:i4>0</vt:i4>
      </vt:variant>
      <vt:variant>
        <vt:i4>5</vt:i4>
      </vt:variant>
      <vt:variant>
        <vt:lpwstr/>
      </vt:variant>
      <vt:variant>
        <vt:lpwstr>_Toc285632906</vt:lpwstr>
      </vt:variant>
      <vt:variant>
        <vt:i4>1769533</vt:i4>
      </vt:variant>
      <vt:variant>
        <vt:i4>59</vt:i4>
      </vt:variant>
      <vt:variant>
        <vt:i4>0</vt:i4>
      </vt:variant>
      <vt:variant>
        <vt:i4>5</vt:i4>
      </vt:variant>
      <vt:variant>
        <vt:lpwstr/>
      </vt:variant>
      <vt:variant>
        <vt:lpwstr>_Toc285632905</vt:lpwstr>
      </vt:variant>
      <vt:variant>
        <vt:i4>1769533</vt:i4>
      </vt:variant>
      <vt:variant>
        <vt:i4>53</vt:i4>
      </vt:variant>
      <vt:variant>
        <vt:i4>0</vt:i4>
      </vt:variant>
      <vt:variant>
        <vt:i4>5</vt:i4>
      </vt:variant>
      <vt:variant>
        <vt:lpwstr/>
      </vt:variant>
      <vt:variant>
        <vt:lpwstr>_Toc285632904</vt:lpwstr>
      </vt:variant>
      <vt:variant>
        <vt:i4>1769533</vt:i4>
      </vt:variant>
      <vt:variant>
        <vt:i4>47</vt:i4>
      </vt:variant>
      <vt:variant>
        <vt:i4>0</vt:i4>
      </vt:variant>
      <vt:variant>
        <vt:i4>5</vt:i4>
      </vt:variant>
      <vt:variant>
        <vt:lpwstr/>
      </vt:variant>
      <vt:variant>
        <vt:lpwstr>_Toc285632903</vt:lpwstr>
      </vt:variant>
      <vt:variant>
        <vt:i4>1769533</vt:i4>
      </vt:variant>
      <vt:variant>
        <vt:i4>41</vt:i4>
      </vt:variant>
      <vt:variant>
        <vt:i4>0</vt:i4>
      </vt:variant>
      <vt:variant>
        <vt:i4>5</vt:i4>
      </vt:variant>
      <vt:variant>
        <vt:lpwstr/>
      </vt:variant>
      <vt:variant>
        <vt:lpwstr>_Toc285632902</vt:lpwstr>
      </vt:variant>
      <vt:variant>
        <vt:i4>1769533</vt:i4>
      </vt:variant>
      <vt:variant>
        <vt:i4>35</vt:i4>
      </vt:variant>
      <vt:variant>
        <vt:i4>0</vt:i4>
      </vt:variant>
      <vt:variant>
        <vt:i4>5</vt:i4>
      </vt:variant>
      <vt:variant>
        <vt:lpwstr/>
      </vt:variant>
      <vt:variant>
        <vt:lpwstr>_Toc285632901</vt:lpwstr>
      </vt:variant>
      <vt:variant>
        <vt:i4>1769533</vt:i4>
      </vt:variant>
      <vt:variant>
        <vt:i4>29</vt:i4>
      </vt:variant>
      <vt:variant>
        <vt:i4>0</vt:i4>
      </vt:variant>
      <vt:variant>
        <vt:i4>5</vt:i4>
      </vt:variant>
      <vt:variant>
        <vt:lpwstr/>
      </vt:variant>
      <vt:variant>
        <vt:lpwstr>_Toc285632900</vt:lpwstr>
      </vt:variant>
      <vt:variant>
        <vt:i4>1179708</vt:i4>
      </vt:variant>
      <vt:variant>
        <vt:i4>23</vt:i4>
      </vt:variant>
      <vt:variant>
        <vt:i4>0</vt:i4>
      </vt:variant>
      <vt:variant>
        <vt:i4>5</vt:i4>
      </vt:variant>
      <vt:variant>
        <vt:lpwstr/>
      </vt:variant>
      <vt:variant>
        <vt:lpwstr>_Toc285632899</vt:lpwstr>
      </vt:variant>
      <vt:variant>
        <vt:i4>1179708</vt:i4>
      </vt:variant>
      <vt:variant>
        <vt:i4>17</vt:i4>
      </vt:variant>
      <vt:variant>
        <vt:i4>0</vt:i4>
      </vt:variant>
      <vt:variant>
        <vt:i4>5</vt:i4>
      </vt:variant>
      <vt:variant>
        <vt:lpwstr/>
      </vt:variant>
      <vt:variant>
        <vt:lpwstr>_Toc285632898</vt:lpwstr>
      </vt:variant>
      <vt:variant>
        <vt:i4>1179708</vt:i4>
      </vt:variant>
      <vt:variant>
        <vt:i4>11</vt:i4>
      </vt:variant>
      <vt:variant>
        <vt:i4>0</vt:i4>
      </vt:variant>
      <vt:variant>
        <vt:i4>5</vt:i4>
      </vt:variant>
      <vt:variant>
        <vt:lpwstr/>
      </vt:variant>
      <vt:variant>
        <vt:lpwstr>_Toc285632897</vt:lpwstr>
      </vt:variant>
      <vt:variant>
        <vt:i4>2097162</vt:i4>
      </vt:variant>
      <vt:variant>
        <vt:i4>6</vt:i4>
      </vt:variant>
      <vt:variant>
        <vt:i4>0</vt:i4>
      </vt:variant>
      <vt:variant>
        <vt:i4>5</vt:i4>
      </vt:variant>
      <vt:variant>
        <vt:lpwstr>mailto:mor@incyteconsulting.com</vt:lpwstr>
      </vt:variant>
      <vt:variant>
        <vt:lpwstr/>
      </vt:variant>
      <vt:variant>
        <vt:i4>5832786</vt:i4>
      </vt:variant>
      <vt:variant>
        <vt:i4>0</vt:i4>
      </vt:variant>
      <vt:variant>
        <vt:i4>0</vt:i4>
      </vt:variant>
      <vt:variant>
        <vt:i4>5</vt:i4>
      </vt:variant>
      <vt:variant>
        <vt:lpwstr>http://www.incyteconsulting.com/</vt:lpwstr>
      </vt:variant>
      <vt:variant>
        <vt:lpwstr/>
      </vt:variant>
      <vt:variant>
        <vt:i4>8061046</vt:i4>
      </vt:variant>
      <vt:variant>
        <vt:i4>0</vt:i4>
      </vt:variant>
      <vt:variant>
        <vt:i4>0</vt:i4>
      </vt:variant>
      <vt:variant>
        <vt:i4>5</vt:i4>
      </vt:variant>
      <vt:variant>
        <vt:lpwstr>http://www.globalpost.com/dispatch/asia/110120/cambodia-mobile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custeio de serviços de telecomunicação a grosso e retalho</dc:title>
  <dc:subject>Relatorio inicial</dc:subject>
  <dc:creator>INCYTE</dc:creator>
  <cp:keywords>Incyte template</cp:keywords>
  <dc:description/>
  <cp:lastModifiedBy>USER 007</cp:lastModifiedBy>
  <cp:revision>2</cp:revision>
  <cp:lastPrinted>2020-10-23T13:49:00Z</cp:lastPrinted>
  <dcterms:created xsi:type="dcterms:W3CDTF">2020-10-26T15:14:00Z</dcterms:created>
  <dcterms:modified xsi:type="dcterms:W3CDTF">2020-10-26T15:14:00Z</dcterms:modified>
</cp:coreProperties>
</file>