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653D" w14:textId="1AA1B0B7" w:rsidR="0092220C" w:rsidRPr="009C520D" w:rsidRDefault="00866D00" w:rsidP="00CF3F5C">
      <w:pPr>
        <w:pStyle w:val="Ttulo1"/>
        <w:jc w:val="center"/>
        <w:rPr>
          <w:rFonts w:ascii="Times New Roman" w:hAnsi="Times New Roman" w:cs="Times New Roman"/>
          <w:color w:val="auto"/>
          <w:sz w:val="26"/>
          <w:szCs w:val="26"/>
          <w:lang w:val="pt-PT"/>
        </w:rPr>
      </w:pPr>
      <w:r w:rsidRPr="009C520D">
        <w:rPr>
          <w:rFonts w:ascii="Times New Roman" w:hAnsi="Times New Roman" w:cs="Times New Roman"/>
          <w:color w:val="auto"/>
          <w:sz w:val="26"/>
          <w:szCs w:val="26"/>
          <w:lang w:val="pt-PT"/>
        </w:rPr>
        <w:t>Relatório de a</w:t>
      </w:r>
      <w:r w:rsidR="00324E1E" w:rsidRPr="009C520D">
        <w:rPr>
          <w:rFonts w:ascii="Times New Roman" w:hAnsi="Times New Roman" w:cs="Times New Roman"/>
          <w:color w:val="auto"/>
          <w:sz w:val="26"/>
          <w:szCs w:val="26"/>
          <w:lang w:val="pt-PT"/>
        </w:rPr>
        <w:t>nálise do Mercado de Telecomunicações na Guiné Bissau</w:t>
      </w:r>
    </w:p>
    <w:p w14:paraId="3526D8FB" w14:textId="77777777" w:rsidR="0092220C" w:rsidRPr="009C520D" w:rsidRDefault="0092220C" w:rsidP="00327FF1">
      <w:pPr>
        <w:pStyle w:val="Ttulo2"/>
        <w:rPr>
          <w:rFonts w:ascii="Times New Roman" w:hAnsi="Times New Roman" w:cs="Times New Roman"/>
          <w:color w:val="auto"/>
          <w:lang w:val="pt-PT"/>
        </w:rPr>
      </w:pPr>
    </w:p>
    <w:p w14:paraId="041E7017" w14:textId="109E5A56" w:rsidR="00C26BC3" w:rsidRPr="009C520D" w:rsidRDefault="00324E1E" w:rsidP="00CF3F5C">
      <w:pPr>
        <w:pStyle w:val="Ttulo2"/>
        <w:jc w:val="center"/>
        <w:rPr>
          <w:rFonts w:ascii="Times New Roman" w:hAnsi="Times New Roman" w:cs="Times New Roman"/>
          <w:b/>
          <w:bCs/>
          <w:color w:val="auto"/>
          <w:lang w:val="pt-PT"/>
        </w:rPr>
      </w:pPr>
      <w:r w:rsidRPr="009C520D">
        <w:rPr>
          <w:rFonts w:ascii="Times New Roman" w:hAnsi="Times New Roman" w:cs="Times New Roman"/>
          <w:b/>
          <w:bCs/>
          <w:color w:val="auto"/>
          <w:lang w:val="pt-PT"/>
        </w:rPr>
        <w:t xml:space="preserve">Propostas </w:t>
      </w:r>
      <w:r w:rsidR="00254673" w:rsidRPr="009C520D">
        <w:rPr>
          <w:rFonts w:ascii="Times New Roman" w:hAnsi="Times New Roman" w:cs="Times New Roman"/>
          <w:b/>
          <w:bCs/>
          <w:color w:val="auto"/>
          <w:lang w:val="pt-PT"/>
        </w:rPr>
        <w:t xml:space="preserve">de obrigações </w:t>
      </w:r>
      <w:r w:rsidRPr="009C520D">
        <w:rPr>
          <w:rFonts w:ascii="Times New Roman" w:hAnsi="Times New Roman" w:cs="Times New Roman"/>
          <w:b/>
          <w:bCs/>
          <w:color w:val="auto"/>
          <w:lang w:val="pt-PT"/>
        </w:rPr>
        <w:t>submetidas a Consulta Pública</w:t>
      </w:r>
    </w:p>
    <w:p w14:paraId="6CEE1B06" w14:textId="058FB11D" w:rsidR="00327FF1" w:rsidRPr="009C520D" w:rsidRDefault="00327FF1">
      <w:pPr>
        <w:rPr>
          <w:rFonts w:ascii="Times New Roman" w:hAnsi="Times New Roman" w:cs="Times New Roman"/>
          <w:lang w:val="pt-PT"/>
        </w:rPr>
      </w:pPr>
    </w:p>
    <w:tbl>
      <w:tblPr>
        <w:tblStyle w:val="ListaClara-Cor1"/>
        <w:tblW w:w="13031" w:type="dxa"/>
        <w:tblLayout w:type="fixed"/>
        <w:tblLook w:val="04A0" w:firstRow="1" w:lastRow="0" w:firstColumn="1" w:lastColumn="0" w:noHBand="0" w:noVBand="1"/>
      </w:tblPr>
      <w:tblGrid>
        <w:gridCol w:w="2802"/>
        <w:gridCol w:w="2268"/>
        <w:gridCol w:w="7961"/>
      </w:tblGrid>
      <w:tr w:rsidR="009C520D" w:rsidRPr="009C520D" w14:paraId="02435588" w14:textId="77777777" w:rsidTr="009E5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7D097CCA" w14:textId="7060B672" w:rsidR="00327FF1" w:rsidRPr="009C520D" w:rsidRDefault="00324E1E" w:rsidP="009E5F3C">
            <w:pPr>
              <w:spacing w:before="100" w:beforeAutospacing="1" w:after="100" w:afterAutospacing="1"/>
              <w:jc w:val="center"/>
              <w:rPr>
                <w:rFonts w:ascii="Times New Roman" w:hAnsi="Times New Roman" w:cs="Times New Roman"/>
                <w:color w:val="auto"/>
                <w:lang w:val="pt-PT"/>
              </w:rPr>
            </w:pPr>
            <w:r w:rsidRPr="009C520D">
              <w:rPr>
                <w:rFonts w:ascii="Times New Roman" w:hAnsi="Times New Roman" w:cs="Times New Roman"/>
                <w:color w:val="auto"/>
                <w:lang w:val="pt-PT"/>
              </w:rPr>
              <w:t>Mercado</w:t>
            </w:r>
          </w:p>
        </w:tc>
        <w:tc>
          <w:tcPr>
            <w:tcW w:w="2268" w:type="dxa"/>
            <w:vAlign w:val="center"/>
          </w:tcPr>
          <w:p w14:paraId="70054EE3" w14:textId="30B88098" w:rsidR="00327FF1" w:rsidRPr="009C520D" w:rsidRDefault="00324E1E" w:rsidP="009E5F3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pt-PT"/>
              </w:rPr>
            </w:pPr>
            <w:r w:rsidRPr="009C520D">
              <w:rPr>
                <w:rFonts w:ascii="Times New Roman" w:hAnsi="Times New Roman" w:cs="Times New Roman"/>
                <w:color w:val="auto"/>
                <w:lang w:val="pt-PT"/>
              </w:rPr>
              <w:t>Licenciado com PSM</w:t>
            </w:r>
          </w:p>
        </w:tc>
        <w:tc>
          <w:tcPr>
            <w:tcW w:w="7961" w:type="dxa"/>
            <w:vAlign w:val="center"/>
          </w:tcPr>
          <w:p w14:paraId="16B03DE6" w14:textId="64A610F1" w:rsidR="00327FF1" w:rsidRPr="009C520D" w:rsidRDefault="00324E1E" w:rsidP="009E5F3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pt-PT"/>
              </w:rPr>
            </w:pPr>
            <w:r w:rsidRPr="009C520D">
              <w:rPr>
                <w:rFonts w:ascii="Times New Roman" w:hAnsi="Times New Roman" w:cs="Times New Roman"/>
                <w:color w:val="auto"/>
                <w:lang w:val="pt-PT"/>
              </w:rPr>
              <w:t>Obrigações propostas</w:t>
            </w:r>
            <w:r w:rsidR="006544D3" w:rsidRPr="009C520D">
              <w:rPr>
                <w:rFonts w:ascii="Times New Roman" w:hAnsi="Times New Roman" w:cs="Times New Roman"/>
                <w:color w:val="auto"/>
                <w:lang w:val="pt-PT"/>
              </w:rPr>
              <w:t xml:space="preserve"> a consulta pública</w:t>
            </w:r>
          </w:p>
        </w:tc>
      </w:tr>
      <w:tr w:rsidR="009C520D" w:rsidRPr="009C520D" w14:paraId="5D1E6CE8" w14:textId="77777777" w:rsidTr="00E67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C3505FD" w14:textId="529F8FE1" w:rsidR="006544D3" w:rsidRPr="009C520D" w:rsidRDefault="006544D3" w:rsidP="006544D3">
            <w:pPr>
              <w:spacing w:before="100" w:beforeAutospacing="1" w:after="100" w:afterAutospacing="1"/>
              <w:rPr>
                <w:rFonts w:ascii="Times New Roman" w:hAnsi="Times New Roman" w:cs="Times New Roman"/>
                <w:bCs w:val="0"/>
                <w:lang w:val="pt-PT" w:eastAsia="en-AU"/>
              </w:rPr>
            </w:pPr>
            <w:r w:rsidRPr="009C520D">
              <w:rPr>
                <w:rFonts w:ascii="Times New Roman" w:hAnsi="Times New Roman" w:cs="Times New Roman"/>
                <w:bCs w:val="0"/>
                <w:lang w:val="pt-PT" w:eastAsia="en-AU"/>
              </w:rPr>
              <w:t>Serviços móveis de voz e mensagens de texto internacional (retalho)</w:t>
            </w:r>
          </w:p>
        </w:tc>
        <w:tc>
          <w:tcPr>
            <w:tcW w:w="2268" w:type="dxa"/>
          </w:tcPr>
          <w:p w14:paraId="4933B4F8" w14:textId="3DDF2DE8" w:rsidR="006544D3" w:rsidRPr="009C520D" w:rsidRDefault="006544D3" w:rsidP="006544D3">
            <w:pPr>
              <w:pStyle w:val="NormalWeb"/>
              <w:cnfStyle w:val="000000100000" w:firstRow="0" w:lastRow="0" w:firstColumn="0" w:lastColumn="0" w:oddVBand="0" w:evenVBand="0" w:oddHBand="1" w:evenHBand="0" w:firstRowFirstColumn="0" w:firstRowLastColumn="0" w:lastRowFirstColumn="0" w:lastRowLastColumn="0"/>
              <w:rPr>
                <w:b/>
                <w:szCs w:val="24"/>
                <w:lang w:val="pt-PT"/>
              </w:rPr>
            </w:pPr>
            <w:r w:rsidRPr="009C520D">
              <w:rPr>
                <w:szCs w:val="24"/>
                <w:lang w:val="pt-PT"/>
              </w:rPr>
              <w:t>Orange</w:t>
            </w:r>
          </w:p>
        </w:tc>
        <w:tc>
          <w:tcPr>
            <w:tcW w:w="7961" w:type="dxa"/>
            <w:vAlign w:val="center"/>
          </w:tcPr>
          <w:p w14:paraId="68368E90" w14:textId="77777777" w:rsidR="006544D3" w:rsidRPr="009C520D" w:rsidRDefault="006544D3" w:rsidP="006544D3">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pt-PT"/>
              </w:rPr>
            </w:pPr>
            <w:r w:rsidRPr="009C520D">
              <w:rPr>
                <w:rFonts w:ascii="Times New Roman" w:hAnsi="Times New Roman" w:cs="Times New Roman"/>
                <w:color w:val="auto"/>
                <w:lang w:val="pt-PT"/>
              </w:rPr>
              <w:t>a) Notificação e aprovação de preços: um requisito de que o operador dominante submeta a aprovação por parte da ARN quaisquer novos preços ou alterações de preços existentes relacionadas com serviços, incluindo pacotes, no mercado em que é dominante e antes da sua implementação.</w:t>
            </w:r>
          </w:p>
          <w:p w14:paraId="5FB27AD0" w14:textId="10081829" w:rsidR="006544D3" w:rsidRPr="009C520D" w:rsidRDefault="006544D3" w:rsidP="006544D3">
            <w:pPr>
              <w:pStyle w:val="NormalWeb"/>
              <w:cnfStyle w:val="000000100000" w:firstRow="0" w:lastRow="0" w:firstColumn="0" w:lastColumn="0" w:oddVBand="0" w:evenVBand="0" w:oddHBand="1" w:evenHBand="0" w:firstRowFirstColumn="0" w:firstRowLastColumn="0" w:lastRowFirstColumn="0" w:lastRowLastColumn="0"/>
              <w:rPr>
                <w:lang w:val="pt-PT"/>
              </w:rPr>
            </w:pPr>
            <w:r w:rsidRPr="009C520D">
              <w:rPr>
                <w:lang w:val="pt-PT"/>
              </w:rPr>
              <w:t>b) Orientação para os custos.</w:t>
            </w:r>
          </w:p>
        </w:tc>
      </w:tr>
      <w:tr w:rsidR="009C520D" w:rsidRPr="009C520D" w14:paraId="11F58DB1" w14:textId="77777777" w:rsidTr="009E5F3C">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4472C4" w:themeColor="accent1"/>
            </w:tcBorders>
            <w:shd w:val="clear" w:color="auto" w:fill="auto"/>
          </w:tcPr>
          <w:p w14:paraId="7344D6F8" w14:textId="3D3ECA28" w:rsidR="006544D3" w:rsidRPr="009C520D" w:rsidRDefault="006544D3" w:rsidP="006544D3">
            <w:pPr>
              <w:spacing w:before="100" w:beforeAutospacing="1" w:after="100" w:afterAutospacing="1"/>
              <w:rPr>
                <w:rFonts w:ascii="Times New Roman" w:hAnsi="Times New Roman" w:cs="Times New Roman"/>
                <w:b w:val="0"/>
                <w:bCs w:val="0"/>
                <w:sz w:val="20"/>
                <w:szCs w:val="20"/>
                <w:lang w:val="pt-PT" w:eastAsia="en-AU"/>
              </w:rPr>
            </w:pPr>
            <w:r w:rsidRPr="009C520D">
              <w:rPr>
                <w:rFonts w:ascii="Times New Roman" w:hAnsi="Times New Roman" w:cs="Times New Roman"/>
                <w:b w:val="0"/>
                <w:bCs w:val="0"/>
                <w:lang w:val="pt-PT"/>
              </w:rPr>
              <w:t>Serviços de terminação em redes móveis (grossista)</w:t>
            </w:r>
          </w:p>
        </w:tc>
        <w:tc>
          <w:tcPr>
            <w:tcW w:w="2268" w:type="dxa"/>
            <w:tcBorders>
              <w:top w:val="single" w:sz="8" w:space="0" w:color="4472C4" w:themeColor="accent1"/>
            </w:tcBorders>
            <w:shd w:val="clear" w:color="auto" w:fill="auto"/>
          </w:tcPr>
          <w:p w14:paraId="3587308C" w14:textId="77777777" w:rsidR="006544D3" w:rsidRPr="009C520D" w:rsidRDefault="006544D3" w:rsidP="006544D3">
            <w:pPr>
              <w:pStyle w:val="NormalWeb"/>
              <w:cnfStyle w:val="000000000000" w:firstRow="0" w:lastRow="0" w:firstColumn="0" w:lastColumn="0" w:oddVBand="0" w:evenVBand="0" w:oddHBand="0" w:evenHBand="0" w:firstRowFirstColumn="0" w:firstRowLastColumn="0" w:lastRowFirstColumn="0" w:lastRowLastColumn="0"/>
              <w:rPr>
                <w:szCs w:val="24"/>
                <w:lang w:val="pt-PT"/>
              </w:rPr>
            </w:pPr>
            <w:r w:rsidRPr="009C520D">
              <w:rPr>
                <w:szCs w:val="24"/>
                <w:lang w:val="pt-PT"/>
              </w:rPr>
              <w:t>Orange</w:t>
            </w:r>
          </w:p>
          <w:p w14:paraId="32F7EE5E" w14:textId="65915C43" w:rsidR="006544D3" w:rsidRPr="009C520D" w:rsidRDefault="006544D3" w:rsidP="006544D3">
            <w:pPr>
              <w:pStyle w:val="NormalWeb"/>
              <w:cnfStyle w:val="000000000000" w:firstRow="0" w:lastRow="0" w:firstColumn="0" w:lastColumn="0" w:oddVBand="0" w:evenVBand="0" w:oddHBand="0" w:evenHBand="0" w:firstRowFirstColumn="0" w:firstRowLastColumn="0" w:lastRowFirstColumn="0" w:lastRowLastColumn="0"/>
              <w:rPr>
                <w:sz w:val="20"/>
                <w:szCs w:val="20"/>
                <w:lang w:val="pt-PT"/>
              </w:rPr>
            </w:pPr>
            <w:r w:rsidRPr="009C520D">
              <w:rPr>
                <w:szCs w:val="24"/>
                <w:lang w:val="pt-PT"/>
              </w:rPr>
              <w:t>MTN</w:t>
            </w:r>
          </w:p>
        </w:tc>
        <w:tc>
          <w:tcPr>
            <w:tcW w:w="7961" w:type="dxa"/>
            <w:tcBorders>
              <w:top w:val="single" w:sz="8" w:space="0" w:color="4472C4" w:themeColor="accent1"/>
            </w:tcBorders>
            <w:shd w:val="clear" w:color="auto" w:fill="auto"/>
          </w:tcPr>
          <w:p w14:paraId="5FFD991F" w14:textId="77777777" w:rsidR="006544D3" w:rsidRPr="009C520D" w:rsidRDefault="006544D3" w:rsidP="006544D3">
            <w:pPr>
              <w:pStyle w:val="Default"/>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pt-PT"/>
              </w:rPr>
            </w:pPr>
            <w:r w:rsidRPr="009C520D">
              <w:rPr>
                <w:rFonts w:ascii="Times New Roman" w:hAnsi="Times New Roman" w:cs="Times New Roman"/>
                <w:color w:val="auto"/>
                <w:lang w:val="pt-PT"/>
              </w:rPr>
              <w:t xml:space="preserve">a)  dar resposta aos pedidos razoáveis de fornecimento de serviços de terminação de chamadas de voz nas respetivas redes, devendo os termos e condições subjacentes a essa resposta ser razoáveis. </w:t>
            </w:r>
          </w:p>
          <w:p w14:paraId="07B1C86C" w14:textId="33773C8F" w:rsidR="006544D3" w:rsidRPr="009C520D" w:rsidRDefault="006544D3" w:rsidP="006544D3">
            <w:pPr>
              <w:pStyle w:val="Default"/>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pt-PT"/>
              </w:rPr>
            </w:pPr>
            <w:r w:rsidRPr="009C520D">
              <w:rPr>
                <w:rFonts w:ascii="Times New Roman" w:hAnsi="Times New Roman" w:cs="Times New Roman"/>
                <w:color w:val="auto"/>
                <w:lang w:val="pt-PT"/>
              </w:rPr>
              <w:t>b) não discriminar entre diferentes compradores de serviços de terminação de chamadas vocais em redes.</w:t>
            </w:r>
          </w:p>
          <w:p w14:paraId="4195981C" w14:textId="681BE773" w:rsidR="006544D3" w:rsidRPr="009C520D" w:rsidRDefault="006544D3" w:rsidP="006544D3">
            <w:pPr>
              <w:pStyle w:val="Default"/>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pt-PT"/>
              </w:rPr>
            </w:pPr>
            <w:r w:rsidRPr="009C520D">
              <w:rPr>
                <w:rFonts w:ascii="Times New Roman" w:hAnsi="Times New Roman" w:cs="Times New Roman"/>
                <w:color w:val="auto"/>
                <w:lang w:val="pt-PT"/>
              </w:rPr>
              <w:t xml:space="preserve">c) remeter à ARN uma cópia de todos os acordos de interligação que celebraram e que vierem a celebrar, em detrimento da imposição de uma obrigação de publicação de uma oferta de referência. que deverá ser feita no prazo máximo de 10 dias após a celebração e/ou alteração dos referidos acordos. Desse modo, a ARN poderá monitorizar a obrigação de não discriminação na oferta de acesso e interligação sem, com isso, colocar em causa a segurança da rede e o modelo de negócio dos operadores que se encontrem em circunstâncias equivalentes. </w:t>
            </w:r>
          </w:p>
          <w:p w14:paraId="6C8052CE" w14:textId="118B16B9" w:rsidR="006544D3" w:rsidRPr="009C520D" w:rsidRDefault="006544D3" w:rsidP="00254673">
            <w:pPr>
              <w:pStyle w:val="Default"/>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pt-PT"/>
              </w:rPr>
            </w:pPr>
            <w:r w:rsidRPr="009C520D">
              <w:rPr>
                <w:rFonts w:ascii="Times New Roman" w:hAnsi="Times New Roman" w:cs="Times New Roman"/>
                <w:color w:val="auto"/>
                <w:lang w:val="pt-PT"/>
              </w:rPr>
              <w:t>d) um controlo de preço de terminação com base no custo incremental de longo prazo e determinado pela ARN.</w:t>
            </w:r>
          </w:p>
        </w:tc>
      </w:tr>
      <w:tr w:rsidR="009C520D" w:rsidRPr="009C520D" w14:paraId="282D1527" w14:textId="77777777" w:rsidTr="009E5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144985A9" w14:textId="761BD004" w:rsidR="006544D3" w:rsidRPr="009C520D" w:rsidRDefault="00254673" w:rsidP="006544D3">
            <w:pPr>
              <w:spacing w:before="100" w:beforeAutospacing="1" w:after="100" w:afterAutospacing="1"/>
              <w:rPr>
                <w:rFonts w:ascii="Times New Roman" w:hAnsi="Times New Roman" w:cs="Times New Roman"/>
                <w:b w:val="0"/>
                <w:bCs w:val="0"/>
                <w:lang w:val="pt-PT" w:eastAsia="en-AU"/>
              </w:rPr>
            </w:pPr>
            <w:proofErr w:type="spellStart"/>
            <w:r w:rsidRPr="009C520D">
              <w:rPr>
                <w:rFonts w:ascii="Times New Roman" w:hAnsi="Times New Roman" w:cs="Times New Roman"/>
                <w:b w:val="0"/>
                <w:bCs w:val="0"/>
                <w:lang w:val="pt-PT" w:eastAsia="en-AU"/>
              </w:rPr>
              <w:lastRenderedPageBreak/>
              <w:t>Originação</w:t>
            </w:r>
            <w:proofErr w:type="spellEnd"/>
            <w:r w:rsidRPr="009C520D">
              <w:rPr>
                <w:rFonts w:ascii="Times New Roman" w:hAnsi="Times New Roman" w:cs="Times New Roman"/>
                <w:b w:val="0"/>
                <w:bCs w:val="0"/>
                <w:lang w:val="pt-PT" w:eastAsia="en-AU"/>
              </w:rPr>
              <w:t xml:space="preserve"> em redes móveis (grossista)</w:t>
            </w:r>
          </w:p>
        </w:tc>
        <w:tc>
          <w:tcPr>
            <w:tcW w:w="2268" w:type="dxa"/>
            <w:shd w:val="clear" w:color="auto" w:fill="auto"/>
          </w:tcPr>
          <w:p w14:paraId="1005D292" w14:textId="592465C7" w:rsidR="006544D3" w:rsidRPr="009C520D" w:rsidRDefault="00254673" w:rsidP="006544D3">
            <w:pPr>
              <w:pStyle w:val="NormalWeb"/>
              <w:cnfStyle w:val="000000100000" w:firstRow="0" w:lastRow="0" w:firstColumn="0" w:lastColumn="0" w:oddVBand="0" w:evenVBand="0" w:oddHBand="1" w:evenHBand="0" w:firstRowFirstColumn="0" w:firstRowLastColumn="0" w:lastRowFirstColumn="0" w:lastRowLastColumn="0"/>
              <w:rPr>
                <w:szCs w:val="24"/>
                <w:lang w:val="pt-PT"/>
              </w:rPr>
            </w:pPr>
            <w:r w:rsidRPr="009C520D">
              <w:rPr>
                <w:szCs w:val="24"/>
                <w:lang w:val="pt-PT"/>
              </w:rPr>
              <w:t>Nenhum</w:t>
            </w:r>
          </w:p>
        </w:tc>
        <w:tc>
          <w:tcPr>
            <w:tcW w:w="7961" w:type="dxa"/>
            <w:shd w:val="clear" w:color="auto" w:fill="auto"/>
          </w:tcPr>
          <w:p w14:paraId="4A6BE495" w14:textId="2CAE7A65" w:rsidR="006544D3" w:rsidRPr="009C520D" w:rsidRDefault="00254673" w:rsidP="00254673">
            <w:pPr>
              <w:pStyle w:val="Default"/>
              <w:spacing w:before="120"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pt-PT"/>
              </w:rPr>
            </w:pPr>
            <w:r w:rsidRPr="009C520D">
              <w:rPr>
                <w:rFonts w:ascii="Times New Roman" w:hAnsi="Times New Roman" w:cs="Times New Roman"/>
                <w:color w:val="auto"/>
                <w:lang w:val="pt-PT"/>
              </w:rPr>
              <w:t>Não se aplicam atualmente porque este mercado é um mercado hipotético na Guiné-Bissau.</w:t>
            </w:r>
          </w:p>
        </w:tc>
      </w:tr>
      <w:tr w:rsidR="009C520D" w:rsidRPr="009C520D" w14:paraId="514BCFA5" w14:textId="77777777" w:rsidTr="009E5F3C">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649137A8" w14:textId="6D9DE943" w:rsidR="006544D3" w:rsidRPr="009C520D" w:rsidRDefault="00254673" w:rsidP="00254673">
            <w:pPr>
              <w:rPr>
                <w:rFonts w:ascii="Times New Roman" w:hAnsi="Times New Roman" w:cs="Times New Roman"/>
                <w:b w:val="0"/>
                <w:bCs w:val="0"/>
                <w:lang w:val="pt-PT"/>
              </w:rPr>
            </w:pPr>
            <w:r w:rsidRPr="009C520D">
              <w:rPr>
                <w:rFonts w:ascii="Times New Roman" w:hAnsi="Times New Roman" w:cs="Times New Roman"/>
                <w:b w:val="0"/>
                <w:bCs w:val="0"/>
                <w:lang w:val="pt-PT"/>
              </w:rPr>
              <w:t>Acesso a capacidade internacional (grossista)</w:t>
            </w:r>
          </w:p>
        </w:tc>
        <w:tc>
          <w:tcPr>
            <w:tcW w:w="2268" w:type="dxa"/>
            <w:shd w:val="clear" w:color="auto" w:fill="auto"/>
          </w:tcPr>
          <w:p w14:paraId="5450395A" w14:textId="5EF8E52E" w:rsidR="006544D3" w:rsidRPr="009C520D" w:rsidRDefault="00254673" w:rsidP="006544D3">
            <w:pPr>
              <w:pStyle w:val="NormalWeb"/>
              <w:cnfStyle w:val="000000000000" w:firstRow="0" w:lastRow="0" w:firstColumn="0" w:lastColumn="0" w:oddVBand="0" w:evenVBand="0" w:oddHBand="0" w:evenHBand="0" w:firstRowFirstColumn="0" w:firstRowLastColumn="0" w:lastRowFirstColumn="0" w:lastRowLastColumn="0"/>
              <w:rPr>
                <w:szCs w:val="24"/>
                <w:lang w:val="pt-PT"/>
              </w:rPr>
            </w:pPr>
            <w:r w:rsidRPr="009C520D">
              <w:rPr>
                <w:szCs w:val="24"/>
                <w:lang w:val="pt-PT"/>
              </w:rPr>
              <w:t>Nenhum</w:t>
            </w:r>
          </w:p>
        </w:tc>
        <w:tc>
          <w:tcPr>
            <w:tcW w:w="7961" w:type="dxa"/>
            <w:shd w:val="clear" w:color="auto" w:fill="auto"/>
          </w:tcPr>
          <w:p w14:paraId="24B510A2" w14:textId="779687D3" w:rsidR="006544D3" w:rsidRPr="009C520D" w:rsidRDefault="00254673" w:rsidP="00254673">
            <w:pPr>
              <w:pStyle w:val="NormalWeb"/>
              <w:spacing w:before="120" w:beforeAutospacing="0" w:after="120" w:afterAutospacing="0" w:line="276" w:lineRule="auto"/>
              <w:cnfStyle w:val="000000000000" w:firstRow="0" w:lastRow="0" w:firstColumn="0" w:lastColumn="0" w:oddVBand="0" w:evenVBand="0" w:oddHBand="0" w:evenHBand="0" w:firstRowFirstColumn="0" w:firstRowLastColumn="0" w:lastRowFirstColumn="0" w:lastRowLastColumn="0"/>
              <w:rPr>
                <w:sz w:val="20"/>
                <w:szCs w:val="20"/>
                <w:lang w:val="pt-PT"/>
              </w:rPr>
            </w:pPr>
            <w:r w:rsidRPr="009C520D">
              <w:rPr>
                <w:lang w:val="pt-PT"/>
              </w:rPr>
              <w:t>Não se aplicam atualmente porque este mercado é um mercado hipotético na Guiné-Bissau.</w:t>
            </w:r>
          </w:p>
        </w:tc>
      </w:tr>
    </w:tbl>
    <w:p w14:paraId="748A69CB" w14:textId="5629BAA5" w:rsidR="00327FF1" w:rsidRPr="009C520D" w:rsidRDefault="00327FF1">
      <w:pPr>
        <w:rPr>
          <w:rFonts w:ascii="Times New Roman" w:hAnsi="Times New Roman" w:cs="Times New Roman"/>
          <w:lang w:val="pt-PT"/>
        </w:rPr>
      </w:pPr>
    </w:p>
    <w:p w14:paraId="19EA2C14" w14:textId="47A9B077" w:rsidR="00865D8C" w:rsidRPr="009C520D" w:rsidRDefault="00865D8C">
      <w:pPr>
        <w:rPr>
          <w:rFonts w:ascii="Times New Roman" w:hAnsi="Times New Roman" w:cs="Times New Roman"/>
          <w:lang w:val="pt-PT"/>
        </w:rPr>
      </w:pPr>
    </w:p>
    <w:p w14:paraId="53E39DB8" w14:textId="625621D1" w:rsidR="00865D8C" w:rsidRPr="009C520D" w:rsidRDefault="00865D8C">
      <w:pPr>
        <w:rPr>
          <w:rFonts w:ascii="Times New Roman" w:hAnsi="Times New Roman" w:cs="Times New Roman"/>
          <w:lang w:val="pt-PT"/>
        </w:rPr>
      </w:pPr>
    </w:p>
    <w:p w14:paraId="1D5C36EE" w14:textId="7D49D558" w:rsidR="001F513C" w:rsidRPr="009C520D" w:rsidRDefault="001F513C">
      <w:pPr>
        <w:rPr>
          <w:rFonts w:ascii="Times New Roman" w:hAnsi="Times New Roman" w:cs="Times New Roman"/>
          <w:lang w:val="pt-PT"/>
        </w:rPr>
      </w:pPr>
    </w:p>
    <w:p w14:paraId="148A7CF2" w14:textId="1FE7F9A7" w:rsidR="00CF3F5C" w:rsidRPr="009C520D" w:rsidRDefault="00CF3F5C">
      <w:pPr>
        <w:rPr>
          <w:rFonts w:ascii="Times New Roman" w:hAnsi="Times New Roman" w:cs="Times New Roman"/>
          <w:lang w:val="pt-PT"/>
        </w:rPr>
      </w:pPr>
    </w:p>
    <w:p w14:paraId="216135D1" w14:textId="295A449B" w:rsidR="00CF3F5C" w:rsidRPr="009C520D" w:rsidRDefault="00CF3F5C">
      <w:pPr>
        <w:rPr>
          <w:rFonts w:ascii="Times New Roman" w:hAnsi="Times New Roman" w:cs="Times New Roman"/>
          <w:lang w:val="pt-PT"/>
        </w:rPr>
      </w:pPr>
    </w:p>
    <w:p w14:paraId="0706B233" w14:textId="26EEF15F" w:rsidR="00CF3F5C" w:rsidRPr="009C520D" w:rsidRDefault="00CF3F5C">
      <w:pPr>
        <w:rPr>
          <w:rFonts w:ascii="Times New Roman" w:hAnsi="Times New Roman" w:cs="Times New Roman"/>
          <w:lang w:val="pt-PT"/>
        </w:rPr>
      </w:pPr>
    </w:p>
    <w:p w14:paraId="37AE8EBF" w14:textId="3EA708EF" w:rsidR="00CF3F5C" w:rsidRPr="009C520D" w:rsidRDefault="00CF3F5C">
      <w:pPr>
        <w:rPr>
          <w:rFonts w:ascii="Times New Roman" w:hAnsi="Times New Roman" w:cs="Times New Roman"/>
          <w:lang w:val="pt-PT"/>
        </w:rPr>
      </w:pPr>
    </w:p>
    <w:p w14:paraId="290E809B" w14:textId="2C689499" w:rsidR="00CF3F5C" w:rsidRPr="009C520D" w:rsidRDefault="00CF3F5C">
      <w:pPr>
        <w:rPr>
          <w:rFonts w:ascii="Times New Roman" w:hAnsi="Times New Roman" w:cs="Times New Roman"/>
          <w:lang w:val="pt-PT"/>
        </w:rPr>
      </w:pPr>
    </w:p>
    <w:p w14:paraId="431986B3" w14:textId="77777777" w:rsidR="00CF3F5C" w:rsidRPr="009C520D" w:rsidRDefault="00CF3F5C">
      <w:pPr>
        <w:rPr>
          <w:rFonts w:ascii="Times New Roman" w:hAnsi="Times New Roman" w:cs="Times New Roman"/>
          <w:lang w:val="pt-PT"/>
        </w:rPr>
      </w:pPr>
    </w:p>
    <w:p w14:paraId="1581701A" w14:textId="21B65DE7" w:rsidR="001F513C" w:rsidRPr="009C520D" w:rsidRDefault="001F513C">
      <w:pPr>
        <w:rPr>
          <w:rFonts w:ascii="Times New Roman" w:hAnsi="Times New Roman" w:cs="Times New Roman"/>
          <w:lang w:val="pt-PT"/>
        </w:rPr>
      </w:pPr>
    </w:p>
    <w:p w14:paraId="6C3D3331" w14:textId="02E1DB8F" w:rsidR="001F513C" w:rsidRPr="009C520D" w:rsidRDefault="001F513C">
      <w:pPr>
        <w:rPr>
          <w:rFonts w:ascii="Times New Roman" w:hAnsi="Times New Roman" w:cs="Times New Roman"/>
          <w:lang w:val="pt-PT"/>
        </w:rPr>
      </w:pPr>
    </w:p>
    <w:p w14:paraId="2DB0C10F" w14:textId="5F11B18F" w:rsidR="001F513C" w:rsidRPr="009C520D" w:rsidRDefault="001F513C">
      <w:pPr>
        <w:rPr>
          <w:rFonts w:ascii="Times New Roman" w:hAnsi="Times New Roman" w:cs="Times New Roman"/>
          <w:lang w:val="pt-PT"/>
        </w:rPr>
      </w:pPr>
    </w:p>
    <w:p w14:paraId="44D597EF" w14:textId="5132959F" w:rsidR="00CF3F5C" w:rsidRPr="009C520D" w:rsidRDefault="00CF3F5C">
      <w:pPr>
        <w:rPr>
          <w:rFonts w:ascii="Times New Roman" w:hAnsi="Times New Roman" w:cs="Times New Roman"/>
          <w:lang w:val="pt-PT"/>
        </w:rPr>
      </w:pPr>
    </w:p>
    <w:p w14:paraId="1CA2E0E3" w14:textId="48051101" w:rsidR="00CF3F5C" w:rsidRPr="009C520D" w:rsidRDefault="00CF3F5C">
      <w:pPr>
        <w:rPr>
          <w:rFonts w:ascii="Times New Roman" w:hAnsi="Times New Roman" w:cs="Times New Roman"/>
          <w:lang w:val="pt-PT"/>
        </w:rPr>
      </w:pPr>
    </w:p>
    <w:p w14:paraId="056A39DE" w14:textId="573ABFB5" w:rsidR="00CF3F5C" w:rsidRPr="009C520D" w:rsidRDefault="00CF3F5C">
      <w:pPr>
        <w:rPr>
          <w:rFonts w:ascii="Times New Roman" w:hAnsi="Times New Roman" w:cs="Times New Roman"/>
          <w:lang w:val="pt-PT"/>
        </w:rPr>
      </w:pPr>
    </w:p>
    <w:p w14:paraId="03D9563A" w14:textId="43CDAFE2" w:rsidR="00CF3F5C" w:rsidRPr="009C520D" w:rsidRDefault="00CF3F5C">
      <w:pPr>
        <w:rPr>
          <w:rFonts w:ascii="Times New Roman" w:hAnsi="Times New Roman" w:cs="Times New Roman"/>
          <w:lang w:val="pt-PT"/>
        </w:rPr>
      </w:pPr>
    </w:p>
    <w:p w14:paraId="44E14F83" w14:textId="77777777" w:rsidR="00CF3F5C" w:rsidRPr="009C520D" w:rsidRDefault="00CF3F5C">
      <w:pPr>
        <w:rPr>
          <w:rFonts w:ascii="Times New Roman" w:hAnsi="Times New Roman" w:cs="Times New Roman"/>
          <w:lang w:val="pt-PT"/>
        </w:rPr>
      </w:pPr>
    </w:p>
    <w:p w14:paraId="4633631C" w14:textId="3C6E0615" w:rsidR="00CF3F5C" w:rsidRPr="009C520D" w:rsidRDefault="00CF3F5C">
      <w:pPr>
        <w:rPr>
          <w:rFonts w:ascii="Times New Roman" w:hAnsi="Times New Roman" w:cs="Times New Roman"/>
          <w:lang w:val="pt-PT"/>
        </w:rPr>
      </w:pPr>
    </w:p>
    <w:p w14:paraId="63EC3675" w14:textId="77F216BE" w:rsidR="00CF3F5C" w:rsidRPr="009C520D" w:rsidRDefault="00CF3F5C">
      <w:pPr>
        <w:rPr>
          <w:rFonts w:ascii="Times New Roman" w:hAnsi="Times New Roman" w:cs="Times New Roman"/>
          <w:lang w:val="pt-PT"/>
        </w:rPr>
      </w:pPr>
    </w:p>
    <w:p w14:paraId="1D5F7AF9" w14:textId="77777777" w:rsidR="00CF3F5C" w:rsidRPr="009C520D" w:rsidRDefault="00CF3F5C">
      <w:pPr>
        <w:rPr>
          <w:rFonts w:ascii="Times New Roman" w:hAnsi="Times New Roman" w:cs="Times New Roman"/>
          <w:lang w:val="pt-PT"/>
        </w:rPr>
      </w:pPr>
    </w:p>
    <w:p w14:paraId="0B327631" w14:textId="29ECDB31" w:rsidR="001F513C" w:rsidRPr="009C520D" w:rsidRDefault="001F513C">
      <w:pPr>
        <w:rPr>
          <w:rFonts w:ascii="Times New Roman" w:hAnsi="Times New Roman" w:cs="Times New Roman"/>
          <w:lang w:val="pt-PT"/>
        </w:rPr>
      </w:pPr>
    </w:p>
    <w:p w14:paraId="7EA1B2C6" w14:textId="1C545D2E" w:rsidR="001F513C" w:rsidRPr="009C520D" w:rsidRDefault="001F513C">
      <w:pPr>
        <w:rPr>
          <w:rFonts w:ascii="Times New Roman" w:hAnsi="Times New Roman" w:cs="Times New Roman"/>
          <w:lang w:val="pt-PT"/>
        </w:rPr>
      </w:pPr>
    </w:p>
    <w:p w14:paraId="6B875BF0" w14:textId="42DF092A" w:rsidR="001F513C" w:rsidRPr="009C520D" w:rsidRDefault="001F513C">
      <w:pPr>
        <w:rPr>
          <w:rFonts w:ascii="Times New Roman" w:hAnsi="Times New Roman" w:cs="Times New Roman"/>
          <w:lang w:val="pt-PT"/>
        </w:rPr>
      </w:pPr>
    </w:p>
    <w:p w14:paraId="016F5738" w14:textId="2771B359" w:rsidR="001F513C" w:rsidRPr="009C520D" w:rsidRDefault="001F513C">
      <w:pPr>
        <w:rPr>
          <w:rFonts w:ascii="Times New Roman" w:hAnsi="Times New Roman" w:cs="Times New Roman"/>
          <w:lang w:val="pt-PT"/>
        </w:rPr>
      </w:pPr>
    </w:p>
    <w:p w14:paraId="4FFA130E" w14:textId="77777777" w:rsidR="001F513C" w:rsidRPr="009C520D" w:rsidRDefault="001F513C">
      <w:pPr>
        <w:rPr>
          <w:rFonts w:ascii="Times New Roman" w:hAnsi="Times New Roman" w:cs="Times New Roman"/>
          <w:lang w:val="pt-PT"/>
        </w:rPr>
      </w:pPr>
    </w:p>
    <w:p w14:paraId="077749FA" w14:textId="77777777" w:rsidR="00865D8C" w:rsidRPr="009C520D" w:rsidRDefault="00865D8C">
      <w:pPr>
        <w:rPr>
          <w:rFonts w:ascii="Times New Roman" w:hAnsi="Times New Roman" w:cs="Times New Roman"/>
          <w:lang w:val="pt-PT"/>
        </w:rPr>
      </w:pPr>
    </w:p>
    <w:p w14:paraId="745ACB36" w14:textId="65A9BDAE" w:rsidR="00327FF1" w:rsidRPr="009C520D" w:rsidRDefault="008275AF" w:rsidP="00327FF1">
      <w:pPr>
        <w:pStyle w:val="Ttulo2"/>
        <w:rPr>
          <w:rFonts w:ascii="Times New Roman" w:hAnsi="Times New Roman" w:cs="Times New Roman"/>
          <w:color w:val="auto"/>
          <w:lang w:val="pt-PT"/>
        </w:rPr>
      </w:pPr>
      <w:r w:rsidRPr="009C520D">
        <w:rPr>
          <w:rFonts w:ascii="Times New Roman" w:hAnsi="Times New Roman" w:cs="Times New Roman"/>
          <w:color w:val="auto"/>
          <w:lang w:val="pt-PT"/>
        </w:rPr>
        <w:lastRenderedPageBreak/>
        <w:t>Respostas e comentários à consulta pública</w:t>
      </w:r>
    </w:p>
    <w:p w14:paraId="513FE9E6" w14:textId="5449E1C6" w:rsidR="007646AE" w:rsidRPr="009C520D" w:rsidRDefault="007646AE" w:rsidP="007646AE">
      <w:pPr>
        <w:rPr>
          <w:rFonts w:ascii="Times New Roman" w:hAnsi="Times New Roman" w:cs="Times New Roman"/>
          <w:lang w:val="pt-PT"/>
        </w:rPr>
      </w:pPr>
    </w:p>
    <w:tbl>
      <w:tblPr>
        <w:tblStyle w:val="TabelacomGrelha"/>
        <w:tblW w:w="13950" w:type="dxa"/>
        <w:tblLook w:val="04A0" w:firstRow="1" w:lastRow="0" w:firstColumn="1" w:lastColumn="0" w:noHBand="0" w:noVBand="1"/>
      </w:tblPr>
      <w:tblGrid>
        <w:gridCol w:w="1555"/>
        <w:gridCol w:w="4569"/>
        <w:gridCol w:w="3913"/>
        <w:gridCol w:w="3913"/>
      </w:tblGrid>
      <w:tr w:rsidR="009C520D" w:rsidRPr="009C520D" w14:paraId="4D084934" w14:textId="77777777" w:rsidTr="009E5F3C">
        <w:trPr>
          <w:trHeight w:val="756"/>
        </w:trPr>
        <w:tc>
          <w:tcPr>
            <w:tcW w:w="1555" w:type="dxa"/>
            <w:shd w:val="clear" w:color="auto" w:fill="0070C0"/>
            <w:vAlign w:val="center"/>
          </w:tcPr>
          <w:p w14:paraId="1125A84A" w14:textId="706E8E59" w:rsidR="00676185" w:rsidRPr="009C520D" w:rsidRDefault="00676185" w:rsidP="009E5F3C">
            <w:pPr>
              <w:jc w:val="center"/>
              <w:rPr>
                <w:rFonts w:ascii="Times New Roman" w:hAnsi="Times New Roman" w:cs="Times New Roman"/>
                <w:b/>
                <w:bCs/>
                <w:lang w:val="pt-PT"/>
              </w:rPr>
            </w:pPr>
            <w:r w:rsidRPr="009C520D">
              <w:rPr>
                <w:rFonts w:ascii="Times New Roman" w:hAnsi="Times New Roman" w:cs="Times New Roman"/>
                <w:b/>
                <w:bCs/>
                <w:lang w:val="pt-PT"/>
              </w:rPr>
              <w:t>Questões</w:t>
            </w:r>
          </w:p>
        </w:tc>
        <w:tc>
          <w:tcPr>
            <w:tcW w:w="4569" w:type="dxa"/>
            <w:shd w:val="clear" w:color="auto" w:fill="0070C0"/>
            <w:vAlign w:val="center"/>
          </w:tcPr>
          <w:p w14:paraId="6CB5CD1C" w14:textId="1730298A" w:rsidR="00676185" w:rsidRPr="009C520D" w:rsidRDefault="00676185" w:rsidP="009E5F3C">
            <w:pPr>
              <w:jc w:val="center"/>
              <w:rPr>
                <w:rFonts w:ascii="Times New Roman" w:hAnsi="Times New Roman" w:cs="Times New Roman"/>
                <w:b/>
                <w:bCs/>
                <w:lang w:val="pt-PT"/>
              </w:rPr>
            </w:pPr>
            <w:r w:rsidRPr="009C520D">
              <w:rPr>
                <w:rFonts w:ascii="Times New Roman" w:hAnsi="Times New Roman" w:cs="Times New Roman"/>
                <w:b/>
                <w:bCs/>
                <w:lang w:val="pt-PT"/>
              </w:rPr>
              <w:t>Descrição</w:t>
            </w:r>
          </w:p>
        </w:tc>
        <w:tc>
          <w:tcPr>
            <w:tcW w:w="3913" w:type="dxa"/>
            <w:shd w:val="clear" w:color="auto" w:fill="0070C0"/>
            <w:vAlign w:val="center"/>
          </w:tcPr>
          <w:p w14:paraId="158AAE26" w14:textId="4FAEB36E" w:rsidR="00676185" w:rsidRPr="009C520D" w:rsidRDefault="00676185" w:rsidP="009E5F3C">
            <w:pPr>
              <w:jc w:val="center"/>
              <w:rPr>
                <w:rFonts w:ascii="Times New Roman" w:hAnsi="Times New Roman" w:cs="Times New Roman"/>
                <w:b/>
                <w:bCs/>
                <w:lang w:val="pt-PT"/>
              </w:rPr>
            </w:pPr>
            <w:r w:rsidRPr="009C520D">
              <w:rPr>
                <w:rFonts w:ascii="Times New Roman" w:hAnsi="Times New Roman" w:cs="Times New Roman"/>
                <w:b/>
                <w:bCs/>
                <w:lang w:val="pt-PT"/>
              </w:rPr>
              <w:t>Comentários Orange</w:t>
            </w:r>
          </w:p>
        </w:tc>
        <w:tc>
          <w:tcPr>
            <w:tcW w:w="3913" w:type="dxa"/>
            <w:shd w:val="clear" w:color="auto" w:fill="0070C0"/>
            <w:vAlign w:val="center"/>
          </w:tcPr>
          <w:p w14:paraId="0447AEC4" w14:textId="179067A3" w:rsidR="00676185" w:rsidRPr="009C520D" w:rsidRDefault="00676185" w:rsidP="009E5F3C">
            <w:pPr>
              <w:jc w:val="center"/>
              <w:rPr>
                <w:rFonts w:ascii="Times New Roman" w:hAnsi="Times New Roman" w:cs="Times New Roman"/>
                <w:b/>
                <w:bCs/>
                <w:lang w:val="pt-PT"/>
              </w:rPr>
            </w:pPr>
            <w:r w:rsidRPr="009C520D">
              <w:rPr>
                <w:rFonts w:ascii="Times New Roman" w:hAnsi="Times New Roman" w:cs="Times New Roman"/>
                <w:b/>
                <w:bCs/>
                <w:lang w:val="pt-PT"/>
              </w:rPr>
              <w:t>Resposta da ARN</w:t>
            </w:r>
          </w:p>
        </w:tc>
      </w:tr>
      <w:tr w:rsidR="009C520D" w:rsidRPr="009C520D" w14:paraId="394C16B2" w14:textId="6E502B96" w:rsidTr="009E5F3C">
        <w:tc>
          <w:tcPr>
            <w:tcW w:w="1555" w:type="dxa"/>
            <w:vAlign w:val="center"/>
          </w:tcPr>
          <w:p w14:paraId="75A60978" w14:textId="08207335"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t>Genéricas</w:t>
            </w:r>
          </w:p>
        </w:tc>
        <w:tc>
          <w:tcPr>
            <w:tcW w:w="4569" w:type="dxa"/>
            <w:vAlign w:val="center"/>
          </w:tcPr>
          <w:p w14:paraId="7DC63E2C" w14:textId="620B1ECC"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t>N</w:t>
            </w:r>
            <w:r w:rsidR="00BF2FCF" w:rsidRPr="009C520D">
              <w:rPr>
                <w:rFonts w:ascii="Times New Roman" w:hAnsi="Times New Roman" w:cs="Times New Roman"/>
                <w:lang w:val="pt-PT"/>
              </w:rPr>
              <w:t>o documento de Consulta Pública refere-se que em geral o</w:t>
            </w:r>
            <w:r w:rsidRPr="009C520D">
              <w:rPr>
                <w:rFonts w:ascii="Times New Roman" w:hAnsi="Times New Roman" w:cs="Times New Roman"/>
                <w:lang w:val="pt-PT"/>
              </w:rPr>
              <w:t>s clientes de serviços móveis pós-pagos assinam um contrato de longo prazo com a operadora prestadora do serviço, no qual um valor é pago regularmente (geralmente mensalmente) em troca dos serviços pelo período de vigência do contrato. No entanto, existe neste caso um valor inicial de caução bastante elevado.</w:t>
            </w:r>
          </w:p>
        </w:tc>
        <w:tc>
          <w:tcPr>
            <w:tcW w:w="3913" w:type="dxa"/>
            <w:vAlign w:val="center"/>
          </w:tcPr>
          <w:p w14:paraId="5E6942A0" w14:textId="5A622076" w:rsidR="00676185" w:rsidRPr="009C520D" w:rsidRDefault="00676185" w:rsidP="009E5F3C">
            <w:pPr>
              <w:pStyle w:val="Textodecomentrio"/>
              <w:rPr>
                <w:rFonts w:ascii="Times New Roman" w:hAnsi="Times New Roman" w:cs="Times New Roman"/>
                <w:sz w:val="24"/>
                <w:szCs w:val="24"/>
                <w:lang w:val="pt-PT"/>
              </w:rPr>
            </w:pPr>
            <w:r w:rsidRPr="009C520D">
              <w:rPr>
                <w:rFonts w:ascii="Times New Roman" w:hAnsi="Times New Roman" w:cs="Times New Roman"/>
                <w:sz w:val="24"/>
                <w:szCs w:val="24"/>
                <w:lang w:val="pt-PT"/>
              </w:rPr>
              <w:t>Quando se afirma com todo ess</w:t>
            </w:r>
            <w:r w:rsidR="00BD2203" w:rsidRPr="009C520D">
              <w:rPr>
                <w:rFonts w:ascii="Times New Roman" w:hAnsi="Times New Roman" w:cs="Times New Roman"/>
                <w:sz w:val="24"/>
                <w:szCs w:val="24"/>
                <w:lang w:val="pt-PT"/>
              </w:rPr>
              <w:t>a qualificação</w:t>
            </w:r>
            <w:r w:rsidRPr="009C520D">
              <w:rPr>
                <w:rFonts w:ascii="Times New Roman" w:hAnsi="Times New Roman" w:cs="Times New Roman"/>
                <w:sz w:val="24"/>
                <w:szCs w:val="24"/>
                <w:lang w:val="pt-PT"/>
              </w:rPr>
              <w:t xml:space="preserve"> (bastante</w:t>
            </w:r>
            <w:r w:rsidR="00BF2FCF" w:rsidRPr="009C520D">
              <w:rPr>
                <w:rFonts w:ascii="Times New Roman" w:hAnsi="Times New Roman" w:cs="Times New Roman"/>
                <w:sz w:val="24"/>
                <w:szCs w:val="24"/>
                <w:lang w:val="pt-PT"/>
              </w:rPr>
              <w:t xml:space="preserve"> elevado</w:t>
            </w:r>
            <w:r w:rsidRPr="009C520D">
              <w:rPr>
                <w:rFonts w:ascii="Times New Roman" w:hAnsi="Times New Roman" w:cs="Times New Roman"/>
                <w:sz w:val="24"/>
                <w:szCs w:val="24"/>
                <w:lang w:val="pt-PT"/>
              </w:rPr>
              <w:t xml:space="preserve">), em que é que se baseou ?? qual seria o preço </w:t>
            </w:r>
            <w:r w:rsidR="00BD2203" w:rsidRPr="009C520D">
              <w:rPr>
                <w:rFonts w:ascii="Times New Roman" w:hAnsi="Times New Roman" w:cs="Times New Roman"/>
                <w:sz w:val="24"/>
                <w:szCs w:val="24"/>
                <w:lang w:val="pt-PT"/>
              </w:rPr>
              <w:t>razoável</w:t>
            </w:r>
            <w:r w:rsidRPr="009C520D">
              <w:rPr>
                <w:rFonts w:ascii="Times New Roman" w:hAnsi="Times New Roman" w:cs="Times New Roman"/>
                <w:sz w:val="24"/>
                <w:szCs w:val="24"/>
                <w:lang w:val="pt-PT"/>
              </w:rPr>
              <w:t xml:space="preserve"> ou </w:t>
            </w:r>
            <w:r w:rsidR="00BD2203" w:rsidRPr="009C520D">
              <w:rPr>
                <w:rFonts w:ascii="Times New Roman" w:hAnsi="Times New Roman" w:cs="Times New Roman"/>
                <w:sz w:val="24"/>
                <w:szCs w:val="24"/>
                <w:lang w:val="pt-PT"/>
              </w:rPr>
              <w:t>práticas</w:t>
            </w:r>
            <w:r w:rsidRPr="009C520D">
              <w:rPr>
                <w:rFonts w:ascii="Times New Roman" w:hAnsi="Times New Roman" w:cs="Times New Roman"/>
                <w:sz w:val="24"/>
                <w:szCs w:val="24"/>
                <w:lang w:val="pt-PT"/>
              </w:rPr>
              <w:t xml:space="preserve"> standard nos outros </w:t>
            </w:r>
            <w:r w:rsidR="00BD2203" w:rsidRPr="009C520D">
              <w:rPr>
                <w:rFonts w:ascii="Times New Roman" w:hAnsi="Times New Roman" w:cs="Times New Roman"/>
                <w:sz w:val="24"/>
                <w:szCs w:val="24"/>
                <w:lang w:val="pt-PT"/>
              </w:rPr>
              <w:t>países</w:t>
            </w:r>
            <w:r w:rsidRPr="009C520D">
              <w:rPr>
                <w:rFonts w:ascii="Times New Roman" w:hAnsi="Times New Roman" w:cs="Times New Roman"/>
                <w:sz w:val="24"/>
                <w:szCs w:val="24"/>
                <w:lang w:val="pt-PT"/>
              </w:rPr>
              <w:t>, considerando todos os parâmetros tidos em conta nesse tipo de serviços</w:t>
            </w:r>
          </w:p>
          <w:p w14:paraId="14A51EDE" w14:textId="77777777" w:rsidR="00676185" w:rsidRPr="009C520D" w:rsidRDefault="00676185" w:rsidP="009E5F3C">
            <w:pPr>
              <w:rPr>
                <w:rFonts w:ascii="Times New Roman" w:hAnsi="Times New Roman" w:cs="Times New Roman"/>
                <w:lang w:val="pt-PT"/>
              </w:rPr>
            </w:pPr>
          </w:p>
        </w:tc>
        <w:tc>
          <w:tcPr>
            <w:tcW w:w="3913" w:type="dxa"/>
            <w:vAlign w:val="center"/>
          </w:tcPr>
          <w:p w14:paraId="1D9DEA6A" w14:textId="24B224A6" w:rsidR="00676185" w:rsidRPr="009C520D" w:rsidRDefault="00BF2FCF" w:rsidP="009E5F3C">
            <w:pPr>
              <w:rPr>
                <w:rFonts w:ascii="Times New Roman" w:hAnsi="Times New Roman" w:cs="Times New Roman"/>
                <w:lang w:val="pt-PT"/>
              </w:rPr>
            </w:pPr>
            <w:r w:rsidRPr="009C520D">
              <w:rPr>
                <w:rFonts w:ascii="Times New Roman" w:hAnsi="Times New Roman" w:cs="Times New Roman"/>
                <w:lang w:val="pt-PT"/>
              </w:rPr>
              <w:t>A afirmação baseia-se no que é comum observar-se em mercados móveis e não é essencial quantificar. Constitui apenas uma característica distintiva entre os segmentos pré-pago e pós-pago. A Consulta Pública sobre análise de mercados não se destina a elucidar sobre práticas internacionais relativas a aspetos que não sejam relevantes para o seu objetivo.</w:t>
            </w:r>
          </w:p>
        </w:tc>
      </w:tr>
      <w:tr w:rsidR="009C520D" w:rsidRPr="009C520D" w14:paraId="375E0D92" w14:textId="77777777" w:rsidTr="009E5F3C">
        <w:tc>
          <w:tcPr>
            <w:tcW w:w="1555" w:type="dxa"/>
            <w:vAlign w:val="center"/>
          </w:tcPr>
          <w:p w14:paraId="6D838435" w14:textId="59643FD3" w:rsidR="00676185" w:rsidRPr="009C520D" w:rsidRDefault="00BF2FCF" w:rsidP="00676185">
            <w:pPr>
              <w:rPr>
                <w:rFonts w:ascii="Times New Roman" w:hAnsi="Times New Roman" w:cs="Times New Roman"/>
                <w:lang w:val="pt-PT"/>
              </w:rPr>
            </w:pPr>
            <w:r w:rsidRPr="009C520D">
              <w:rPr>
                <w:rFonts w:ascii="Times New Roman" w:hAnsi="Times New Roman" w:cs="Times New Roman"/>
                <w:lang w:val="pt-PT"/>
              </w:rPr>
              <w:t>Genéricas</w:t>
            </w:r>
          </w:p>
        </w:tc>
        <w:tc>
          <w:tcPr>
            <w:tcW w:w="4569" w:type="dxa"/>
            <w:vAlign w:val="center"/>
          </w:tcPr>
          <w:p w14:paraId="6973CF93" w14:textId="2B496B5C" w:rsidR="00676185" w:rsidRPr="009C520D" w:rsidRDefault="00BF2FCF" w:rsidP="00676185">
            <w:pPr>
              <w:rPr>
                <w:rFonts w:ascii="Times New Roman" w:hAnsi="Times New Roman" w:cs="Times New Roman"/>
                <w:lang w:val="pt-PT"/>
              </w:rPr>
            </w:pPr>
            <w:r w:rsidRPr="009C520D">
              <w:rPr>
                <w:rFonts w:ascii="Times New Roman" w:hAnsi="Times New Roman" w:cs="Times New Roman"/>
                <w:lang w:val="pt-PT"/>
              </w:rPr>
              <w:t xml:space="preserve">Na Consulta Pública descreve-se </w:t>
            </w:r>
            <w:r w:rsidR="00C3081E" w:rsidRPr="009C520D">
              <w:rPr>
                <w:rFonts w:ascii="Times New Roman" w:hAnsi="Times New Roman" w:cs="Times New Roman"/>
                <w:lang w:val="pt-PT"/>
              </w:rPr>
              <w:t xml:space="preserve">de forma qualitativa e a nível de preços </w:t>
            </w:r>
            <w:r w:rsidRPr="009C520D">
              <w:rPr>
                <w:rFonts w:ascii="Times New Roman" w:hAnsi="Times New Roman" w:cs="Times New Roman"/>
                <w:lang w:val="pt-PT"/>
              </w:rPr>
              <w:t>a gama de ofertas da Orange com base na informação disponível no momento no seu website</w:t>
            </w:r>
            <w:r w:rsidR="00C3081E" w:rsidRPr="009C520D">
              <w:rPr>
                <w:rFonts w:ascii="Times New Roman" w:hAnsi="Times New Roman" w:cs="Times New Roman"/>
                <w:lang w:val="pt-PT"/>
              </w:rPr>
              <w:t>.</w:t>
            </w:r>
          </w:p>
        </w:tc>
        <w:tc>
          <w:tcPr>
            <w:tcW w:w="3913" w:type="dxa"/>
          </w:tcPr>
          <w:p w14:paraId="1AEF3104" w14:textId="3156EF90" w:rsidR="00676185" w:rsidRPr="009C520D" w:rsidRDefault="00C3081E" w:rsidP="00C3081E">
            <w:pPr>
              <w:pStyle w:val="Textodecomentrio"/>
              <w:rPr>
                <w:rStyle w:val="Refdecomentrio"/>
                <w:rFonts w:ascii="Times New Roman" w:hAnsi="Times New Roman"/>
                <w:sz w:val="24"/>
                <w:szCs w:val="24"/>
                <w:lang w:val="pt-PT"/>
              </w:rPr>
            </w:pPr>
            <w:r w:rsidRPr="009C520D">
              <w:rPr>
                <w:rStyle w:val="Refdecomentrio"/>
                <w:rFonts w:ascii="Times New Roman" w:hAnsi="Times New Roman"/>
                <w:noProof/>
                <w:sz w:val="24"/>
                <w:szCs w:val="24"/>
                <w:lang w:val="pt-PT"/>
              </w:rPr>
              <w:t>A Orange adicionou algumas tabelas com o preço dos diferentes pacotes oferecidos no mercado</w:t>
            </w:r>
          </w:p>
        </w:tc>
        <w:tc>
          <w:tcPr>
            <w:tcW w:w="3913" w:type="dxa"/>
            <w:vAlign w:val="center"/>
          </w:tcPr>
          <w:p w14:paraId="65382E88" w14:textId="516447A2" w:rsidR="00676185" w:rsidRPr="009C520D" w:rsidRDefault="00C3081E" w:rsidP="009E5F3C">
            <w:pPr>
              <w:rPr>
                <w:rFonts w:ascii="Times New Roman" w:hAnsi="Times New Roman" w:cs="Times New Roman"/>
                <w:lang w:val="pt-PT"/>
              </w:rPr>
            </w:pPr>
            <w:r w:rsidRPr="009C520D">
              <w:rPr>
                <w:rFonts w:ascii="Times New Roman" w:hAnsi="Times New Roman" w:cs="Times New Roman"/>
                <w:lang w:val="pt-PT"/>
              </w:rPr>
              <w:t>A ARN agradece a informação adicional e não tem nada a acrescentar.</w:t>
            </w:r>
          </w:p>
        </w:tc>
      </w:tr>
      <w:tr w:rsidR="009C520D" w:rsidRPr="009C520D" w14:paraId="6F295A6D" w14:textId="77777777" w:rsidTr="009E5F3C">
        <w:tc>
          <w:tcPr>
            <w:tcW w:w="1555" w:type="dxa"/>
            <w:vAlign w:val="center"/>
          </w:tcPr>
          <w:p w14:paraId="79DC9973" w14:textId="7AA1D9D1" w:rsidR="001420FB" w:rsidRPr="009C520D" w:rsidRDefault="001420FB" w:rsidP="00676185">
            <w:pPr>
              <w:rPr>
                <w:rFonts w:ascii="Times New Roman" w:hAnsi="Times New Roman" w:cs="Times New Roman"/>
                <w:lang w:val="pt-PT"/>
              </w:rPr>
            </w:pPr>
            <w:r w:rsidRPr="009C520D">
              <w:rPr>
                <w:rFonts w:ascii="Times New Roman" w:hAnsi="Times New Roman" w:cs="Times New Roman"/>
                <w:lang w:val="pt-PT"/>
              </w:rPr>
              <w:t>Genéricas</w:t>
            </w:r>
          </w:p>
        </w:tc>
        <w:tc>
          <w:tcPr>
            <w:tcW w:w="4569" w:type="dxa"/>
            <w:vAlign w:val="center"/>
          </w:tcPr>
          <w:p w14:paraId="1EF7BC4D" w14:textId="0F501A4A" w:rsidR="001420FB" w:rsidRPr="009C520D" w:rsidRDefault="001420FB" w:rsidP="009E5F3C">
            <w:pPr>
              <w:spacing w:line="276" w:lineRule="auto"/>
              <w:rPr>
                <w:rFonts w:ascii="Times New Roman" w:hAnsi="Times New Roman" w:cs="Times New Roman"/>
                <w:lang w:val="pt-PT"/>
              </w:rPr>
            </w:pPr>
            <w:r w:rsidRPr="009C520D">
              <w:rPr>
                <w:rFonts w:ascii="Times New Roman" w:hAnsi="Times New Roman" w:cs="Times New Roman"/>
                <w:lang w:val="pt-PT"/>
              </w:rPr>
              <w:t>Na Consulta Pública refere-se que no pacote Jovem VIP não existe diferenciação de preço de chamadas de voz para dentro do grupo entre o período noturno e diurno</w:t>
            </w:r>
          </w:p>
        </w:tc>
        <w:tc>
          <w:tcPr>
            <w:tcW w:w="3913" w:type="dxa"/>
            <w:vAlign w:val="center"/>
          </w:tcPr>
          <w:p w14:paraId="20FFA2A0" w14:textId="67521550" w:rsidR="001420FB" w:rsidRPr="009C520D" w:rsidRDefault="001420FB" w:rsidP="009E5F3C">
            <w:pPr>
              <w:pStyle w:val="Textodecomentrio"/>
              <w:rPr>
                <w:rStyle w:val="Refdecomentrio"/>
                <w:rFonts w:ascii="Times New Roman" w:hAnsi="Times New Roman"/>
                <w:noProof/>
                <w:sz w:val="24"/>
                <w:szCs w:val="24"/>
                <w:lang w:val="pt-PT"/>
              </w:rPr>
            </w:pPr>
            <w:r w:rsidRPr="009C520D">
              <w:rPr>
                <w:rStyle w:val="Refdecomentrio"/>
                <w:rFonts w:ascii="Times New Roman" w:hAnsi="Times New Roman"/>
                <w:noProof/>
                <w:sz w:val="24"/>
                <w:szCs w:val="24"/>
                <w:lang w:val="pt-PT"/>
              </w:rPr>
              <w:t>A Orange colocou dúvidas sobre este aspeto do preçário.</w:t>
            </w:r>
          </w:p>
        </w:tc>
        <w:tc>
          <w:tcPr>
            <w:tcW w:w="3913" w:type="dxa"/>
            <w:vAlign w:val="center"/>
          </w:tcPr>
          <w:p w14:paraId="0A0EA700" w14:textId="2DD4F2BB" w:rsidR="001420FB" w:rsidRPr="009C520D" w:rsidRDefault="001420FB" w:rsidP="009E5F3C">
            <w:pPr>
              <w:rPr>
                <w:rFonts w:ascii="Times New Roman" w:hAnsi="Times New Roman" w:cs="Times New Roman"/>
                <w:lang w:val="pt-PT"/>
              </w:rPr>
            </w:pPr>
            <w:r w:rsidRPr="009C520D">
              <w:rPr>
                <w:rFonts w:ascii="Times New Roman" w:hAnsi="Times New Roman" w:cs="Times New Roman"/>
                <w:lang w:val="pt-PT"/>
              </w:rPr>
              <w:t xml:space="preserve">A ARN reafirma que conforme os dados disponíveis na altura não existia diferenciação de preço de chamadas de voz para dentro do grupo entre o período noturno e diurno, 0,51F/seg. Essa diferenciação existia nas chamadas de voz </w:t>
            </w:r>
            <w:proofErr w:type="spellStart"/>
            <w:r w:rsidRPr="009C520D">
              <w:rPr>
                <w:rFonts w:ascii="Times New Roman" w:hAnsi="Times New Roman" w:cs="Times New Roman"/>
                <w:lang w:val="pt-PT"/>
              </w:rPr>
              <w:t>on</w:t>
            </w:r>
            <w:proofErr w:type="spellEnd"/>
            <w:r w:rsidRPr="009C520D">
              <w:rPr>
                <w:rFonts w:ascii="Times New Roman" w:hAnsi="Times New Roman" w:cs="Times New Roman"/>
                <w:lang w:val="pt-PT"/>
              </w:rPr>
              <w:t>-net para outros tarifários.</w:t>
            </w:r>
          </w:p>
        </w:tc>
      </w:tr>
      <w:tr w:rsidR="009C520D" w:rsidRPr="009C520D" w14:paraId="428A14BB" w14:textId="77777777" w:rsidTr="00676185">
        <w:tc>
          <w:tcPr>
            <w:tcW w:w="1555" w:type="dxa"/>
            <w:vAlign w:val="center"/>
          </w:tcPr>
          <w:p w14:paraId="3BC6D534" w14:textId="47B9EE7E" w:rsidR="00BF2FCF" w:rsidRPr="009C520D" w:rsidRDefault="00865D8C" w:rsidP="00676185">
            <w:pPr>
              <w:rPr>
                <w:rFonts w:ascii="Times New Roman" w:hAnsi="Times New Roman" w:cs="Times New Roman"/>
                <w:lang w:val="pt-PT"/>
              </w:rPr>
            </w:pPr>
            <w:r w:rsidRPr="009C520D">
              <w:rPr>
                <w:lang w:val="pt-PT"/>
              </w:rPr>
              <w:br w:type="page"/>
            </w:r>
            <w:r w:rsidR="00FD08B2" w:rsidRPr="009C520D">
              <w:rPr>
                <w:rFonts w:ascii="Times New Roman" w:hAnsi="Times New Roman" w:cs="Times New Roman"/>
                <w:lang w:val="pt-PT"/>
              </w:rPr>
              <w:t>Genéricas</w:t>
            </w:r>
          </w:p>
        </w:tc>
        <w:tc>
          <w:tcPr>
            <w:tcW w:w="4569" w:type="dxa"/>
            <w:vAlign w:val="center"/>
          </w:tcPr>
          <w:p w14:paraId="55EE0D4C" w14:textId="3C469FB7" w:rsidR="00BF2FCF" w:rsidRPr="009C520D" w:rsidRDefault="00FD08B2" w:rsidP="00676185">
            <w:pPr>
              <w:rPr>
                <w:rFonts w:ascii="Times New Roman" w:hAnsi="Times New Roman" w:cs="Times New Roman"/>
                <w:lang w:val="pt-PT"/>
              </w:rPr>
            </w:pPr>
            <w:r w:rsidRPr="009C520D">
              <w:rPr>
                <w:rFonts w:ascii="Times New Roman" w:hAnsi="Times New Roman" w:cs="Times New Roman"/>
                <w:lang w:val="pt-PT"/>
              </w:rPr>
              <w:t xml:space="preserve">Na consulta pública refere-se que os serviços pós-pagos geralmente são oferecidos com descontos promocionais (por exemplo, uma dedução de minutos ou mensagens de texto gratuitos) para incentivar um compromisso contratual de longo prazo. Algumas promoções pré-pagas podem também incluir </w:t>
            </w:r>
            <w:r w:rsidRPr="009C520D">
              <w:rPr>
                <w:rFonts w:ascii="Times New Roman" w:hAnsi="Times New Roman" w:cs="Times New Roman"/>
                <w:lang w:val="pt-PT"/>
              </w:rPr>
              <w:lastRenderedPageBreak/>
              <w:t xml:space="preserve">concessões de minutos de voz ou mensagens de texto gratuitos, mas normalmente é uma quantia mais pequena em relação ao pós-pago. </w:t>
            </w:r>
          </w:p>
        </w:tc>
        <w:tc>
          <w:tcPr>
            <w:tcW w:w="3913" w:type="dxa"/>
          </w:tcPr>
          <w:p w14:paraId="50BC1006" w14:textId="2B008DDC" w:rsidR="00FD08B2" w:rsidRPr="009C520D" w:rsidRDefault="00FD08B2" w:rsidP="00FD08B2">
            <w:pPr>
              <w:pStyle w:val="Textodecomentrio"/>
              <w:rPr>
                <w:rFonts w:ascii="Times New Roman" w:hAnsi="Times New Roman" w:cs="Times New Roman"/>
                <w:sz w:val="24"/>
                <w:szCs w:val="24"/>
                <w:lang w:val="pt-PT"/>
              </w:rPr>
            </w:pPr>
            <w:r w:rsidRPr="009C520D">
              <w:rPr>
                <w:rFonts w:ascii="Times New Roman" w:hAnsi="Times New Roman" w:cs="Times New Roman"/>
                <w:sz w:val="24"/>
                <w:szCs w:val="24"/>
                <w:lang w:val="pt-PT"/>
              </w:rPr>
              <w:lastRenderedPageBreak/>
              <w:t xml:space="preserve">A Orange questionou se é regra geral nos outros </w:t>
            </w:r>
            <w:r w:rsidR="00BD2203" w:rsidRPr="009C520D">
              <w:rPr>
                <w:rFonts w:ascii="Times New Roman" w:hAnsi="Times New Roman" w:cs="Times New Roman"/>
                <w:sz w:val="24"/>
                <w:szCs w:val="24"/>
                <w:lang w:val="pt-PT"/>
              </w:rPr>
              <w:t>países</w:t>
            </w:r>
            <w:r w:rsidRPr="009C520D">
              <w:rPr>
                <w:rFonts w:ascii="Times New Roman" w:hAnsi="Times New Roman" w:cs="Times New Roman"/>
                <w:sz w:val="24"/>
                <w:szCs w:val="24"/>
                <w:lang w:val="pt-PT"/>
              </w:rPr>
              <w:t>, por exemplo? O caso concreto da Guiné-Bissau existem???</w:t>
            </w:r>
          </w:p>
          <w:p w14:paraId="2880FB8C" w14:textId="3E2E30F3" w:rsidR="00BF2FCF" w:rsidRPr="009C520D" w:rsidRDefault="00FD08B2" w:rsidP="00FD08B2">
            <w:pPr>
              <w:pStyle w:val="Textodecomentrio"/>
              <w:rPr>
                <w:rStyle w:val="Refdecomentrio"/>
                <w:rFonts w:ascii="Times New Roman" w:hAnsi="Times New Roman"/>
                <w:noProof/>
                <w:lang w:val="pt-PT"/>
              </w:rPr>
            </w:pPr>
            <w:r w:rsidRPr="009C520D">
              <w:rPr>
                <w:rFonts w:ascii="Times New Roman" w:hAnsi="Times New Roman" w:cs="Times New Roman"/>
                <w:sz w:val="24"/>
                <w:szCs w:val="24"/>
                <w:lang w:val="pt-PT"/>
              </w:rPr>
              <w:lastRenderedPageBreak/>
              <w:t>Afirmou também que as práticas comerciais referidas não correspondem à realidade do mercado guineense.</w:t>
            </w:r>
          </w:p>
        </w:tc>
        <w:tc>
          <w:tcPr>
            <w:tcW w:w="3913" w:type="dxa"/>
          </w:tcPr>
          <w:p w14:paraId="773EE2A7" w14:textId="5E399A51" w:rsidR="00BF2FCF" w:rsidRPr="009C520D" w:rsidRDefault="00FD08B2" w:rsidP="00676185">
            <w:pPr>
              <w:rPr>
                <w:rFonts w:ascii="Times New Roman" w:hAnsi="Times New Roman" w:cs="Times New Roman"/>
                <w:lang w:val="pt-PT"/>
              </w:rPr>
            </w:pPr>
            <w:r w:rsidRPr="009C520D">
              <w:rPr>
                <w:rFonts w:ascii="Times New Roman" w:hAnsi="Times New Roman" w:cs="Times New Roman"/>
                <w:lang w:val="pt-PT"/>
              </w:rPr>
              <w:lastRenderedPageBreak/>
              <w:t xml:space="preserve">A Consulta Pública sobre análise de mercados não se destina a elucidar sobre práticas internacionais relativas a aspetos que não sejam relevantes para o seu objetivo. A análise de substituição pretende </w:t>
            </w:r>
            <w:r w:rsidR="00E75B9C" w:rsidRPr="009C520D">
              <w:rPr>
                <w:rFonts w:ascii="Times New Roman" w:hAnsi="Times New Roman" w:cs="Times New Roman"/>
                <w:lang w:val="pt-PT"/>
              </w:rPr>
              <w:t xml:space="preserve">identificar que serviços fazem ou não parte do </w:t>
            </w:r>
            <w:r w:rsidR="00E75B9C" w:rsidRPr="009C520D">
              <w:rPr>
                <w:rFonts w:ascii="Times New Roman" w:hAnsi="Times New Roman" w:cs="Times New Roman"/>
                <w:lang w:val="pt-PT"/>
              </w:rPr>
              <w:lastRenderedPageBreak/>
              <w:t xml:space="preserve">mesmo mercado. </w:t>
            </w:r>
            <w:r w:rsidRPr="009C520D">
              <w:rPr>
                <w:rFonts w:ascii="Times New Roman" w:hAnsi="Times New Roman" w:cs="Times New Roman"/>
                <w:lang w:val="pt-PT"/>
              </w:rPr>
              <w:t xml:space="preserve">Por estes motivos, </w:t>
            </w:r>
            <w:r w:rsidR="00E75B9C" w:rsidRPr="009C520D">
              <w:rPr>
                <w:rFonts w:ascii="Times New Roman" w:hAnsi="Times New Roman" w:cs="Times New Roman"/>
                <w:lang w:val="pt-PT"/>
              </w:rPr>
              <w:t>a ARN mantém a sua conclusão de</w:t>
            </w:r>
            <w:r w:rsidRPr="009C520D">
              <w:rPr>
                <w:rFonts w:ascii="Times New Roman" w:hAnsi="Times New Roman" w:cs="Times New Roman"/>
                <w:lang w:val="pt-PT"/>
              </w:rPr>
              <w:t xml:space="preserve"> que o acesso a serviços móveis pré-pagos e pós-pagos sejam considerados como fazendo parte do mesmo mercado</w:t>
            </w:r>
            <w:r w:rsidR="00E75B9C" w:rsidRPr="009C520D">
              <w:rPr>
                <w:rFonts w:ascii="Times New Roman" w:hAnsi="Times New Roman" w:cs="Times New Roman"/>
                <w:lang w:val="pt-PT"/>
              </w:rPr>
              <w:t>.</w:t>
            </w:r>
          </w:p>
        </w:tc>
      </w:tr>
      <w:tr w:rsidR="009C520D" w:rsidRPr="009C520D" w14:paraId="20EC4D2E" w14:textId="77777777" w:rsidTr="00676185">
        <w:tc>
          <w:tcPr>
            <w:tcW w:w="1555" w:type="dxa"/>
            <w:vAlign w:val="center"/>
          </w:tcPr>
          <w:p w14:paraId="26B5A392" w14:textId="10DF3FAF" w:rsidR="00FD08B2" w:rsidRPr="009C520D" w:rsidRDefault="00E75B9C" w:rsidP="00676185">
            <w:pPr>
              <w:rPr>
                <w:rFonts w:ascii="Times New Roman" w:hAnsi="Times New Roman" w:cs="Times New Roman"/>
                <w:lang w:val="pt-PT"/>
              </w:rPr>
            </w:pPr>
            <w:r w:rsidRPr="009C520D">
              <w:rPr>
                <w:rFonts w:ascii="Times New Roman" w:hAnsi="Times New Roman" w:cs="Times New Roman"/>
                <w:lang w:val="pt-PT"/>
              </w:rPr>
              <w:lastRenderedPageBreak/>
              <w:t>Genéricas</w:t>
            </w:r>
          </w:p>
        </w:tc>
        <w:tc>
          <w:tcPr>
            <w:tcW w:w="4569" w:type="dxa"/>
            <w:vAlign w:val="center"/>
          </w:tcPr>
          <w:p w14:paraId="2150EC09" w14:textId="7C53DD5E" w:rsidR="00FD08B2" w:rsidRPr="009C520D" w:rsidRDefault="00E75B9C" w:rsidP="00676185">
            <w:pPr>
              <w:rPr>
                <w:rFonts w:ascii="Times New Roman" w:hAnsi="Times New Roman" w:cs="Times New Roman"/>
                <w:lang w:val="pt-PT"/>
              </w:rPr>
            </w:pPr>
            <w:r w:rsidRPr="009C520D">
              <w:rPr>
                <w:rFonts w:ascii="Times New Roman" w:hAnsi="Times New Roman" w:cs="Times New Roman"/>
                <w:lang w:val="pt-PT"/>
              </w:rPr>
              <w:t>Na consulta pública são apresentados alguns dados de utilização de serviços na Guiné Bissau que sugerem que as chamadas de voz são amplamente preferidas às mensagens de texto, comparativamente a outros países.</w:t>
            </w:r>
          </w:p>
        </w:tc>
        <w:tc>
          <w:tcPr>
            <w:tcW w:w="3913" w:type="dxa"/>
          </w:tcPr>
          <w:p w14:paraId="387BE080" w14:textId="1DF35977" w:rsidR="00FD08B2" w:rsidRPr="009C520D" w:rsidRDefault="00E75B9C" w:rsidP="00676185">
            <w:pPr>
              <w:pStyle w:val="Textodecomentrio"/>
              <w:rPr>
                <w:rStyle w:val="Refdecomentrio"/>
                <w:rFonts w:ascii="Times New Roman" w:hAnsi="Times New Roman"/>
                <w:noProof/>
                <w:sz w:val="24"/>
                <w:szCs w:val="24"/>
                <w:lang w:val="pt-PT"/>
              </w:rPr>
            </w:pPr>
            <w:r w:rsidRPr="009C520D">
              <w:rPr>
                <w:rStyle w:val="Refdecomentrio"/>
                <w:rFonts w:ascii="Times New Roman" w:hAnsi="Times New Roman"/>
                <w:noProof/>
                <w:sz w:val="24"/>
                <w:szCs w:val="24"/>
                <w:lang w:val="pt-PT"/>
              </w:rPr>
              <w:t>A Orange questionou se os valores apresentados nas duas ultimas linhas do quadro (minutos de voz originados/mês e SMS/mês) corresponderiam à média por assinante?</w:t>
            </w:r>
          </w:p>
        </w:tc>
        <w:tc>
          <w:tcPr>
            <w:tcW w:w="3913" w:type="dxa"/>
          </w:tcPr>
          <w:p w14:paraId="03605011" w14:textId="0798A841" w:rsidR="00FD08B2" w:rsidRPr="009C520D" w:rsidRDefault="00E75B9C" w:rsidP="00676185">
            <w:pPr>
              <w:rPr>
                <w:rFonts w:ascii="Times New Roman" w:hAnsi="Times New Roman" w:cs="Times New Roman"/>
                <w:lang w:val="pt-PT"/>
              </w:rPr>
            </w:pPr>
            <w:r w:rsidRPr="009C520D">
              <w:rPr>
                <w:rFonts w:ascii="Times New Roman" w:hAnsi="Times New Roman" w:cs="Times New Roman"/>
                <w:lang w:val="pt-PT"/>
              </w:rPr>
              <w:t>A ARN confirma que correspondem aos valores médios por assinante.</w:t>
            </w:r>
          </w:p>
        </w:tc>
      </w:tr>
      <w:tr w:rsidR="009C520D" w:rsidRPr="009C520D" w14:paraId="736DB1EB" w14:textId="77777777" w:rsidTr="00676185">
        <w:tc>
          <w:tcPr>
            <w:tcW w:w="1555" w:type="dxa"/>
            <w:vAlign w:val="center"/>
          </w:tcPr>
          <w:p w14:paraId="6F31D602" w14:textId="6F4EB5A2" w:rsidR="00626635" w:rsidRPr="009C520D" w:rsidRDefault="00626635" w:rsidP="00676185">
            <w:pPr>
              <w:rPr>
                <w:rFonts w:ascii="Times New Roman" w:hAnsi="Times New Roman" w:cs="Times New Roman"/>
                <w:lang w:val="pt-PT"/>
              </w:rPr>
            </w:pPr>
            <w:r w:rsidRPr="009C520D">
              <w:rPr>
                <w:rFonts w:ascii="Times New Roman" w:hAnsi="Times New Roman" w:cs="Times New Roman"/>
                <w:lang w:val="pt-PT"/>
              </w:rPr>
              <w:t>Genéricas</w:t>
            </w:r>
          </w:p>
        </w:tc>
        <w:tc>
          <w:tcPr>
            <w:tcW w:w="4569" w:type="dxa"/>
            <w:vAlign w:val="center"/>
          </w:tcPr>
          <w:p w14:paraId="65EBF7AC" w14:textId="11DD85AB" w:rsidR="00626635" w:rsidRPr="009C520D" w:rsidRDefault="00626635" w:rsidP="00676185">
            <w:pPr>
              <w:rPr>
                <w:rFonts w:ascii="Times New Roman" w:hAnsi="Times New Roman" w:cs="Times New Roman"/>
                <w:lang w:val="pt-PT"/>
              </w:rPr>
            </w:pPr>
            <w:r w:rsidRPr="009C520D">
              <w:rPr>
                <w:rFonts w:ascii="Times New Roman" w:hAnsi="Times New Roman" w:cs="Times New Roman"/>
                <w:lang w:val="pt-PT"/>
              </w:rPr>
              <w:t>Na consulta pública refere-se que, a penetração de smartphones na Guiné</w:t>
            </w:r>
            <w:r w:rsidR="00ED4B15" w:rsidRPr="009C520D">
              <w:rPr>
                <w:rFonts w:ascii="Times New Roman" w:hAnsi="Times New Roman" w:cs="Times New Roman"/>
                <w:lang w:val="pt-PT"/>
              </w:rPr>
              <w:t xml:space="preserve"> </w:t>
            </w:r>
            <w:r w:rsidRPr="009C520D">
              <w:rPr>
                <w:rFonts w:ascii="Times New Roman" w:hAnsi="Times New Roman" w:cs="Times New Roman"/>
                <w:lang w:val="pt-PT"/>
              </w:rPr>
              <w:t>Bissau é baixa.</w:t>
            </w:r>
          </w:p>
        </w:tc>
        <w:tc>
          <w:tcPr>
            <w:tcW w:w="3913" w:type="dxa"/>
          </w:tcPr>
          <w:p w14:paraId="28895F85" w14:textId="261F13E6" w:rsidR="00626635" w:rsidRPr="009C520D" w:rsidRDefault="001B56EB" w:rsidP="00676185">
            <w:pPr>
              <w:pStyle w:val="Textodecomentrio"/>
              <w:rPr>
                <w:rStyle w:val="Refdecomentrio"/>
                <w:rFonts w:ascii="Times New Roman" w:hAnsi="Times New Roman"/>
                <w:noProof/>
                <w:sz w:val="24"/>
                <w:szCs w:val="24"/>
                <w:lang w:val="pt-PT"/>
              </w:rPr>
            </w:pPr>
            <w:r w:rsidRPr="009C520D">
              <w:rPr>
                <w:rFonts w:ascii="Times New Roman" w:hAnsi="Times New Roman" w:cs="Times New Roman"/>
                <w:sz w:val="24"/>
                <w:szCs w:val="24"/>
                <w:lang w:val="pt-PT"/>
              </w:rPr>
              <w:t xml:space="preserve">A Orange questionou se existe alguma </w:t>
            </w:r>
            <w:r w:rsidR="00BD2203" w:rsidRPr="009C520D">
              <w:rPr>
                <w:rFonts w:ascii="Times New Roman" w:hAnsi="Times New Roman" w:cs="Times New Roman"/>
                <w:sz w:val="24"/>
                <w:szCs w:val="24"/>
                <w:lang w:val="pt-PT"/>
              </w:rPr>
              <w:t>estatística</w:t>
            </w:r>
            <w:r w:rsidRPr="009C520D">
              <w:rPr>
                <w:rFonts w:ascii="Times New Roman" w:hAnsi="Times New Roman" w:cs="Times New Roman"/>
                <w:sz w:val="24"/>
                <w:szCs w:val="24"/>
                <w:lang w:val="pt-PT"/>
              </w:rPr>
              <w:t xml:space="preserve"> para sustentar essa </w:t>
            </w:r>
            <w:r w:rsidR="00BD2203" w:rsidRPr="009C520D">
              <w:rPr>
                <w:rFonts w:ascii="Times New Roman" w:hAnsi="Times New Roman" w:cs="Times New Roman"/>
                <w:sz w:val="24"/>
                <w:szCs w:val="24"/>
                <w:lang w:val="pt-PT"/>
              </w:rPr>
              <w:t>hipótese</w:t>
            </w:r>
            <w:r w:rsidRPr="009C520D">
              <w:rPr>
                <w:rFonts w:ascii="Times New Roman" w:hAnsi="Times New Roman" w:cs="Times New Roman"/>
                <w:sz w:val="24"/>
                <w:szCs w:val="24"/>
                <w:lang w:val="pt-PT"/>
              </w:rPr>
              <w:t xml:space="preserve">? Qual é taxa de </w:t>
            </w:r>
            <w:r w:rsidR="00BD2203" w:rsidRPr="009C520D">
              <w:rPr>
                <w:rFonts w:ascii="Times New Roman" w:hAnsi="Times New Roman" w:cs="Times New Roman"/>
                <w:sz w:val="24"/>
                <w:szCs w:val="24"/>
                <w:lang w:val="pt-PT"/>
              </w:rPr>
              <w:t>utilização</w:t>
            </w:r>
            <w:r w:rsidRPr="009C520D">
              <w:rPr>
                <w:rFonts w:ascii="Times New Roman" w:hAnsi="Times New Roman" w:cs="Times New Roman"/>
                <w:sz w:val="24"/>
                <w:szCs w:val="24"/>
                <w:lang w:val="pt-PT"/>
              </w:rPr>
              <w:t xml:space="preserve"> de dados moveis no parque do Smar</w:t>
            </w:r>
            <w:r w:rsidR="00BD2203" w:rsidRPr="009C520D">
              <w:rPr>
                <w:rFonts w:ascii="Times New Roman" w:hAnsi="Times New Roman" w:cs="Times New Roman"/>
                <w:sz w:val="24"/>
                <w:szCs w:val="24"/>
                <w:lang w:val="pt-PT"/>
              </w:rPr>
              <w:t>t</w:t>
            </w:r>
            <w:r w:rsidRPr="009C520D">
              <w:rPr>
                <w:rFonts w:ascii="Times New Roman" w:hAnsi="Times New Roman" w:cs="Times New Roman"/>
                <w:sz w:val="24"/>
                <w:szCs w:val="24"/>
                <w:lang w:val="pt-PT"/>
              </w:rPr>
              <w:t xml:space="preserve">phones ativos na rede? Acho que deve ser o </w:t>
            </w:r>
            <w:r w:rsidR="00BD2203" w:rsidRPr="009C520D">
              <w:rPr>
                <w:rFonts w:ascii="Times New Roman" w:hAnsi="Times New Roman" w:cs="Times New Roman"/>
                <w:sz w:val="24"/>
                <w:szCs w:val="24"/>
                <w:lang w:val="pt-PT"/>
              </w:rPr>
              <w:t>único</w:t>
            </w:r>
            <w:r w:rsidRPr="009C520D">
              <w:rPr>
                <w:rFonts w:ascii="Times New Roman" w:hAnsi="Times New Roman" w:cs="Times New Roman"/>
                <w:sz w:val="24"/>
                <w:szCs w:val="24"/>
                <w:lang w:val="pt-PT"/>
              </w:rPr>
              <w:t xml:space="preserve"> motiv</w:t>
            </w:r>
            <w:r w:rsidR="009E5F3C" w:rsidRPr="009C520D">
              <w:rPr>
                <w:rFonts w:ascii="Times New Roman" w:hAnsi="Times New Roman" w:cs="Times New Roman"/>
                <w:sz w:val="24"/>
                <w:szCs w:val="24"/>
                <w:lang w:val="pt-PT"/>
              </w:rPr>
              <w:t>o</w:t>
            </w:r>
            <w:r w:rsidRPr="009C520D">
              <w:rPr>
                <w:rFonts w:ascii="Times New Roman" w:hAnsi="Times New Roman" w:cs="Times New Roman"/>
                <w:sz w:val="24"/>
                <w:szCs w:val="24"/>
                <w:lang w:val="pt-PT"/>
              </w:rPr>
              <w:t>? Por isso seria melhor dizer um dos fatores…</w:t>
            </w:r>
          </w:p>
        </w:tc>
        <w:tc>
          <w:tcPr>
            <w:tcW w:w="3913" w:type="dxa"/>
          </w:tcPr>
          <w:p w14:paraId="39224995" w14:textId="34D7D2BB" w:rsidR="00626635" w:rsidRPr="009C520D" w:rsidRDefault="001B56EB" w:rsidP="00676185">
            <w:pPr>
              <w:rPr>
                <w:rFonts w:ascii="Times New Roman" w:hAnsi="Times New Roman" w:cs="Times New Roman"/>
                <w:lang w:val="pt-PT"/>
              </w:rPr>
            </w:pPr>
            <w:r w:rsidRPr="009C520D">
              <w:rPr>
                <w:rFonts w:ascii="Times New Roman" w:hAnsi="Times New Roman" w:cs="Times New Roman"/>
                <w:lang w:val="pt-PT"/>
              </w:rPr>
              <w:t>A ARN refere que se trata apenas de uma constatação da fase de desenvolvimento do mercado e que é comum a outros mercados onde a população tem um poder de compra reduzido e as redes 4G ainda se encontram em fase de aumento gradual da sua cobertura.</w:t>
            </w:r>
          </w:p>
        </w:tc>
      </w:tr>
      <w:tr w:rsidR="009C520D" w:rsidRPr="009C520D" w14:paraId="72FD923C" w14:textId="77777777" w:rsidTr="00676185">
        <w:tc>
          <w:tcPr>
            <w:tcW w:w="1555" w:type="dxa"/>
            <w:vAlign w:val="center"/>
          </w:tcPr>
          <w:p w14:paraId="6F5E2136" w14:textId="371AEB03" w:rsidR="00ED4B15" w:rsidRPr="009C520D" w:rsidRDefault="00ED4B15" w:rsidP="00676185">
            <w:pPr>
              <w:rPr>
                <w:rFonts w:ascii="Times New Roman" w:hAnsi="Times New Roman" w:cs="Times New Roman"/>
                <w:lang w:val="pt-PT"/>
              </w:rPr>
            </w:pPr>
            <w:r w:rsidRPr="009C520D">
              <w:rPr>
                <w:rFonts w:ascii="Times New Roman" w:hAnsi="Times New Roman" w:cs="Times New Roman"/>
                <w:lang w:val="pt-PT"/>
              </w:rPr>
              <w:t>Genéricas</w:t>
            </w:r>
          </w:p>
        </w:tc>
        <w:tc>
          <w:tcPr>
            <w:tcW w:w="4569" w:type="dxa"/>
            <w:vAlign w:val="center"/>
          </w:tcPr>
          <w:p w14:paraId="092D10A1" w14:textId="21BD4430" w:rsidR="00ED4B15" w:rsidRPr="009C520D" w:rsidRDefault="00ED4B15" w:rsidP="00676185">
            <w:pPr>
              <w:rPr>
                <w:rFonts w:ascii="Times New Roman" w:hAnsi="Times New Roman" w:cs="Times New Roman"/>
                <w:lang w:val="pt-PT"/>
              </w:rPr>
            </w:pPr>
            <w:r w:rsidRPr="009C520D">
              <w:rPr>
                <w:rFonts w:ascii="Times New Roman" w:hAnsi="Times New Roman" w:cs="Times New Roman"/>
                <w:lang w:val="pt-PT"/>
              </w:rPr>
              <w:t>Na consulta pública refere-se que a capacidade de 256kbps é em geral usada como limite mínimo para fins de definição do serviço como sendo de banda larga móvel.</w:t>
            </w:r>
          </w:p>
        </w:tc>
        <w:tc>
          <w:tcPr>
            <w:tcW w:w="3913" w:type="dxa"/>
          </w:tcPr>
          <w:p w14:paraId="248AE2F2" w14:textId="0565E9ED" w:rsidR="00ED4B15" w:rsidRPr="009C520D" w:rsidRDefault="00ED4B15" w:rsidP="00ED4B15">
            <w:pPr>
              <w:pStyle w:val="Textodecomentrio"/>
              <w:rPr>
                <w:rFonts w:ascii="Times New Roman" w:hAnsi="Times New Roman" w:cs="Times New Roman"/>
                <w:sz w:val="24"/>
                <w:szCs w:val="24"/>
                <w:lang w:val="pt-PT"/>
              </w:rPr>
            </w:pPr>
            <w:r w:rsidRPr="009C520D">
              <w:rPr>
                <w:rFonts w:ascii="Times New Roman" w:hAnsi="Times New Roman" w:cs="Times New Roman"/>
                <w:sz w:val="24"/>
                <w:szCs w:val="24"/>
                <w:lang w:val="pt-PT"/>
              </w:rPr>
              <w:t xml:space="preserve">A Orange questionou se esta </w:t>
            </w:r>
            <w:r w:rsidR="00104A60" w:rsidRPr="009C520D">
              <w:rPr>
                <w:rFonts w:ascii="Times New Roman" w:hAnsi="Times New Roman" w:cs="Times New Roman"/>
                <w:sz w:val="24"/>
                <w:szCs w:val="24"/>
                <w:lang w:val="pt-PT"/>
              </w:rPr>
              <w:t>definição</w:t>
            </w:r>
            <w:r w:rsidRPr="009C520D">
              <w:rPr>
                <w:rFonts w:ascii="Times New Roman" w:hAnsi="Times New Roman" w:cs="Times New Roman"/>
                <w:sz w:val="24"/>
                <w:szCs w:val="24"/>
                <w:lang w:val="pt-PT"/>
              </w:rPr>
              <w:t xml:space="preserve"> é da ARN??</w:t>
            </w:r>
          </w:p>
          <w:p w14:paraId="7F3134D4" w14:textId="644124F8" w:rsidR="00ED4B15" w:rsidRPr="009C520D" w:rsidRDefault="00ED4B15" w:rsidP="00ED4B15">
            <w:pPr>
              <w:pStyle w:val="Textodecomentrio"/>
              <w:rPr>
                <w:rFonts w:ascii="Times New Roman" w:hAnsi="Times New Roman" w:cs="Times New Roman"/>
                <w:sz w:val="24"/>
                <w:szCs w:val="24"/>
                <w:lang w:val="pt-PT"/>
              </w:rPr>
            </w:pPr>
            <w:r w:rsidRPr="009C520D">
              <w:rPr>
                <w:rFonts w:ascii="Times New Roman" w:hAnsi="Times New Roman" w:cs="Times New Roman"/>
                <w:sz w:val="24"/>
                <w:szCs w:val="24"/>
                <w:lang w:val="pt-PT"/>
              </w:rPr>
              <w:t>Referiu também que atualmente as operador</w:t>
            </w:r>
            <w:r w:rsidR="00104A60" w:rsidRPr="009C520D">
              <w:rPr>
                <w:rFonts w:ascii="Times New Roman" w:hAnsi="Times New Roman" w:cs="Times New Roman"/>
                <w:sz w:val="24"/>
                <w:szCs w:val="24"/>
                <w:lang w:val="pt-PT"/>
              </w:rPr>
              <w:t>a</w:t>
            </w:r>
            <w:r w:rsidRPr="009C520D">
              <w:rPr>
                <w:rFonts w:ascii="Times New Roman" w:hAnsi="Times New Roman" w:cs="Times New Roman"/>
                <w:sz w:val="24"/>
                <w:szCs w:val="24"/>
                <w:lang w:val="pt-PT"/>
              </w:rPr>
              <w:t>s Orange (</w:t>
            </w:r>
            <w:r w:rsidR="00104A60" w:rsidRPr="009C520D">
              <w:rPr>
                <w:rFonts w:ascii="Times New Roman" w:hAnsi="Times New Roman" w:cs="Times New Roman"/>
                <w:sz w:val="24"/>
                <w:szCs w:val="24"/>
                <w:lang w:val="pt-PT"/>
              </w:rPr>
              <w:t>e</w:t>
            </w:r>
            <w:r w:rsidRPr="009C520D">
              <w:rPr>
                <w:rFonts w:ascii="Times New Roman" w:hAnsi="Times New Roman" w:cs="Times New Roman"/>
                <w:sz w:val="24"/>
                <w:szCs w:val="24"/>
                <w:lang w:val="pt-PT"/>
              </w:rPr>
              <w:t xml:space="preserve"> </w:t>
            </w:r>
            <w:r w:rsidR="00104A60" w:rsidRPr="009C520D">
              <w:rPr>
                <w:rFonts w:ascii="Times New Roman" w:hAnsi="Times New Roman" w:cs="Times New Roman"/>
                <w:sz w:val="24"/>
                <w:szCs w:val="24"/>
                <w:lang w:val="pt-PT"/>
              </w:rPr>
              <w:t>MTN</w:t>
            </w:r>
            <w:r w:rsidRPr="009C520D">
              <w:rPr>
                <w:rFonts w:ascii="Times New Roman" w:hAnsi="Times New Roman" w:cs="Times New Roman"/>
                <w:sz w:val="24"/>
                <w:szCs w:val="24"/>
                <w:lang w:val="pt-PT"/>
              </w:rPr>
              <w:t xml:space="preserve">?) oferta no </w:t>
            </w:r>
            <w:r w:rsidR="00104A60" w:rsidRPr="009C520D">
              <w:rPr>
                <w:rFonts w:ascii="Times New Roman" w:hAnsi="Times New Roman" w:cs="Times New Roman"/>
                <w:sz w:val="24"/>
                <w:szCs w:val="24"/>
                <w:lang w:val="pt-PT"/>
              </w:rPr>
              <w:t>mínimo</w:t>
            </w:r>
            <w:r w:rsidRPr="009C520D">
              <w:rPr>
                <w:rFonts w:ascii="Times New Roman" w:hAnsi="Times New Roman" w:cs="Times New Roman"/>
                <w:sz w:val="24"/>
                <w:szCs w:val="24"/>
                <w:lang w:val="pt-PT"/>
              </w:rPr>
              <w:t xml:space="preserve"> 2mbps como capacidade de acesso à Internet.</w:t>
            </w:r>
          </w:p>
          <w:p w14:paraId="20E39548" w14:textId="77777777" w:rsidR="00ED4B15" w:rsidRPr="009C520D" w:rsidRDefault="00ED4B15" w:rsidP="00676185">
            <w:pPr>
              <w:pStyle w:val="Textodecomentrio"/>
              <w:rPr>
                <w:rFonts w:ascii="Times New Roman" w:hAnsi="Times New Roman" w:cs="Times New Roman"/>
                <w:sz w:val="24"/>
                <w:szCs w:val="24"/>
                <w:lang w:val="pt-PT"/>
              </w:rPr>
            </w:pPr>
          </w:p>
        </w:tc>
        <w:tc>
          <w:tcPr>
            <w:tcW w:w="3913" w:type="dxa"/>
          </w:tcPr>
          <w:p w14:paraId="55E2A5C0" w14:textId="62B7A6A6" w:rsidR="00ED4B15" w:rsidRPr="009C520D" w:rsidRDefault="00ED4B15" w:rsidP="00676185">
            <w:pPr>
              <w:rPr>
                <w:rFonts w:ascii="Times New Roman" w:hAnsi="Times New Roman" w:cs="Times New Roman"/>
                <w:lang w:val="pt-PT"/>
              </w:rPr>
            </w:pPr>
            <w:r w:rsidRPr="009C520D">
              <w:rPr>
                <w:rFonts w:ascii="Times New Roman" w:hAnsi="Times New Roman" w:cs="Times New Roman"/>
                <w:lang w:val="pt-PT"/>
              </w:rPr>
              <w:t xml:space="preserve">A ARN refere que não se trata de uma </w:t>
            </w:r>
            <w:r w:rsidR="007A1F13" w:rsidRPr="009C520D">
              <w:rPr>
                <w:rFonts w:ascii="Times New Roman" w:hAnsi="Times New Roman" w:cs="Times New Roman"/>
                <w:lang w:val="pt-PT"/>
              </w:rPr>
              <w:t>definição,</w:t>
            </w:r>
            <w:r w:rsidRPr="009C520D">
              <w:rPr>
                <w:rFonts w:ascii="Times New Roman" w:hAnsi="Times New Roman" w:cs="Times New Roman"/>
                <w:lang w:val="pt-PT"/>
              </w:rPr>
              <w:t xml:space="preserve"> mas apenas de uma constatação comum em muitos mercados</w:t>
            </w:r>
            <w:r w:rsidR="00104A60" w:rsidRPr="009C520D">
              <w:rPr>
                <w:rFonts w:ascii="Times New Roman" w:hAnsi="Times New Roman" w:cs="Times New Roman"/>
                <w:lang w:val="pt-PT"/>
              </w:rPr>
              <w:t xml:space="preserve"> face ao desempenho que permite este débito</w:t>
            </w:r>
            <w:r w:rsidR="00CA4FFB" w:rsidRPr="009C520D">
              <w:rPr>
                <w:rFonts w:ascii="Times New Roman" w:hAnsi="Times New Roman" w:cs="Times New Roman"/>
                <w:lang w:val="pt-PT"/>
              </w:rPr>
              <w:t>,</w:t>
            </w:r>
            <w:r w:rsidRPr="009C520D">
              <w:rPr>
                <w:rFonts w:ascii="Times New Roman" w:hAnsi="Times New Roman" w:cs="Times New Roman"/>
                <w:lang w:val="pt-PT"/>
              </w:rPr>
              <w:t xml:space="preserve"> mas que com o evoluir do desenvolvimento do mercado em termos de tecnologias disponíveis </w:t>
            </w:r>
            <w:r w:rsidR="00492B29" w:rsidRPr="009C520D">
              <w:rPr>
                <w:rFonts w:ascii="Times New Roman" w:hAnsi="Times New Roman" w:cs="Times New Roman"/>
                <w:lang w:val="pt-PT"/>
              </w:rPr>
              <w:t>é natural que aumente embora possam coexistir diferentes valores em áreas geográficas distintas</w:t>
            </w:r>
            <w:r w:rsidR="00104A60" w:rsidRPr="009C520D">
              <w:rPr>
                <w:rFonts w:ascii="Times New Roman" w:hAnsi="Times New Roman" w:cs="Times New Roman"/>
                <w:lang w:val="pt-PT"/>
              </w:rPr>
              <w:t xml:space="preserve"> mesmo dentro do mesmo país</w:t>
            </w:r>
            <w:r w:rsidR="00492B29" w:rsidRPr="009C520D">
              <w:rPr>
                <w:rFonts w:ascii="Times New Roman" w:hAnsi="Times New Roman" w:cs="Times New Roman"/>
                <w:lang w:val="pt-PT"/>
              </w:rPr>
              <w:t>.</w:t>
            </w:r>
          </w:p>
        </w:tc>
      </w:tr>
      <w:tr w:rsidR="009C520D" w:rsidRPr="009C520D" w14:paraId="4815BA50" w14:textId="77777777" w:rsidTr="00676185">
        <w:tc>
          <w:tcPr>
            <w:tcW w:w="1555" w:type="dxa"/>
            <w:vAlign w:val="center"/>
          </w:tcPr>
          <w:p w14:paraId="5C1E9944" w14:textId="66E63486" w:rsidR="007A1F13" w:rsidRPr="009C520D" w:rsidRDefault="007A1F13" w:rsidP="00676185">
            <w:pPr>
              <w:rPr>
                <w:rFonts w:ascii="Times New Roman" w:hAnsi="Times New Roman" w:cs="Times New Roman"/>
                <w:lang w:val="pt-PT"/>
              </w:rPr>
            </w:pPr>
            <w:r w:rsidRPr="009C520D">
              <w:rPr>
                <w:rFonts w:ascii="Times New Roman" w:hAnsi="Times New Roman" w:cs="Times New Roman"/>
                <w:lang w:val="pt-PT"/>
              </w:rPr>
              <w:lastRenderedPageBreak/>
              <w:t>Genéricas</w:t>
            </w:r>
          </w:p>
        </w:tc>
        <w:tc>
          <w:tcPr>
            <w:tcW w:w="4569" w:type="dxa"/>
            <w:vAlign w:val="center"/>
          </w:tcPr>
          <w:p w14:paraId="1CEAA2D7" w14:textId="09FF2C5D" w:rsidR="007A1F13" w:rsidRPr="009C520D" w:rsidRDefault="007A1F13" w:rsidP="00676185">
            <w:pPr>
              <w:rPr>
                <w:rFonts w:ascii="Times New Roman" w:hAnsi="Times New Roman" w:cs="Times New Roman"/>
                <w:lang w:val="pt-PT"/>
              </w:rPr>
            </w:pPr>
            <w:r w:rsidRPr="009C520D">
              <w:rPr>
                <w:rFonts w:ascii="Times New Roman" w:hAnsi="Times New Roman" w:cs="Times New Roman"/>
                <w:lang w:val="pt-PT"/>
              </w:rPr>
              <w:t xml:space="preserve">Na consulta pública, com base na informação disponível no website, refere-se uma taxa de instalação da </w:t>
            </w:r>
            <w:proofErr w:type="spellStart"/>
            <w:r w:rsidRPr="009C520D">
              <w:rPr>
                <w:rFonts w:ascii="Times New Roman" w:hAnsi="Times New Roman" w:cs="Times New Roman"/>
                <w:lang w:val="pt-PT"/>
              </w:rPr>
              <w:t>Flybox</w:t>
            </w:r>
            <w:proofErr w:type="spellEnd"/>
            <w:r w:rsidRPr="009C520D">
              <w:rPr>
                <w:rFonts w:ascii="Times New Roman" w:hAnsi="Times New Roman" w:cs="Times New Roman"/>
                <w:lang w:val="pt-PT"/>
              </w:rPr>
              <w:t>.</w:t>
            </w:r>
          </w:p>
        </w:tc>
        <w:tc>
          <w:tcPr>
            <w:tcW w:w="3913" w:type="dxa"/>
          </w:tcPr>
          <w:p w14:paraId="25B390AD" w14:textId="4EE3D54C" w:rsidR="007A1F13" w:rsidRPr="009C520D" w:rsidRDefault="007A1F13" w:rsidP="007A1F13">
            <w:pPr>
              <w:pStyle w:val="Textodecomentrio"/>
              <w:rPr>
                <w:rStyle w:val="Refdecomentrio"/>
                <w:rFonts w:ascii="Times New Roman" w:hAnsi="Times New Roman"/>
                <w:sz w:val="24"/>
                <w:szCs w:val="24"/>
                <w:lang w:val="pt-PT"/>
              </w:rPr>
            </w:pPr>
            <w:r w:rsidRPr="009C520D">
              <w:rPr>
                <w:rStyle w:val="Refdecomentrio"/>
                <w:rFonts w:ascii="Times New Roman" w:hAnsi="Times New Roman"/>
                <w:sz w:val="24"/>
                <w:szCs w:val="24"/>
                <w:lang w:val="pt-PT"/>
              </w:rPr>
              <w:t xml:space="preserve">A Orange esclareceu que não existe taxa de </w:t>
            </w:r>
            <w:r w:rsidR="00BD2203" w:rsidRPr="009C520D">
              <w:rPr>
                <w:rStyle w:val="Refdecomentrio"/>
                <w:rFonts w:ascii="Times New Roman" w:hAnsi="Times New Roman"/>
                <w:sz w:val="24"/>
                <w:szCs w:val="24"/>
                <w:lang w:val="pt-PT"/>
              </w:rPr>
              <w:t>instalação</w:t>
            </w:r>
            <w:r w:rsidRPr="009C520D">
              <w:rPr>
                <w:rStyle w:val="Refdecomentrio"/>
                <w:rFonts w:ascii="Times New Roman" w:hAnsi="Times New Roman"/>
                <w:sz w:val="24"/>
                <w:szCs w:val="24"/>
                <w:lang w:val="pt-PT"/>
              </w:rPr>
              <w:t xml:space="preserve"> de </w:t>
            </w:r>
            <w:proofErr w:type="spellStart"/>
            <w:r w:rsidRPr="009C520D">
              <w:rPr>
                <w:rStyle w:val="Refdecomentrio"/>
                <w:rFonts w:ascii="Times New Roman" w:hAnsi="Times New Roman"/>
                <w:sz w:val="24"/>
                <w:szCs w:val="24"/>
                <w:lang w:val="pt-PT"/>
              </w:rPr>
              <w:t>Flybox</w:t>
            </w:r>
            <w:proofErr w:type="spellEnd"/>
            <w:r w:rsidRPr="009C520D">
              <w:rPr>
                <w:rStyle w:val="Refdecomentrio"/>
                <w:rFonts w:ascii="Times New Roman" w:hAnsi="Times New Roman"/>
                <w:sz w:val="24"/>
                <w:szCs w:val="24"/>
                <w:lang w:val="pt-PT"/>
              </w:rPr>
              <w:t xml:space="preserve">: </w:t>
            </w:r>
            <w:r w:rsidR="003226B3" w:rsidRPr="009C520D">
              <w:rPr>
                <w:rStyle w:val="Refdecomentrio"/>
                <w:rFonts w:ascii="Times New Roman" w:hAnsi="Times New Roman"/>
                <w:sz w:val="24"/>
                <w:szCs w:val="24"/>
                <w:lang w:val="pt-PT"/>
              </w:rPr>
              <w:t>não</w:t>
            </w:r>
            <w:r w:rsidRPr="009C520D">
              <w:rPr>
                <w:rStyle w:val="Refdecomentrio"/>
                <w:rFonts w:ascii="Times New Roman" w:hAnsi="Times New Roman"/>
                <w:sz w:val="24"/>
                <w:szCs w:val="24"/>
                <w:lang w:val="pt-PT"/>
              </w:rPr>
              <w:t xml:space="preserve"> se instala!!!</w:t>
            </w:r>
          </w:p>
          <w:p w14:paraId="7075E37A" w14:textId="30EAFC6E" w:rsidR="007A1F13" w:rsidRPr="009C520D" w:rsidRDefault="007A1F13" w:rsidP="007A1F13">
            <w:pPr>
              <w:pStyle w:val="Textodecomentrio"/>
              <w:rPr>
                <w:rStyle w:val="Refdecomentrio"/>
                <w:rFonts w:ascii="Times New Roman" w:hAnsi="Times New Roman"/>
                <w:lang w:val="pt-PT"/>
              </w:rPr>
            </w:pPr>
            <w:r w:rsidRPr="009C520D">
              <w:rPr>
                <w:rStyle w:val="Refdecomentrio"/>
                <w:rFonts w:ascii="Times New Roman" w:hAnsi="Times New Roman"/>
                <w:sz w:val="24"/>
                <w:szCs w:val="24"/>
                <w:lang w:val="pt-PT"/>
              </w:rPr>
              <w:t xml:space="preserve">Vende-se Box ao cliente para livremente proceder a compra de pacotes a sua conveniência, bem como existe a </w:t>
            </w:r>
            <w:r w:rsidR="00104A60" w:rsidRPr="009C520D">
              <w:rPr>
                <w:rStyle w:val="Refdecomentrio"/>
                <w:rFonts w:ascii="Times New Roman" w:hAnsi="Times New Roman"/>
                <w:sz w:val="24"/>
                <w:szCs w:val="24"/>
                <w:lang w:val="pt-PT"/>
              </w:rPr>
              <w:t>fórmula</w:t>
            </w:r>
            <w:r w:rsidRPr="009C520D">
              <w:rPr>
                <w:rStyle w:val="Refdecomentrio"/>
                <w:rFonts w:ascii="Times New Roman" w:hAnsi="Times New Roman"/>
                <w:sz w:val="24"/>
                <w:szCs w:val="24"/>
                <w:lang w:val="pt-PT"/>
              </w:rPr>
              <w:t xml:space="preserve"> de </w:t>
            </w:r>
            <w:r w:rsidR="00BD2203" w:rsidRPr="009C520D">
              <w:rPr>
                <w:rStyle w:val="Refdecomentrio"/>
                <w:rFonts w:ascii="Times New Roman" w:hAnsi="Times New Roman"/>
                <w:sz w:val="24"/>
                <w:szCs w:val="24"/>
                <w:lang w:val="pt-PT"/>
              </w:rPr>
              <w:t>conexão</w:t>
            </w:r>
            <w:r w:rsidRPr="009C520D">
              <w:rPr>
                <w:rStyle w:val="Refdecomentrio"/>
                <w:rFonts w:ascii="Times New Roman" w:hAnsi="Times New Roman"/>
                <w:sz w:val="24"/>
                <w:szCs w:val="24"/>
                <w:lang w:val="pt-PT"/>
              </w:rPr>
              <w:t xml:space="preserve"> mensal. Descritas no quadro.</w:t>
            </w:r>
          </w:p>
        </w:tc>
        <w:tc>
          <w:tcPr>
            <w:tcW w:w="3913" w:type="dxa"/>
          </w:tcPr>
          <w:p w14:paraId="75A4A332" w14:textId="598D4D64" w:rsidR="007A1F13" w:rsidRPr="009C520D" w:rsidRDefault="007A1F13" w:rsidP="00676185">
            <w:pPr>
              <w:rPr>
                <w:rFonts w:ascii="Times New Roman" w:hAnsi="Times New Roman" w:cs="Times New Roman"/>
                <w:lang w:val="pt-PT"/>
              </w:rPr>
            </w:pPr>
            <w:r w:rsidRPr="009C520D">
              <w:rPr>
                <w:rFonts w:ascii="Times New Roman" w:hAnsi="Times New Roman" w:cs="Times New Roman"/>
                <w:lang w:val="pt-PT"/>
              </w:rPr>
              <w:t>A ARN agradece o esclarecimento e correção apresentados.</w:t>
            </w:r>
          </w:p>
        </w:tc>
      </w:tr>
      <w:tr w:rsidR="009C520D" w:rsidRPr="009C520D" w14:paraId="18F0F743" w14:textId="77777777" w:rsidTr="00676185">
        <w:tc>
          <w:tcPr>
            <w:tcW w:w="1555" w:type="dxa"/>
            <w:vAlign w:val="center"/>
          </w:tcPr>
          <w:p w14:paraId="2B3F7A4A" w14:textId="148D31E6" w:rsidR="007A1F13" w:rsidRPr="009C520D" w:rsidRDefault="007A1F13" w:rsidP="00676185">
            <w:pPr>
              <w:rPr>
                <w:rFonts w:ascii="Times New Roman" w:hAnsi="Times New Roman" w:cs="Times New Roman"/>
                <w:lang w:val="pt-PT"/>
              </w:rPr>
            </w:pPr>
            <w:r w:rsidRPr="009C520D">
              <w:rPr>
                <w:rFonts w:ascii="Times New Roman" w:hAnsi="Times New Roman" w:cs="Times New Roman"/>
                <w:lang w:val="pt-PT"/>
              </w:rPr>
              <w:t>Genéricas</w:t>
            </w:r>
          </w:p>
        </w:tc>
        <w:tc>
          <w:tcPr>
            <w:tcW w:w="4569" w:type="dxa"/>
            <w:vAlign w:val="center"/>
          </w:tcPr>
          <w:p w14:paraId="3D433922" w14:textId="7A6928B2" w:rsidR="007A1F13" w:rsidRPr="009C520D" w:rsidRDefault="007A1F13" w:rsidP="00676185">
            <w:pPr>
              <w:rPr>
                <w:rFonts w:ascii="Times New Roman" w:hAnsi="Times New Roman" w:cs="Times New Roman"/>
                <w:lang w:val="pt-PT"/>
              </w:rPr>
            </w:pPr>
            <w:r w:rsidRPr="009C520D">
              <w:rPr>
                <w:rFonts w:ascii="Times New Roman" w:hAnsi="Times New Roman" w:cs="Times New Roman"/>
                <w:lang w:val="pt-PT"/>
              </w:rPr>
              <w:t>A consulta pública não refere ofertas de fibra ótica por parte da MTN</w:t>
            </w:r>
          </w:p>
        </w:tc>
        <w:tc>
          <w:tcPr>
            <w:tcW w:w="3913" w:type="dxa"/>
          </w:tcPr>
          <w:p w14:paraId="56F3956E" w14:textId="58573F82" w:rsidR="007A1F13" w:rsidRPr="009C520D" w:rsidRDefault="007A1F13" w:rsidP="007A1F13">
            <w:pPr>
              <w:pStyle w:val="Textodecomentrio"/>
              <w:rPr>
                <w:rStyle w:val="Refdecomentrio"/>
                <w:rFonts w:ascii="Times New Roman" w:hAnsi="Times New Roman"/>
                <w:sz w:val="24"/>
                <w:szCs w:val="24"/>
                <w:lang w:val="pt-PT"/>
              </w:rPr>
            </w:pPr>
            <w:r w:rsidRPr="009C520D">
              <w:rPr>
                <w:rStyle w:val="Refdecomentrio"/>
                <w:rFonts w:ascii="Times New Roman" w:hAnsi="Times New Roman"/>
                <w:sz w:val="24"/>
                <w:szCs w:val="24"/>
                <w:lang w:val="pt-PT"/>
              </w:rPr>
              <w:t xml:space="preserve">A Orange questionou se </w:t>
            </w:r>
            <w:r w:rsidR="002B3130" w:rsidRPr="009C520D">
              <w:rPr>
                <w:rStyle w:val="Refdecomentrio"/>
                <w:rFonts w:ascii="Times New Roman" w:hAnsi="Times New Roman"/>
                <w:sz w:val="24"/>
                <w:szCs w:val="24"/>
                <w:lang w:val="pt-PT"/>
              </w:rPr>
              <w:t xml:space="preserve">esta omissão é </w:t>
            </w:r>
            <w:r w:rsidRPr="009C520D">
              <w:rPr>
                <w:rStyle w:val="Refdecomentrio"/>
                <w:rFonts w:ascii="Times New Roman" w:hAnsi="Times New Roman"/>
                <w:sz w:val="24"/>
                <w:szCs w:val="24"/>
                <w:lang w:val="pt-PT"/>
              </w:rPr>
              <w:t>por falta de informação</w:t>
            </w:r>
          </w:p>
        </w:tc>
        <w:tc>
          <w:tcPr>
            <w:tcW w:w="3913" w:type="dxa"/>
          </w:tcPr>
          <w:p w14:paraId="59B8931F" w14:textId="483F68FE" w:rsidR="007A1F13" w:rsidRPr="009C520D" w:rsidRDefault="002B3130" w:rsidP="00676185">
            <w:pPr>
              <w:rPr>
                <w:rFonts w:ascii="Times New Roman" w:hAnsi="Times New Roman" w:cs="Times New Roman"/>
                <w:lang w:val="pt-PT"/>
              </w:rPr>
            </w:pPr>
            <w:r w:rsidRPr="009C520D">
              <w:rPr>
                <w:rFonts w:ascii="Times New Roman" w:hAnsi="Times New Roman" w:cs="Times New Roman"/>
                <w:lang w:val="pt-PT"/>
              </w:rPr>
              <w:t>A ARN confirma que à data não possuía informação sobre ofertas da MTN.</w:t>
            </w:r>
          </w:p>
        </w:tc>
      </w:tr>
      <w:tr w:rsidR="009C520D" w:rsidRPr="009C520D" w14:paraId="56653A69" w14:textId="77777777" w:rsidTr="00CF3F5C">
        <w:tc>
          <w:tcPr>
            <w:tcW w:w="1555" w:type="dxa"/>
            <w:vAlign w:val="center"/>
          </w:tcPr>
          <w:p w14:paraId="0970F293" w14:textId="42FF373B" w:rsidR="00E75B9C" w:rsidRPr="009C520D" w:rsidRDefault="00865D8C" w:rsidP="00676185">
            <w:pPr>
              <w:rPr>
                <w:rFonts w:ascii="Times New Roman" w:hAnsi="Times New Roman" w:cs="Times New Roman"/>
                <w:lang w:val="pt-PT"/>
              </w:rPr>
            </w:pPr>
            <w:r w:rsidRPr="009C520D">
              <w:rPr>
                <w:lang w:val="pt-PT"/>
              </w:rPr>
              <w:br w:type="page"/>
            </w:r>
            <w:r w:rsidR="00E75B9C" w:rsidRPr="009C520D">
              <w:rPr>
                <w:rFonts w:ascii="Times New Roman" w:hAnsi="Times New Roman" w:cs="Times New Roman"/>
                <w:lang w:val="pt-PT"/>
              </w:rPr>
              <w:t>Questão 1</w:t>
            </w:r>
          </w:p>
        </w:tc>
        <w:tc>
          <w:tcPr>
            <w:tcW w:w="4569" w:type="dxa"/>
            <w:vAlign w:val="center"/>
          </w:tcPr>
          <w:p w14:paraId="4D169871" w14:textId="59F0F9C5" w:rsidR="00E75B9C" w:rsidRPr="009C520D" w:rsidRDefault="00F03150" w:rsidP="00676185">
            <w:pPr>
              <w:rPr>
                <w:rFonts w:ascii="Times New Roman" w:hAnsi="Times New Roman" w:cs="Times New Roman"/>
                <w:lang w:val="pt-PT"/>
              </w:rPr>
            </w:pPr>
            <w:r w:rsidRPr="009C520D">
              <w:rPr>
                <w:rFonts w:ascii="Times New Roman" w:hAnsi="Times New Roman" w:cs="Times New Roman"/>
                <w:lang w:val="pt-PT"/>
              </w:rPr>
              <w:t>Por favor, comente sobre a metodologia e estrutura conceptual proposta para identificar os mercados existentes, o âmbito e a relevância de cada mercado, os produtos focais, substitutos atuais e potenciais e seus limites propostos.</w:t>
            </w:r>
          </w:p>
        </w:tc>
        <w:tc>
          <w:tcPr>
            <w:tcW w:w="3913" w:type="dxa"/>
            <w:vAlign w:val="center"/>
          </w:tcPr>
          <w:p w14:paraId="76E2F2E0" w14:textId="2E32BB45" w:rsidR="009E5F3C" w:rsidRPr="009C520D" w:rsidRDefault="00F476E2" w:rsidP="00CF3F5C">
            <w:pPr>
              <w:pStyle w:val="Textodecomentrio"/>
              <w:rPr>
                <w:rStyle w:val="Refdecomentrio"/>
                <w:rFonts w:ascii="Times New Roman" w:hAnsi="Times New Roman"/>
                <w:noProof/>
                <w:sz w:val="24"/>
                <w:szCs w:val="24"/>
                <w:lang w:val="pt-PT"/>
              </w:rPr>
            </w:pPr>
            <w:r w:rsidRPr="009C520D">
              <w:rPr>
                <w:rStyle w:val="Refdecomentrio"/>
                <w:rFonts w:ascii="Times New Roman" w:eastAsiaTheme="minorHAnsi" w:hAnsi="Times New Roman"/>
                <w:sz w:val="24"/>
                <w:szCs w:val="24"/>
                <w:lang w:val="pt-PT" w:eastAsia="en-US"/>
              </w:rPr>
              <w:t>Não houve comentários a esta questão</w:t>
            </w:r>
          </w:p>
        </w:tc>
        <w:tc>
          <w:tcPr>
            <w:tcW w:w="3913" w:type="dxa"/>
          </w:tcPr>
          <w:p w14:paraId="7B8C74AE" w14:textId="77777777" w:rsidR="00E75B9C" w:rsidRPr="009C520D" w:rsidRDefault="00E75B9C" w:rsidP="00676185">
            <w:pPr>
              <w:rPr>
                <w:rFonts w:ascii="Times New Roman" w:hAnsi="Times New Roman" w:cs="Times New Roman"/>
                <w:lang w:val="pt-PT"/>
              </w:rPr>
            </w:pPr>
          </w:p>
        </w:tc>
      </w:tr>
      <w:tr w:rsidR="009C520D" w:rsidRPr="009C520D" w14:paraId="32466827" w14:textId="4E36AE16" w:rsidTr="00CF3F5C">
        <w:tc>
          <w:tcPr>
            <w:tcW w:w="1555" w:type="dxa"/>
            <w:vAlign w:val="center"/>
          </w:tcPr>
          <w:p w14:paraId="370F761E" w14:textId="77777777"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t>Questão 2</w:t>
            </w:r>
          </w:p>
        </w:tc>
        <w:tc>
          <w:tcPr>
            <w:tcW w:w="4569" w:type="dxa"/>
            <w:vAlign w:val="center"/>
          </w:tcPr>
          <w:p w14:paraId="6733335D" w14:textId="77777777"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t xml:space="preserve">Por favor, indique em relação a cada mercado relevante, se você concorda com as conclusões propostas na Análise de Mercados. Concorda que estes são os mais relevantes ou apropriados ou deve a ARN considerar soluções alternativas? Forneça detalhes que apoiem as ​​suas respostas. </w:t>
            </w:r>
          </w:p>
        </w:tc>
        <w:tc>
          <w:tcPr>
            <w:tcW w:w="3913" w:type="dxa"/>
            <w:vAlign w:val="center"/>
          </w:tcPr>
          <w:p w14:paraId="22C16A12" w14:textId="436F58AD" w:rsidR="00F476E2" w:rsidRPr="009C520D" w:rsidRDefault="00F476E2" w:rsidP="00CF3F5C">
            <w:pPr>
              <w:rPr>
                <w:rFonts w:ascii="Times New Roman" w:hAnsi="Times New Roman" w:cs="Times New Roman"/>
                <w:lang w:val="pt-PT"/>
              </w:rPr>
            </w:pPr>
            <w:r w:rsidRPr="009C520D">
              <w:rPr>
                <w:rStyle w:val="Refdecomentrio"/>
                <w:rFonts w:ascii="Times New Roman" w:hAnsi="Times New Roman"/>
                <w:sz w:val="24"/>
                <w:szCs w:val="24"/>
                <w:lang w:val="pt-PT"/>
              </w:rPr>
              <w:t>Não houve comentários a esta questão</w:t>
            </w:r>
          </w:p>
        </w:tc>
        <w:tc>
          <w:tcPr>
            <w:tcW w:w="3913" w:type="dxa"/>
          </w:tcPr>
          <w:p w14:paraId="710EF37A" w14:textId="77777777" w:rsidR="00676185" w:rsidRPr="009C520D" w:rsidRDefault="00676185" w:rsidP="00676185">
            <w:pPr>
              <w:rPr>
                <w:rFonts w:ascii="Times New Roman" w:hAnsi="Times New Roman" w:cs="Times New Roman"/>
                <w:lang w:val="pt-PT"/>
              </w:rPr>
            </w:pPr>
          </w:p>
        </w:tc>
      </w:tr>
      <w:tr w:rsidR="009C520D" w:rsidRPr="009C520D" w14:paraId="40042E65" w14:textId="659F7F56" w:rsidTr="00676185">
        <w:tc>
          <w:tcPr>
            <w:tcW w:w="1555" w:type="dxa"/>
            <w:vAlign w:val="center"/>
          </w:tcPr>
          <w:p w14:paraId="52167330" w14:textId="157A9D8D"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t>Questão 3</w:t>
            </w:r>
            <w:r w:rsidR="003226B3" w:rsidRPr="009C520D">
              <w:rPr>
                <w:rFonts w:ascii="Times New Roman" w:hAnsi="Times New Roman" w:cs="Times New Roman"/>
                <w:lang w:val="pt-PT"/>
              </w:rPr>
              <w:t>:</w:t>
            </w:r>
          </w:p>
        </w:tc>
        <w:tc>
          <w:tcPr>
            <w:tcW w:w="4569" w:type="dxa"/>
            <w:vAlign w:val="center"/>
          </w:tcPr>
          <w:p w14:paraId="424DDC2B" w14:textId="77777777"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t xml:space="preserve">Por favor comente, relativamente a cada mercado identificado, as informações apresentadas para apoiar a determinação de dominância nomeadamente as situações em que se identificam operadores com Poder Significativo de Mercado (PSM) em determinados mercados. conforme descritas no capítulo 7. </w:t>
            </w:r>
          </w:p>
        </w:tc>
        <w:tc>
          <w:tcPr>
            <w:tcW w:w="3913" w:type="dxa"/>
          </w:tcPr>
          <w:p w14:paraId="05A1F7B1" w14:textId="7BB7A341" w:rsidR="00676185" w:rsidRPr="009C520D" w:rsidRDefault="00F252D0" w:rsidP="00F252D0">
            <w:pPr>
              <w:rPr>
                <w:rFonts w:ascii="Times New Roman" w:hAnsi="Times New Roman" w:cs="Times New Roman"/>
                <w:lang w:val="pt-PT"/>
              </w:rPr>
            </w:pPr>
            <w:r w:rsidRPr="009C520D">
              <w:rPr>
                <w:rFonts w:ascii="Times New Roman" w:hAnsi="Times New Roman" w:cs="Times New Roman"/>
                <w:lang w:val="pt-PT"/>
              </w:rPr>
              <w:t xml:space="preserve">Relativamente ao mercado de serviços móveis de voz e mensagens de texto internacional em que a Orange foi identificada como possuindo PSM refere esta última que não foram apresentadas as estatísticas que sustentam essa </w:t>
            </w:r>
            <w:r w:rsidR="00BD2203" w:rsidRPr="009C520D">
              <w:rPr>
                <w:rFonts w:ascii="Times New Roman" w:hAnsi="Times New Roman" w:cs="Times New Roman"/>
                <w:lang w:val="pt-PT"/>
              </w:rPr>
              <w:t>definição</w:t>
            </w:r>
            <w:r w:rsidRPr="009C520D">
              <w:rPr>
                <w:rFonts w:ascii="Times New Roman" w:hAnsi="Times New Roman" w:cs="Times New Roman"/>
                <w:lang w:val="pt-PT"/>
              </w:rPr>
              <w:t>/</w:t>
            </w:r>
            <w:r w:rsidR="00BD2203" w:rsidRPr="009C520D">
              <w:rPr>
                <w:rFonts w:ascii="Times New Roman" w:hAnsi="Times New Roman" w:cs="Times New Roman"/>
                <w:lang w:val="pt-PT"/>
              </w:rPr>
              <w:t>constatação</w:t>
            </w:r>
            <w:r w:rsidRPr="009C520D">
              <w:rPr>
                <w:rFonts w:ascii="Times New Roman" w:hAnsi="Times New Roman" w:cs="Times New Roman"/>
                <w:lang w:val="pt-PT"/>
              </w:rPr>
              <w:t>.</w:t>
            </w:r>
          </w:p>
          <w:p w14:paraId="12CDEED2" w14:textId="77777777" w:rsidR="00F47482" w:rsidRPr="009C520D" w:rsidRDefault="00F47482" w:rsidP="00F252D0">
            <w:pPr>
              <w:rPr>
                <w:rFonts w:ascii="Times New Roman" w:hAnsi="Times New Roman" w:cs="Times New Roman"/>
                <w:lang w:val="pt-PT"/>
              </w:rPr>
            </w:pPr>
          </w:p>
          <w:p w14:paraId="79AD4120" w14:textId="288872E4" w:rsidR="00F47482" w:rsidRPr="009C520D" w:rsidRDefault="00F47482" w:rsidP="00F47482">
            <w:pPr>
              <w:rPr>
                <w:rFonts w:ascii="Times New Roman" w:hAnsi="Times New Roman" w:cs="Times New Roman"/>
                <w:lang w:val="pt-PT"/>
              </w:rPr>
            </w:pPr>
            <w:r w:rsidRPr="009C520D">
              <w:rPr>
                <w:rFonts w:ascii="Times New Roman" w:hAnsi="Times New Roman" w:cs="Times New Roman"/>
                <w:lang w:val="pt-PT"/>
              </w:rPr>
              <w:lastRenderedPageBreak/>
              <w:t xml:space="preserve">Adicionalmente a Orange referiu que esses dados </w:t>
            </w:r>
            <w:r w:rsidR="00BD2203" w:rsidRPr="009C520D">
              <w:rPr>
                <w:rFonts w:ascii="Times New Roman" w:hAnsi="Times New Roman" w:cs="Times New Roman"/>
                <w:lang w:val="pt-PT"/>
              </w:rPr>
              <w:t>estatísticos</w:t>
            </w:r>
            <w:r w:rsidRPr="009C520D">
              <w:rPr>
                <w:rFonts w:ascii="Times New Roman" w:hAnsi="Times New Roman" w:cs="Times New Roman"/>
                <w:lang w:val="pt-PT"/>
              </w:rPr>
              <w:t xml:space="preserve"> </w:t>
            </w:r>
            <w:r w:rsidR="00BD2203" w:rsidRPr="009C520D">
              <w:rPr>
                <w:rFonts w:ascii="Times New Roman" w:hAnsi="Times New Roman" w:cs="Times New Roman"/>
                <w:lang w:val="pt-PT"/>
              </w:rPr>
              <w:t>não</w:t>
            </w:r>
            <w:r w:rsidRPr="009C520D">
              <w:rPr>
                <w:rFonts w:ascii="Times New Roman" w:hAnsi="Times New Roman" w:cs="Times New Roman"/>
                <w:lang w:val="pt-PT"/>
              </w:rPr>
              <w:t xml:space="preserve"> </w:t>
            </w:r>
            <w:r w:rsidR="00BD2203" w:rsidRPr="009C520D">
              <w:rPr>
                <w:rFonts w:ascii="Times New Roman" w:hAnsi="Times New Roman" w:cs="Times New Roman"/>
                <w:lang w:val="pt-PT"/>
              </w:rPr>
              <w:t>são</w:t>
            </w:r>
            <w:r w:rsidRPr="009C520D">
              <w:rPr>
                <w:rFonts w:ascii="Times New Roman" w:hAnsi="Times New Roman" w:cs="Times New Roman"/>
                <w:lang w:val="pt-PT"/>
              </w:rPr>
              <w:t xml:space="preserve"> publicados por ARN. Os operadores </w:t>
            </w:r>
            <w:r w:rsidR="00BD2203" w:rsidRPr="009C520D">
              <w:rPr>
                <w:rFonts w:ascii="Times New Roman" w:hAnsi="Times New Roman" w:cs="Times New Roman"/>
                <w:lang w:val="pt-PT"/>
              </w:rPr>
              <w:t>não</w:t>
            </w:r>
            <w:r w:rsidRPr="009C520D">
              <w:rPr>
                <w:rFonts w:ascii="Times New Roman" w:hAnsi="Times New Roman" w:cs="Times New Roman"/>
                <w:lang w:val="pt-PT"/>
              </w:rPr>
              <w:t xml:space="preserve"> têm </w:t>
            </w:r>
            <w:r w:rsidR="00BD2203" w:rsidRPr="009C520D">
              <w:rPr>
                <w:rFonts w:ascii="Times New Roman" w:hAnsi="Times New Roman" w:cs="Times New Roman"/>
                <w:lang w:val="pt-PT"/>
              </w:rPr>
              <w:t>noção</w:t>
            </w:r>
            <w:r w:rsidRPr="009C520D">
              <w:rPr>
                <w:rFonts w:ascii="Times New Roman" w:hAnsi="Times New Roman" w:cs="Times New Roman"/>
                <w:lang w:val="pt-PT"/>
              </w:rPr>
              <w:t xml:space="preserve"> de diferença de quotas de Mercado, e </w:t>
            </w:r>
            <w:r w:rsidR="00BD2203" w:rsidRPr="009C520D">
              <w:rPr>
                <w:rFonts w:ascii="Times New Roman" w:hAnsi="Times New Roman" w:cs="Times New Roman"/>
                <w:lang w:val="pt-PT"/>
              </w:rPr>
              <w:t>não</w:t>
            </w:r>
            <w:r w:rsidRPr="009C520D">
              <w:rPr>
                <w:rFonts w:ascii="Times New Roman" w:hAnsi="Times New Roman" w:cs="Times New Roman"/>
                <w:lang w:val="pt-PT"/>
              </w:rPr>
              <w:t xml:space="preserve"> tendo ferramenta para estimar a quota.</w:t>
            </w:r>
          </w:p>
          <w:p w14:paraId="06A85473" w14:textId="77777777" w:rsidR="00F47482" w:rsidRPr="009C520D" w:rsidRDefault="00F47482" w:rsidP="00F47482">
            <w:pPr>
              <w:rPr>
                <w:rFonts w:ascii="Times New Roman" w:hAnsi="Times New Roman" w:cs="Times New Roman"/>
                <w:lang w:val="pt-PT"/>
              </w:rPr>
            </w:pPr>
          </w:p>
          <w:p w14:paraId="32E4F55D" w14:textId="581B31BF" w:rsidR="00F47482" w:rsidRPr="009C520D" w:rsidRDefault="00F47482" w:rsidP="00F47482">
            <w:pPr>
              <w:rPr>
                <w:rFonts w:ascii="Times New Roman" w:hAnsi="Times New Roman" w:cs="Times New Roman"/>
                <w:lang w:val="pt-PT"/>
              </w:rPr>
            </w:pPr>
            <w:r w:rsidRPr="009C520D">
              <w:rPr>
                <w:rFonts w:ascii="Times New Roman" w:hAnsi="Times New Roman" w:cs="Times New Roman"/>
                <w:lang w:val="pt-PT"/>
              </w:rPr>
              <w:t xml:space="preserve">2019 foi um ano excecional para Orange, neste Mercado em particular devido a contratos obtidos com </w:t>
            </w:r>
            <w:r w:rsidR="00BD2203" w:rsidRPr="009C520D">
              <w:rPr>
                <w:rFonts w:ascii="Times New Roman" w:hAnsi="Times New Roman" w:cs="Times New Roman"/>
                <w:lang w:val="pt-PT"/>
              </w:rPr>
              <w:t>faturação</w:t>
            </w:r>
            <w:r w:rsidRPr="009C520D">
              <w:rPr>
                <w:rFonts w:ascii="Times New Roman" w:hAnsi="Times New Roman" w:cs="Times New Roman"/>
                <w:lang w:val="pt-PT"/>
              </w:rPr>
              <w:t xml:space="preserve"> assimétrica e também pelo fato do grupo Orange estar presente na </w:t>
            </w:r>
            <w:r w:rsidR="00BD2203" w:rsidRPr="009C520D">
              <w:rPr>
                <w:rFonts w:ascii="Times New Roman" w:hAnsi="Times New Roman" w:cs="Times New Roman"/>
                <w:lang w:val="pt-PT"/>
              </w:rPr>
              <w:t>sub-região</w:t>
            </w:r>
            <w:r w:rsidRPr="009C520D">
              <w:rPr>
                <w:rFonts w:ascii="Times New Roman" w:hAnsi="Times New Roman" w:cs="Times New Roman"/>
                <w:lang w:val="pt-PT"/>
              </w:rPr>
              <w:t xml:space="preserve"> oeste Africana e na Europa (</w:t>
            </w:r>
            <w:proofErr w:type="gramStart"/>
            <w:r w:rsidRPr="009C520D">
              <w:rPr>
                <w:rFonts w:ascii="Times New Roman" w:hAnsi="Times New Roman" w:cs="Times New Roman"/>
                <w:lang w:val="pt-PT"/>
              </w:rPr>
              <w:t xml:space="preserve">efeitos </w:t>
            </w:r>
            <w:r w:rsidR="00BD2203" w:rsidRPr="009C520D">
              <w:rPr>
                <w:rFonts w:ascii="Times New Roman" w:hAnsi="Times New Roman" w:cs="Times New Roman"/>
                <w:lang w:val="pt-PT"/>
              </w:rPr>
              <w:t>corredor</w:t>
            </w:r>
            <w:proofErr w:type="gramEnd"/>
            <w:r w:rsidRPr="009C520D">
              <w:rPr>
                <w:rFonts w:ascii="Times New Roman" w:hAnsi="Times New Roman" w:cs="Times New Roman"/>
                <w:lang w:val="pt-PT"/>
              </w:rPr>
              <w:t>).</w:t>
            </w:r>
          </w:p>
        </w:tc>
        <w:tc>
          <w:tcPr>
            <w:tcW w:w="3913" w:type="dxa"/>
          </w:tcPr>
          <w:p w14:paraId="7BD6FE12" w14:textId="77777777" w:rsidR="00676185" w:rsidRPr="009C520D" w:rsidRDefault="00F252D0" w:rsidP="00676185">
            <w:pPr>
              <w:rPr>
                <w:rFonts w:ascii="Times New Roman" w:hAnsi="Times New Roman" w:cs="Times New Roman"/>
                <w:lang w:val="pt-PT"/>
              </w:rPr>
            </w:pPr>
            <w:r w:rsidRPr="009C520D">
              <w:rPr>
                <w:rFonts w:ascii="Times New Roman" w:hAnsi="Times New Roman" w:cs="Times New Roman"/>
                <w:lang w:val="pt-PT"/>
              </w:rPr>
              <w:lastRenderedPageBreak/>
              <w:t>A ARN, na sua análise de dominância optou por não revelar os dados de quota de mercado correspondentes a cada empresa por uma questão de confidencialidade.</w:t>
            </w:r>
          </w:p>
          <w:p w14:paraId="3B4EC630" w14:textId="77777777" w:rsidR="00F03150" w:rsidRPr="009C520D" w:rsidRDefault="00F03150" w:rsidP="00676185">
            <w:pPr>
              <w:rPr>
                <w:rFonts w:ascii="Times New Roman" w:hAnsi="Times New Roman" w:cs="Times New Roman"/>
                <w:lang w:val="pt-PT"/>
              </w:rPr>
            </w:pPr>
          </w:p>
          <w:p w14:paraId="55EBFABA" w14:textId="77777777" w:rsidR="00F03150" w:rsidRPr="009C520D" w:rsidRDefault="00F03150" w:rsidP="00676185">
            <w:pPr>
              <w:rPr>
                <w:rFonts w:ascii="Times New Roman" w:hAnsi="Times New Roman" w:cs="Times New Roman"/>
                <w:lang w:val="pt-PT"/>
              </w:rPr>
            </w:pPr>
            <w:r w:rsidRPr="009C520D">
              <w:rPr>
                <w:rFonts w:ascii="Times New Roman" w:hAnsi="Times New Roman" w:cs="Times New Roman"/>
                <w:lang w:val="pt-PT"/>
              </w:rPr>
              <w:t xml:space="preserve">O facto de que um operador não conhece a sua quota de mercado não </w:t>
            </w:r>
            <w:r w:rsidRPr="009C520D">
              <w:rPr>
                <w:rFonts w:ascii="Times New Roman" w:hAnsi="Times New Roman" w:cs="Times New Roman"/>
                <w:lang w:val="pt-PT"/>
              </w:rPr>
              <w:lastRenderedPageBreak/>
              <w:t xml:space="preserve">invalida que esta possa ser substancial. </w:t>
            </w:r>
          </w:p>
          <w:p w14:paraId="7361473F" w14:textId="4B20F4EA" w:rsidR="00F03150" w:rsidRPr="009C520D" w:rsidRDefault="00F03150" w:rsidP="00676185">
            <w:pPr>
              <w:rPr>
                <w:rFonts w:ascii="Times New Roman" w:hAnsi="Times New Roman" w:cs="Times New Roman"/>
                <w:lang w:val="pt-PT"/>
              </w:rPr>
            </w:pPr>
            <w:r w:rsidRPr="009C520D">
              <w:rPr>
                <w:rFonts w:ascii="Times New Roman" w:hAnsi="Times New Roman" w:cs="Times New Roman"/>
                <w:lang w:val="pt-PT"/>
              </w:rPr>
              <w:t xml:space="preserve">Refere também a Orange que 2019 foi um ano excecional, neste Mercado em particular devido a contratos obtidos com </w:t>
            </w:r>
            <w:r w:rsidR="00BD2203" w:rsidRPr="009C520D">
              <w:rPr>
                <w:rFonts w:ascii="Times New Roman" w:hAnsi="Times New Roman" w:cs="Times New Roman"/>
                <w:lang w:val="pt-PT"/>
              </w:rPr>
              <w:t>faturação</w:t>
            </w:r>
            <w:r w:rsidRPr="009C520D">
              <w:rPr>
                <w:rFonts w:ascii="Times New Roman" w:hAnsi="Times New Roman" w:cs="Times New Roman"/>
                <w:lang w:val="pt-PT"/>
              </w:rPr>
              <w:t xml:space="preserve"> assimétrica e também pelo fato do grupo Orange estar presente na </w:t>
            </w:r>
            <w:r w:rsidR="00BD2203" w:rsidRPr="009C520D">
              <w:rPr>
                <w:rFonts w:ascii="Times New Roman" w:hAnsi="Times New Roman" w:cs="Times New Roman"/>
                <w:lang w:val="pt-PT"/>
              </w:rPr>
              <w:t>sub-região</w:t>
            </w:r>
            <w:r w:rsidRPr="009C520D">
              <w:rPr>
                <w:rFonts w:ascii="Times New Roman" w:hAnsi="Times New Roman" w:cs="Times New Roman"/>
                <w:lang w:val="pt-PT"/>
              </w:rPr>
              <w:t xml:space="preserve"> oeste Africana e na Europa (</w:t>
            </w:r>
            <w:proofErr w:type="gramStart"/>
            <w:r w:rsidRPr="009C520D">
              <w:rPr>
                <w:rFonts w:ascii="Times New Roman" w:hAnsi="Times New Roman" w:cs="Times New Roman"/>
                <w:lang w:val="pt-PT"/>
              </w:rPr>
              <w:t xml:space="preserve">efeitos </w:t>
            </w:r>
            <w:r w:rsidR="00BD2203" w:rsidRPr="009C520D">
              <w:rPr>
                <w:rFonts w:ascii="Times New Roman" w:hAnsi="Times New Roman" w:cs="Times New Roman"/>
                <w:lang w:val="pt-PT"/>
              </w:rPr>
              <w:t>corredor</w:t>
            </w:r>
            <w:proofErr w:type="gramEnd"/>
            <w:r w:rsidRPr="009C520D">
              <w:rPr>
                <w:rFonts w:ascii="Times New Roman" w:hAnsi="Times New Roman" w:cs="Times New Roman"/>
                <w:lang w:val="pt-PT"/>
              </w:rPr>
              <w:t xml:space="preserve">). A ARN gostaria de conhecer o que se entende por faturação assimétrica e o que são efeitos </w:t>
            </w:r>
            <w:r w:rsidR="00BD2203" w:rsidRPr="009C520D">
              <w:rPr>
                <w:rFonts w:ascii="Times New Roman" w:hAnsi="Times New Roman" w:cs="Times New Roman"/>
                <w:lang w:val="pt-PT"/>
              </w:rPr>
              <w:t>corredor</w:t>
            </w:r>
            <w:r w:rsidRPr="009C520D">
              <w:rPr>
                <w:rFonts w:ascii="Times New Roman" w:hAnsi="Times New Roman" w:cs="Times New Roman"/>
                <w:lang w:val="pt-PT"/>
              </w:rPr>
              <w:t>. A ARN gostaria de receber informação adicional sobre esta justificação que não foi apresentada pela Orange.</w:t>
            </w:r>
          </w:p>
          <w:p w14:paraId="14A5B293" w14:textId="4BBFD60B" w:rsidR="00F03150" w:rsidRPr="009C520D" w:rsidRDefault="00F03150" w:rsidP="00676185">
            <w:pPr>
              <w:rPr>
                <w:rFonts w:ascii="Times New Roman" w:hAnsi="Times New Roman" w:cs="Times New Roman"/>
                <w:lang w:val="pt-PT"/>
              </w:rPr>
            </w:pPr>
            <w:r w:rsidRPr="009C520D">
              <w:rPr>
                <w:rFonts w:ascii="Times New Roman" w:hAnsi="Times New Roman" w:cs="Times New Roman"/>
                <w:lang w:val="pt-PT"/>
              </w:rPr>
              <w:t>A ARN, portanto, mantém a conclusão que a Orange é dominante neste mercado.</w:t>
            </w:r>
          </w:p>
        </w:tc>
      </w:tr>
      <w:tr w:rsidR="009C520D" w:rsidRPr="009C520D" w14:paraId="10C69860" w14:textId="33C07750" w:rsidTr="00CF3F5C">
        <w:tc>
          <w:tcPr>
            <w:tcW w:w="1555" w:type="dxa"/>
            <w:vAlign w:val="center"/>
          </w:tcPr>
          <w:p w14:paraId="7B74AB2F" w14:textId="1B206035"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lastRenderedPageBreak/>
              <w:t>Qu</w:t>
            </w:r>
            <w:r w:rsidR="00CF3F5C" w:rsidRPr="009C520D">
              <w:rPr>
                <w:rFonts w:ascii="Times New Roman" w:hAnsi="Times New Roman" w:cs="Times New Roman"/>
                <w:lang w:val="pt-PT"/>
              </w:rPr>
              <w:t>e</w:t>
            </w:r>
            <w:r w:rsidRPr="009C520D">
              <w:rPr>
                <w:rFonts w:ascii="Times New Roman" w:hAnsi="Times New Roman" w:cs="Times New Roman"/>
                <w:lang w:val="pt-PT"/>
              </w:rPr>
              <w:t>stão 4:</w:t>
            </w:r>
          </w:p>
        </w:tc>
        <w:tc>
          <w:tcPr>
            <w:tcW w:w="4569" w:type="dxa"/>
            <w:vAlign w:val="center"/>
          </w:tcPr>
          <w:p w14:paraId="45D829C1" w14:textId="77777777"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t xml:space="preserve">Por favor, forneça qualquer informação adicional que possa ter e considerar pertinente para a definição de cada mercado, identificação de mercados relevantes e de PSM em qualquer um dos mercados designados. </w:t>
            </w:r>
          </w:p>
        </w:tc>
        <w:tc>
          <w:tcPr>
            <w:tcW w:w="3913" w:type="dxa"/>
            <w:vAlign w:val="center"/>
          </w:tcPr>
          <w:p w14:paraId="79ADFD98" w14:textId="4B5896E6" w:rsidR="00F476E2" w:rsidRPr="009C520D" w:rsidRDefault="00F476E2" w:rsidP="00CF3F5C">
            <w:pPr>
              <w:rPr>
                <w:rFonts w:ascii="Times New Roman" w:hAnsi="Times New Roman" w:cs="Times New Roman"/>
                <w:lang w:val="pt-PT"/>
              </w:rPr>
            </w:pPr>
            <w:r w:rsidRPr="009C520D">
              <w:rPr>
                <w:rStyle w:val="Refdecomentrio"/>
                <w:rFonts w:ascii="Times New Roman" w:hAnsi="Times New Roman"/>
                <w:sz w:val="24"/>
                <w:szCs w:val="24"/>
                <w:lang w:val="pt-PT"/>
              </w:rPr>
              <w:t>Não houve comentários a esta questão</w:t>
            </w:r>
          </w:p>
        </w:tc>
        <w:tc>
          <w:tcPr>
            <w:tcW w:w="3913" w:type="dxa"/>
          </w:tcPr>
          <w:p w14:paraId="22E69FA4" w14:textId="77777777" w:rsidR="00676185" w:rsidRPr="009C520D" w:rsidRDefault="00676185" w:rsidP="00676185">
            <w:pPr>
              <w:rPr>
                <w:rFonts w:ascii="Times New Roman" w:hAnsi="Times New Roman" w:cs="Times New Roman"/>
                <w:lang w:val="pt-PT"/>
              </w:rPr>
            </w:pPr>
          </w:p>
        </w:tc>
      </w:tr>
      <w:tr w:rsidR="009C520D" w:rsidRPr="009C520D" w14:paraId="04CB8015" w14:textId="04870DF4" w:rsidTr="00CF3F5C">
        <w:tc>
          <w:tcPr>
            <w:tcW w:w="1555" w:type="dxa"/>
            <w:vAlign w:val="center"/>
          </w:tcPr>
          <w:p w14:paraId="2DD04463" w14:textId="77777777"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t>Questão 5</w:t>
            </w:r>
          </w:p>
        </w:tc>
        <w:tc>
          <w:tcPr>
            <w:tcW w:w="4569" w:type="dxa"/>
            <w:vAlign w:val="center"/>
          </w:tcPr>
          <w:p w14:paraId="29DC5592" w14:textId="77777777"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t xml:space="preserve">Indique por favor se concorda que os indicadores e critérios relevantes foram usados ​​ou existem outros que devem ser preferidos em relação a um determinado mercado e por favor indique quais são em relação a cada um deles. </w:t>
            </w:r>
          </w:p>
        </w:tc>
        <w:tc>
          <w:tcPr>
            <w:tcW w:w="3913" w:type="dxa"/>
            <w:vAlign w:val="center"/>
          </w:tcPr>
          <w:p w14:paraId="4C2F0608" w14:textId="64FB113A" w:rsidR="00F476E2" w:rsidRPr="009C520D" w:rsidRDefault="00F476E2" w:rsidP="00CF3F5C">
            <w:pPr>
              <w:rPr>
                <w:rFonts w:ascii="Times New Roman" w:hAnsi="Times New Roman" w:cs="Times New Roman"/>
                <w:lang w:val="pt-PT"/>
              </w:rPr>
            </w:pPr>
            <w:r w:rsidRPr="009C520D">
              <w:rPr>
                <w:rStyle w:val="Refdecomentrio"/>
                <w:rFonts w:ascii="Times New Roman" w:hAnsi="Times New Roman"/>
                <w:sz w:val="24"/>
                <w:szCs w:val="24"/>
                <w:lang w:val="pt-PT"/>
              </w:rPr>
              <w:t>Não houve comentários a esta questão</w:t>
            </w:r>
          </w:p>
        </w:tc>
        <w:tc>
          <w:tcPr>
            <w:tcW w:w="3913" w:type="dxa"/>
          </w:tcPr>
          <w:p w14:paraId="43074A2E" w14:textId="77777777" w:rsidR="00676185" w:rsidRPr="009C520D" w:rsidRDefault="00676185" w:rsidP="00676185">
            <w:pPr>
              <w:rPr>
                <w:rFonts w:ascii="Times New Roman" w:hAnsi="Times New Roman" w:cs="Times New Roman"/>
                <w:lang w:val="pt-PT"/>
              </w:rPr>
            </w:pPr>
          </w:p>
        </w:tc>
      </w:tr>
      <w:tr w:rsidR="009C520D" w:rsidRPr="009C520D" w14:paraId="3EC9D3C5" w14:textId="09B5A86C" w:rsidTr="00676185">
        <w:tc>
          <w:tcPr>
            <w:tcW w:w="1555" w:type="dxa"/>
            <w:vAlign w:val="center"/>
          </w:tcPr>
          <w:p w14:paraId="0DFD6865" w14:textId="77777777"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t>Questão 6</w:t>
            </w:r>
          </w:p>
        </w:tc>
        <w:tc>
          <w:tcPr>
            <w:tcW w:w="4569" w:type="dxa"/>
            <w:vAlign w:val="center"/>
          </w:tcPr>
          <w:p w14:paraId="4D9A9819" w14:textId="77777777"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t xml:space="preserve">Indique por favor se concorda com a metodologia proposta na definição de obrigações e com as obrigações </w:t>
            </w:r>
            <w:r w:rsidRPr="009C520D">
              <w:rPr>
                <w:rFonts w:ascii="Times New Roman" w:hAnsi="Times New Roman" w:cs="Times New Roman"/>
                <w:lang w:val="pt-PT"/>
              </w:rPr>
              <w:lastRenderedPageBreak/>
              <w:t xml:space="preserve">recomendadas para os operadores identificados com PSM. </w:t>
            </w:r>
          </w:p>
        </w:tc>
        <w:tc>
          <w:tcPr>
            <w:tcW w:w="3913" w:type="dxa"/>
          </w:tcPr>
          <w:p w14:paraId="190AE551" w14:textId="784EAA3B" w:rsidR="00676185" w:rsidRPr="009C520D" w:rsidRDefault="00F47482" w:rsidP="00676185">
            <w:pPr>
              <w:rPr>
                <w:rFonts w:ascii="Times New Roman" w:hAnsi="Times New Roman" w:cs="Times New Roman"/>
                <w:lang w:val="pt-PT"/>
              </w:rPr>
            </w:pPr>
            <w:r w:rsidRPr="009C520D">
              <w:rPr>
                <w:rFonts w:ascii="Times New Roman" w:hAnsi="Times New Roman" w:cs="Times New Roman"/>
                <w:lang w:val="pt-PT"/>
              </w:rPr>
              <w:lastRenderedPageBreak/>
              <w:t xml:space="preserve">Relativamente ao tipo de obrigações/remédios usualmente impostos em mercados de retalho e no que se refere particularmente a “b) </w:t>
            </w:r>
            <w:r w:rsidRPr="009C520D">
              <w:rPr>
                <w:rFonts w:ascii="Times New Roman" w:hAnsi="Times New Roman" w:cs="Times New Roman"/>
                <w:lang w:val="pt-PT"/>
              </w:rPr>
              <w:lastRenderedPageBreak/>
              <w:t xml:space="preserve">Notificação e aprovação de preços: um requisito de que o operador dominante submeta a aprovação por parte da ARN quaisquer novos preços ou alterações de preços existentes relacionadas com serviços, incluindo pacotes, no mercado em que é dominante e antes da sua implementação.,”, a Orange notou que seria preciso definir os critérios de aprovação pelo regulador (critérios, modus operandi, prazos) para evitar </w:t>
            </w:r>
            <w:r w:rsidR="00BD2203" w:rsidRPr="009C520D">
              <w:rPr>
                <w:rFonts w:ascii="Times New Roman" w:hAnsi="Times New Roman" w:cs="Times New Roman"/>
                <w:lang w:val="pt-PT"/>
              </w:rPr>
              <w:t>equívocos</w:t>
            </w:r>
            <w:r w:rsidRPr="009C520D">
              <w:rPr>
                <w:rFonts w:ascii="Times New Roman" w:hAnsi="Times New Roman" w:cs="Times New Roman"/>
                <w:lang w:val="pt-PT"/>
              </w:rPr>
              <w:t>…</w:t>
            </w:r>
          </w:p>
        </w:tc>
        <w:tc>
          <w:tcPr>
            <w:tcW w:w="3913" w:type="dxa"/>
          </w:tcPr>
          <w:p w14:paraId="520C231A" w14:textId="0F86075C" w:rsidR="00676185" w:rsidRPr="009C520D" w:rsidRDefault="00F47482" w:rsidP="00676185">
            <w:pPr>
              <w:rPr>
                <w:rFonts w:ascii="Times New Roman" w:hAnsi="Times New Roman" w:cs="Times New Roman"/>
                <w:lang w:val="pt-PT"/>
              </w:rPr>
            </w:pPr>
            <w:r w:rsidRPr="009C520D">
              <w:rPr>
                <w:rFonts w:ascii="Times New Roman" w:hAnsi="Times New Roman" w:cs="Times New Roman"/>
                <w:lang w:val="pt-PT"/>
              </w:rPr>
              <w:lastRenderedPageBreak/>
              <w:t xml:space="preserve">A ARN concorda que seria uma boa prática definir critérios e modus operandi antes de impor uma </w:t>
            </w:r>
            <w:r w:rsidRPr="009C520D">
              <w:rPr>
                <w:rFonts w:ascii="Times New Roman" w:hAnsi="Times New Roman" w:cs="Times New Roman"/>
                <w:lang w:val="pt-PT"/>
              </w:rPr>
              <w:lastRenderedPageBreak/>
              <w:t>obrigação deste tipo a um operador dominante.</w:t>
            </w:r>
          </w:p>
        </w:tc>
      </w:tr>
      <w:tr w:rsidR="009C520D" w:rsidRPr="009C520D" w14:paraId="7B2E97E9" w14:textId="36AB6BA5" w:rsidTr="00CF3F5C">
        <w:tc>
          <w:tcPr>
            <w:tcW w:w="1555" w:type="dxa"/>
            <w:vAlign w:val="center"/>
          </w:tcPr>
          <w:p w14:paraId="5FCDFA7D" w14:textId="77777777"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lastRenderedPageBreak/>
              <w:t>Questão 7</w:t>
            </w:r>
          </w:p>
        </w:tc>
        <w:tc>
          <w:tcPr>
            <w:tcW w:w="4569" w:type="dxa"/>
            <w:vAlign w:val="center"/>
          </w:tcPr>
          <w:p w14:paraId="7C0F8A03" w14:textId="336BD676" w:rsidR="00676185" w:rsidRPr="009C520D" w:rsidRDefault="00676185" w:rsidP="00676185">
            <w:pPr>
              <w:rPr>
                <w:rFonts w:ascii="Times New Roman" w:hAnsi="Times New Roman" w:cs="Times New Roman"/>
                <w:lang w:val="pt-PT"/>
              </w:rPr>
            </w:pPr>
            <w:r w:rsidRPr="009C520D">
              <w:rPr>
                <w:rFonts w:ascii="Times New Roman" w:hAnsi="Times New Roman" w:cs="Times New Roman"/>
                <w:lang w:val="pt-PT"/>
              </w:rPr>
              <w:t xml:space="preserve">O mercado de terminação de chamadas internacionais, pelas suas características, tem sido, internacionalmente, endereçado pelos reguladores de formas distintas. Indique por favor se uma obrigação de controlo de preços deverá abranger o tráfego internacional de entrada, ou seja, chamadas originadas em operadores de fora da Guiné Bissau ou se, por outro lado, as chamadas que sejam entregues aos operadores nacionais e que tenham tido origem fora da Guiné Bissau não deveriam estar sujeitas à obrigação de controlo de preços nem consequentemente sujeitas à obrigação de não-discriminação e à publicação prévia dos preços dos serviços de terminação deste tipo de chamadas? </w:t>
            </w:r>
          </w:p>
        </w:tc>
        <w:tc>
          <w:tcPr>
            <w:tcW w:w="3913" w:type="dxa"/>
            <w:vAlign w:val="center"/>
          </w:tcPr>
          <w:p w14:paraId="694D728E" w14:textId="4836EEA4" w:rsidR="00F476E2" w:rsidRPr="009C520D" w:rsidRDefault="00F476E2" w:rsidP="00CF3F5C">
            <w:pPr>
              <w:rPr>
                <w:rFonts w:ascii="Times New Roman" w:hAnsi="Times New Roman" w:cs="Times New Roman"/>
                <w:lang w:val="pt-PT"/>
              </w:rPr>
            </w:pPr>
            <w:r w:rsidRPr="009C520D">
              <w:rPr>
                <w:rStyle w:val="Refdecomentrio"/>
                <w:rFonts w:ascii="Times New Roman" w:hAnsi="Times New Roman"/>
                <w:sz w:val="24"/>
                <w:szCs w:val="24"/>
                <w:lang w:val="pt-PT"/>
              </w:rPr>
              <w:t>Não houve comentários a esta questão</w:t>
            </w:r>
          </w:p>
        </w:tc>
        <w:tc>
          <w:tcPr>
            <w:tcW w:w="3913" w:type="dxa"/>
          </w:tcPr>
          <w:p w14:paraId="5B3094B7" w14:textId="23624E7A" w:rsidR="00676185" w:rsidRPr="009C520D" w:rsidRDefault="0035593D" w:rsidP="00676185">
            <w:pPr>
              <w:rPr>
                <w:rFonts w:ascii="Times New Roman" w:hAnsi="Times New Roman" w:cs="Times New Roman"/>
                <w:lang w:val="pt-PT"/>
              </w:rPr>
            </w:pPr>
            <w:r w:rsidRPr="009C520D">
              <w:rPr>
                <w:rFonts w:ascii="Times New Roman" w:hAnsi="Times New Roman" w:cs="Times New Roman"/>
                <w:lang w:val="pt-PT"/>
              </w:rPr>
              <w:t>A ARN considera que os serviços de terminação de chamadas de voz internacionais podem ser incluídos no mesmo mercado relevante que os serviços grossistas de terminação de voz móvel, no entanto entende que deve ser imposta obrigações de controlo de preços ao tráfego terminado com origem internacional.</w:t>
            </w:r>
          </w:p>
        </w:tc>
      </w:tr>
    </w:tbl>
    <w:p w14:paraId="0F37CFCA" w14:textId="77777777" w:rsidR="00CF3F5C" w:rsidRPr="009C520D" w:rsidRDefault="00CF3F5C" w:rsidP="0092220C">
      <w:pPr>
        <w:pStyle w:val="Ttulo2"/>
        <w:rPr>
          <w:rFonts w:ascii="Times New Roman" w:hAnsi="Times New Roman" w:cs="Times New Roman"/>
          <w:color w:val="auto"/>
          <w:lang w:val="pt-PT"/>
        </w:rPr>
      </w:pPr>
    </w:p>
    <w:p w14:paraId="25BDE820" w14:textId="6B2B433C" w:rsidR="0092220C" w:rsidRPr="009C520D" w:rsidRDefault="00254673" w:rsidP="00CF3F5C">
      <w:pPr>
        <w:pStyle w:val="Ttulo2"/>
        <w:jc w:val="center"/>
        <w:rPr>
          <w:rFonts w:ascii="Times New Roman" w:hAnsi="Times New Roman" w:cs="Times New Roman"/>
          <w:b/>
          <w:bCs/>
          <w:color w:val="auto"/>
          <w:lang w:val="pt-PT"/>
        </w:rPr>
      </w:pPr>
      <w:r w:rsidRPr="009C520D">
        <w:rPr>
          <w:rFonts w:ascii="Times New Roman" w:hAnsi="Times New Roman" w:cs="Times New Roman"/>
          <w:b/>
          <w:bCs/>
          <w:color w:val="auto"/>
          <w:lang w:val="pt-PT"/>
        </w:rPr>
        <w:t>Posição final sobre definição de mercados</w:t>
      </w:r>
      <w:r w:rsidR="0092220C" w:rsidRPr="009C520D">
        <w:rPr>
          <w:rFonts w:ascii="Times New Roman" w:hAnsi="Times New Roman" w:cs="Times New Roman"/>
          <w:b/>
          <w:bCs/>
          <w:color w:val="auto"/>
          <w:lang w:val="pt-PT"/>
        </w:rPr>
        <w:t xml:space="preserve">, </w:t>
      </w:r>
      <w:r w:rsidRPr="009C520D">
        <w:rPr>
          <w:rFonts w:ascii="Times New Roman" w:hAnsi="Times New Roman" w:cs="Times New Roman"/>
          <w:b/>
          <w:bCs/>
          <w:color w:val="auto"/>
          <w:lang w:val="pt-PT"/>
        </w:rPr>
        <w:t>PMS e obrigações</w:t>
      </w:r>
    </w:p>
    <w:p w14:paraId="58C6B5C3" w14:textId="5A37E7C2" w:rsidR="00EA16C6" w:rsidRPr="009C520D" w:rsidRDefault="00EA16C6" w:rsidP="00EA16C6">
      <w:pPr>
        <w:rPr>
          <w:rFonts w:ascii="Times New Roman" w:hAnsi="Times New Roman" w:cs="Times New Roman"/>
          <w:lang w:val="pt-PT"/>
        </w:rPr>
      </w:pPr>
    </w:p>
    <w:p w14:paraId="7D74DD37" w14:textId="23A475FA" w:rsidR="00BF494E" w:rsidRPr="009C520D" w:rsidRDefault="00254673" w:rsidP="00CF3F5C">
      <w:pPr>
        <w:rPr>
          <w:rFonts w:ascii="Times New Roman" w:hAnsi="Times New Roman" w:cs="Times New Roman"/>
          <w:sz w:val="22"/>
          <w:szCs w:val="22"/>
          <w:lang w:val="pt-PT"/>
        </w:rPr>
      </w:pPr>
      <w:r w:rsidRPr="009C520D">
        <w:rPr>
          <w:rFonts w:ascii="Times New Roman" w:hAnsi="Times New Roman" w:cs="Times New Roman"/>
          <w:lang w:val="pt-PT"/>
        </w:rPr>
        <w:t xml:space="preserve">Na sequência da consulta pública, a ARN </w:t>
      </w:r>
      <w:r w:rsidR="00104A60" w:rsidRPr="009C520D">
        <w:rPr>
          <w:rFonts w:ascii="Times New Roman" w:hAnsi="Times New Roman" w:cs="Times New Roman"/>
          <w:lang w:val="pt-PT"/>
        </w:rPr>
        <w:t>refere que</w:t>
      </w:r>
      <w:r w:rsidRPr="009C520D">
        <w:rPr>
          <w:rFonts w:ascii="Times New Roman" w:hAnsi="Times New Roman" w:cs="Times New Roman"/>
          <w:lang w:val="pt-PT"/>
        </w:rPr>
        <w:t>, as conclusões permanecem inalteradas em relação às apresentadas no documento de consulta</w:t>
      </w:r>
      <w:r w:rsidR="00EA16C6" w:rsidRPr="009C520D">
        <w:rPr>
          <w:rFonts w:ascii="Times New Roman" w:hAnsi="Times New Roman" w:cs="Times New Roman"/>
          <w:lang w:val="pt-PT"/>
        </w:rPr>
        <w:t xml:space="preserve">. </w:t>
      </w:r>
    </w:p>
    <w:sectPr w:rsidR="00BF494E" w:rsidRPr="009C520D" w:rsidSect="00CF3F5C">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56FE" w14:textId="77777777" w:rsidR="00B700B3" w:rsidRDefault="00B700B3" w:rsidP="00EA16C6">
      <w:r>
        <w:separator/>
      </w:r>
    </w:p>
  </w:endnote>
  <w:endnote w:type="continuationSeparator" w:id="0">
    <w:p w14:paraId="5A548272" w14:textId="77777777" w:rsidR="00B700B3" w:rsidRDefault="00B700B3" w:rsidP="00EA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1894535"/>
      <w:docPartObj>
        <w:docPartGallery w:val="Page Numbers (Bottom of Page)"/>
        <w:docPartUnique/>
      </w:docPartObj>
    </w:sdtPr>
    <w:sdtEndPr>
      <w:rPr>
        <w:rStyle w:val="Nmerodepgina"/>
      </w:rPr>
    </w:sdtEndPr>
    <w:sdtContent>
      <w:p w14:paraId="440EAF64" w14:textId="6BD9DD5F" w:rsidR="00626635" w:rsidRDefault="00626635" w:rsidP="00104A6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1304688" w14:textId="77777777" w:rsidR="00626635" w:rsidRDefault="00626635" w:rsidP="00EA16C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16385614"/>
      <w:docPartObj>
        <w:docPartGallery w:val="Page Numbers (Bottom of Page)"/>
        <w:docPartUnique/>
      </w:docPartObj>
    </w:sdtPr>
    <w:sdtEndPr>
      <w:rPr>
        <w:rStyle w:val="Nmerodepgina"/>
      </w:rPr>
    </w:sdtEndPr>
    <w:sdtContent>
      <w:p w14:paraId="21375E61" w14:textId="6A24989C" w:rsidR="00626635" w:rsidRDefault="00626635" w:rsidP="00104A6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F13AF43" w14:textId="77777777" w:rsidR="00626635" w:rsidRDefault="00626635" w:rsidP="00EA16C6">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94DE" w14:textId="77777777" w:rsidR="0019138F" w:rsidRDefault="001913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5B85" w14:textId="77777777" w:rsidR="00B700B3" w:rsidRDefault="00B700B3" w:rsidP="00EA16C6">
      <w:r>
        <w:separator/>
      </w:r>
    </w:p>
  </w:footnote>
  <w:footnote w:type="continuationSeparator" w:id="0">
    <w:p w14:paraId="3812B97E" w14:textId="77777777" w:rsidR="00B700B3" w:rsidRDefault="00B700B3" w:rsidP="00EA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2AF0" w14:textId="77777777" w:rsidR="0019138F" w:rsidRDefault="0019138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CB6B" w14:textId="20F91100" w:rsidR="0019138F" w:rsidRDefault="0019138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0915" w14:textId="77777777" w:rsidR="0019138F" w:rsidRDefault="001913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956"/>
    <w:multiLevelType w:val="hybridMultilevel"/>
    <w:tmpl w:val="5768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05869"/>
    <w:multiLevelType w:val="hybridMultilevel"/>
    <w:tmpl w:val="E19239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33B633E"/>
    <w:multiLevelType w:val="hybridMultilevel"/>
    <w:tmpl w:val="08E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21AEC"/>
    <w:multiLevelType w:val="multilevel"/>
    <w:tmpl w:val="FAEA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46690"/>
    <w:multiLevelType w:val="hybridMultilevel"/>
    <w:tmpl w:val="E0EE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B3BE0"/>
    <w:multiLevelType w:val="hybridMultilevel"/>
    <w:tmpl w:val="A76E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720C4"/>
    <w:multiLevelType w:val="hybridMultilevel"/>
    <w:tmpl w:val="4F24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F1"/>
    <w:rsid w:val="00022AE9"/>
    <w:rsid w:val="000E7E01"/>
    <w:rsid w:val="00104A60"/>
    <w:rsid w:val="001420FB"/>
    <w:rsid w:val="00180D90"/>
    <w:rsid w:val="0019138F"/>
    <w:rsid w:val="00197258"/>
    <w:rsid w:val="001B56EB"/>
    <w:rsid w:val="001C4304"/>
    <w:rsid w:val="001F2D5D"/>
    <w:rsid w:val="001F513C"/>
    <w:rsid w:val="00254673"/>
    <w:rsid w:val="002A0390"/>
    <w:rsid w:val="002B3130"/>
    <w:rsid w:val="002B49D4"/>
    <w:rsid w:val="002C2CCC"/>
    <w:rsid w:val="003226B3"/>
    <w:rsid w:val="00324E1E"/>
    <w:rsid w:val="00327FF1"/>
    <w:rsid w:val="0035593D"/>
    <w:rsid w:val="003666EC"/>
    <w:rsid w:val="003860C7"/>
    <w:rsid w:val="003D1BB1"/>
    <w:rsid w:val="003E299D"/>
    <w:rsid w:val="00407C74"/>
    <w:rsid w:val="00453064"/>
    <w:rsid w:val="00492B29"/>
    <w:rsid w:val="004C326D"/>
    <w:rsid w:val="004E2050"/>
    <w:rsid w:val="0055219B"/>
    <w:rsid w:val="005F586D"/>
    <w:rsid w:val="00626635"/>
    <w:rsid w:val="006544D3"/>
    <w:rsid w:val="00676185"/>
    <w:rsid w:val="006835CE"/>
    <w:rsid w:val="00686BFC"/>
    <w:rsid w:val="006B059A"/>
    <w:rsid w:val="006C17AC"/>
    <w:rsid w:val="007646AE"/>
    <w:rsid w:val="007A1F13"/>
    <w:rsid w:val="007B05A5"/>
    <w:rsid w:val="007D4877"/>
    <w:rsid w:val="007F4922"/>
    <w:rsid w:val="00802308"/>
    <w:rsid w:val="008275AF"/>
    <w:rsid w:val="008364A3"/>
    <w:rsid w:val="00853422"/>
    <w:rsid w:val="00865D8C"/>
    <w:rsid w:val="00866D00"/>
    <w:rsid w:val="00867C74"/>
    <w:rsid w:val="0092220C"/>
    <w:rsid w:val="00923EA0"/>
    <w:rsid w:val="00957A28"/>
    <w:rsid w:val="0099632F"/>
    <w:rsid w:val="009C520D"/>
    <w:rsid w:val="009D17E2"/>
    <w:rsid w:val="009E5F3C"/>
    <w:rsid w:val="00A90425"/>
    <w:rsid w:val="00AD16EE"/>
    <w:rsid w:val="00B700B3"/>
    <w:rsid w:val="00B97E61"/>
    <w:rsid w:val="00BB0218"/>
    <w:rsid w:val="00BD2203"/>
    <w:rsid w:val="00BF2FCF"/>
    <w:rsid w:val="00BF494E"/>
    <w:rsid w:val="00C26BC3"/>
    <w:rsid w:val="00C3081E"/>
    <w:rsid w:val="00C60F35"/>
    <w:rsid w:val="00CA27FC"/>
    <w:rsid w:val="00CA4FFB"/>
    <w:rsid w:val="00CE6733"/>
    <w:rsid w:val="00CF3F5C"/>
    <w:rsid w:val="00D00E61"/>
    <w:rsid w:val="00D0338E"/>
    <w:rsid w:val="00D77630"/>
    <w:rsid w:val="00DC00A9"/>
    <w:rsid w:val="00E21A63"/>
    <w:rsid w:val="00E419AC"/>
    <w:rsid w:val="00E75B9C"/>
    <w:rsid w:val="00EA16C6"/>
    <w:rsid w:val="00EB04EE"/>
    <w:rsid w:val="00EB4469"/>
    <w:rsid w:val="00ED4B15"/>
    <w:rsid w:val="00EE6BB9"/>
    <w:rsid w:val="00F03150"/>
    <w:rsid w:val="00F252D0"/>
    <w:rsid w:val="00F47482"/>
    <w:rsid w:val="00F476E2"/>
    <w:rsid w:val="00F610EE"/>
    <w:rsid w:val="00F74210"/>
    <w:rsid w:val="00F94EE5"/>
    <w:rsid w:val="00FD0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29E92"/>
  <w15:chartTrackingRefBased/>
  <w15:docId w15:val="{519AA6D9-99F5-E242-BBCA-A056D882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9222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327FF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327FF1"/>
    <w:pPr>
      <w:spacing w:before="100" w:beforeAutospacing="1" w:after="100" w:afterAutospacing="1"/>
    </w:pPr>
    <w:rPr>
      <w:rFonts w:ascii="Times New Roman" w:eastAsia="Times New Roman" w:hAnsi="Times New Roman" w:cs="Times New Roman"/>
      <w:szCs w:val="21"/>
      <w:lang w:val="en-AU" w:eastAsia="en-AU"/>
    </w:rPr>
  </w:style>
  <w:style w:type="table" w:styleId="ListaClara-Cor1">
    <w:name w:val="Light List Accent 1"/>
    <w:basedOn w:val="Tabelanormal"/>
    <w:uiPriority w:val="61"/>
    <w:rsid w:val="00327FF1"/>
    <w:rPr>
      <w:rFonts w:eastAsiaTheme="minorEastAsia"/>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Ttulo2Carter">
    <w:name w:val="Título 2 Caráter"/>
    <w:basedOn w:val="Tipodeletrapredefinidodopargrafo"/>
    <w:link w:val="Ttulo2"/>
    <w:uiPriority w:val="9"/>
    <w:rsid w:val="00327FF1"/>
    <w:rPr>
      <w:rFonts w:asciiTheme="majorHAnsi" w:eastAsiaTheme="majorEastAsia" w:hAnsiTheme="majorHAnsi" w:cstheme="majorBidi"/>
      <w:color w:val="2F5496" w:themeColor="accent1" w:themeShade="BF"/>
      <w:sz w:val="26"/>
      <w:szCs w:val="26"/>
    </w:rPr>
  </w:style>
  <w:style w:type="table" w:styleId="TabelacomGrelha">
    <w:name w:val="Table Grid"/>
    <w:basedOn w:val="Tabelanormal"/>
    <w:uiPriority w:val="39"/>
    <w:rsid w:val="0032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elha4-Destaque5">
    <w:name w:val="Grid Table 4 Accent 5"/>
    <w:basedOn w:val="Tabelanormal"/>
    <w:uiPriority w:val="49"/>
    <w:rsid w:val="00327FF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debalo">
    <w:name w:val="Balloon Text"/>
    <w:basedOn w:val="Normal"/>
    <w:link w:val="TextodebaloCarter"/>
    <w:uiPriority w:val="99"/>
    <w:semiHidden/>
    <w:unhideWhenUsed/>
    <w:rsid w:val="00BB0218"/>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BB0218"/>
    <w:rPr>
      <w:rFonts w:ascii="Times New Roman" w:hAnsi="Times New Roman" w:cs="Times New Roman"/>
      <w:sz w:val="18"/>
      <w:szCs w:val="18"/>
    </w:rPr>
  </w:style>
  <w:style w:type="paragraph" w:styleId="PargrafodaLista">
    <w:name w:val="List Paragraph"/>
    <w:basedOn w:val="Normal"/>
    <w:uiPriority w:val="34"/>
    <w:qFormat/>
    <w:rsid w:val="008364A3"/>
    <w:pPr>
      <w:ind w:left="720"/>
      <w:contextualSpacing/>
    </w:pPr>
  </w:style>
  <w:style w:type="character" w:customStyle="1" w:styleId="Ttulo1Carter">
    <w:name w:val="Título 1 Caráter"/>
    <w:basedOn w:val="Tipodeletrapredefinidodopargrafo"/>
    <w:link w:val="Ttulo1"/>
    <w:uiPriority w:val="9"/>
    <w:rsid w:val="0092220C"/>
    <w:rPr>
      <w:rFonts w:asciiTheme="majorHAnsi" w:eastAsiaTheme="majorEastAsia" w:hAnsiTheme="majorHAnsi" w:cstheme="majorBidi"/>
      <w:color w:val="2F5496" w:themeColor="accent1" w:themeShade="BF"/>
      <w:sz w:val="32"/>
      <w:szCs w:val="32"/>
    </w:rPr>
  </w:style>
  <w:style w:type="paragraph" w:styleId="Rodap">
    <w:name w:val="footer"/>
    <w:basedOn w:val="Normal"/>
    <w:link w:val="RodapCarter"/>
    <w:uiPriority w:val="99"/>
    <w:unhideWhenUsed/>
    <w:rsid w:val="00EA16C6"/>
    <w:pPr>
      <w:tabs>
        <w:tab w:val="center" w:pos="4513"/>
        <w:tab w:val="right" w:pos="9026"/>
      </w:tabs>
    </w:pPr>
  </w:style>
  <w:style w:type="character" w:customStyle="1" w:styleId="RodapCarter">
    <w:name w:val="Rodapé Caráter"/>
    <w:basedOn w:val="Tipodeletrapredefinidodopargrafo"/>
    <w:link w:val="Rodap"/>
    <w:uiPriority w:val="99"/>
    <w:rsid w:val="00EA16C6"/>
  </w:style>
  <w:style w:type="character" w:styleId="Nmerodepgina">
    <w:name w:val="page number"/>
    <w:basedOn w:val="Tipodeletrapredefinidodopargrafo"/>
    <w:uiPriority w:val="99"/>
    <w:semiHidden/>
    <w:unhideWhenUsed/>
    <w:rsid w:val="00EA16C6"/>
  </w:style>
  <w:style w:type="character" w:styleId="Refdecomentrio">
    <w:name w:val="annotation reference"/>
    <w:basedOn w:val="Tipodeletrapredefinidodopargrafo"/>
    <w:uiPriority w:val="99"/>
    <w:rsid w:val="00676185"/>
    <w:rPr>
      <w:rFonts w:cs="Times New Roman"/>
      <w:sz w:val="16"/>
      <w:szCs w:val="16"/>
      <w:lang w:val="en-AU"/>
    </w:rPr>
  </w:style>
  <w:style w:type="paragraph" w:styleId="Textodecomentrio">
    <w:name w:val="annotation text"/>
    <w:basedOn w:val="Normal"/>
    <w:link w:val="TextodecomentrioCarter"/>
    <w:uiPriority w:val="99"/>
    <w:rsid w:val="00676185"/>
    <w:pPr>
      <w:spacing w:before="120" w:after="120" w:line="276" w:lineRule="auto"/>
    </w:pPr>
    <w:rPr>
      <w:rFonts w:ascii="Tahoma" w:eastAsiaTheme="minorEastAsia" w:hAnsi="Tahoma" w:cs="Arial"/>
      <w:sz w:val="22"/>
      <w:szCs w:val="22"/>
      <w:lang w:val="en-US" w:eastAsia="en-AU"/>
    </w:rPr>
  </w:style>
  <w:style w:type="character" w:customStyle="1" w:styleId="TextodecomentrioCarter">
    <w:name w:val="Texto de comentário Caráter"/>
    <w:basedOn w:val="Tipodeletrapredefinidodopargrafo"/>
    <w:link w:val="Textodecomentrio"/>
    <w:uiPriority w:val="99"/>
    <w:rsid w:val="00676185"/>
    <w:rPr>
      <w:rFonts w:ascii="Tahoma" w:eastAsiaTheme="minorEastAsia" w:hAnsi="Tahoma" w:cs="Arial"/>
      <w:sz w:val="22"/>
      <w:szCs w:val="22"/>
      <w:lang w:val="en-US" w:eastAsia="en-AU"/>
    </w:rPr>
  </w:style>
  <w:style w:type="paragraph" w:styleId="Corpodetexto2">
    <w:name w:val="Body Text 2"/>
    <w:basedOn w:val="Normal"/>
    <w:link w:val="Corpodetexto2Carter"/>
    <w:uiPriority w:val="99"/>
    <w:rsid w:val="006544D3"/>
    <w:pPr>
      <w:spacing w:before="120" w:after="120" w:line="480" w:lineRule="auto"/>
    </w:pPr>
    <w:rPr>
      <w:rFonts w:ascii="Tahoma" w:eastAsiaTheme="minorEastAsia" w:hAnsi="Tahoma" w:cs="Arial"/>
      <w:sz w:val="22"/>
      <w:szCs w:val="22"/>
      <w:lang w:val="en-US" w:eastAsia="en-AU"/>
    </w:rPr>
  </w:style>
  <w:style w:type="character" w:customStyle="1" w:styleId="Corpodetexto2Carter">
    <w:name w:val="Corpo de texto 2 Caráter"/>
    <w:basedOn w:val="Tipodeletrapredefinidodopargrafo"/>
    <w:link w:val="Corpodetexto2"/>
    <w:uiPriority w:val="99"/>
    <w:rsid w:val="006544D3"/>
    <w:rPr>
      <w:rFonts w:ascii="Tahoma" w:eastAsiaTheme="minorEastAsia" w:hAnsi="Tahoma" w:cs="Arial"/>
      <w:sz w:val="22"/>
      <w:szCs w:val="22"/>
      <w:lang w:val="en-US" w:eastAsia="en-AU"/>
    </w:rPr>
  </w:style>
  <w:style w:type="paragraph" w:customStyle="1" w:styleId="Default">
    <w:name w:val="Default"/>
    <w:rsid w:val="006544D3"/>
    <w:pPr>
      <w:autoSpaceDE w:val="0"/>
      <w:autoSpaceDN w:val="0"/>
      <w:adjustRightInd w:val="0"/>
    </w:pPr>
    <w:rPr>
      <w:rFonts w:ascii="Arial" w:eastAsia="Times New Roman" w:hAnsi="Arial" w:cs="Arial"/>
      <w:color w:val="000000"/>
      <w:lang w:eastAsia="en-GB"/>
    </w:rPr>
  </w:style>
  <w:style w:type="paragraph" w:styleId="Reviso">
    <w:name w:val="Revision"/>
    <w:hidden/>
    <w:uiPriority w:val="99"/>
    <w:semiHidden/>
    <w:rsid w:val="00104A60"/>
  </w:style>
  <w:style w:type="paragraph" w:styleId="Cabealho">
    <w:name w:val="header"/>
    <w:basedOn w:val="Normal"/>
    <w:link w:val="CabealhoCarter"/>
    <w:uiPriority w:val="99"/>
    <w:unhideWhenUsed/>
    <w:rsid w:val="00104A60"/>
    <w:pPr>
      <w:tabs>
        <w:tab w:val="center" w:pos="4252"/>
        <w:tab w:val="right" w:pos="8504"/>
      </w:tabs>
    </w:pPr>
  </w:style>
  <w:style w:type="character" w:customStyle="1" w:styleId="CabealhoCarter">
    <w:name w:val="Cabeçalho Caráter"/>
    <w:basedOn w:val="Tipodeletrapredefinidodopargrafo"/>
    <w:link w:val="Cabealho"/>
    <w:uiPriority w:val="99"/>
    <w:rsid w:val="0010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6583">
      <w:bodyDiv w:val="1"/>
      <w:marLeft w:val="0"/>
      <w:marRight w:val="0"/>
      <w:marTop w:val="0"/>
      <w:marBottom w:val="0"/>
      <w:divBdr>
        <w:top w:val="none" w:sz="0" w:space="0" w:color="auto"/>
        <w:left w:val="none" w:sz="0" w:space="0" w:color="auto"/>
        <w:bottom w:val="none" w:sz="0" w:space="0" w:color="auto"/>
        <w:right w:val="none" w:sz="0" w:space="0" w:color="auto"/>
      </w:divBdr>
      <w:divsChild>
        <w:div w:id="1040666827">
          <w:marLeft w:val="0"/>
          <w:marRight w:val="0"/>
          <w:marTop w:val="0"/>
          <w:marBottom w:val="0"/>
          <w:divBdr>
            <w:top w:val="none" w:sz="0" w:space="0" w:color="auto"/>
            <w:left w:val="none" w:sz="0" w:space="0" w:color="auto"/>
            <w:bottom w:val="none" w:sz="0" w:space="0" w:color="auto"/>
            <w:right w:val="none" w:sz="0" w:space="0" w:color="auto"/>
          </w:divBdr>
          <w:divsChild>
            <w:div w:id="1818912673">
              <w:marLeft w:val="0"/>
              <w:marRight w:val="0"/>
              <w:marTop w:val="0"/>
              <w:marBottom w:val="0"/>
              <w:divBdr>
                <w:top w:val="none" w:sz="0" w:space="0" w:color="auto"/>
                <w:left w:val="none" w:sz="0" w:space="0" w:color="auto"/>
                <w:bottom w:val="none" w:sz="0" w:space="0" w:color="auto"/>
                <w:right w:val="none" w:sz="0" w:space="0" w:color="auto"/>
              </w:divBdr>
              <w:divsChild>
                <w:div w:id="868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6891">
      <w:bodyDiv w:val="1"/>
      <w:marLeft w:val="0"/>
      <w:marRight w:val="0"/>
      <w:marTop w:val="0"/>
      <w:marBottom w:val="0"/>
      <w:divBdr>
        <w:top w:val="none" w:sz="0" w:space="0" w:color="auto"/>
        <w:left w:val="none" w:sz="0" w:space="0" w:color="auto"/>
        <w:bottom w:val="none" w:sz="0" w:space="0" w:color="auto"/>
        <w:right w:val="none" w:sz="0" w:space="0" w:color="auto"/>
      </w:divBdr>
      <w:divsChild>
        <w:div w:id="768893906">
          <w:marLeft w:val="0"/>
          <w:marRight w:val="0"/>
          <w:marTop w:val="0"/>
          <w:marBottom w:val="0"/>
          <w:divBdr>
            <w:top w:val="none" w:sz="0" w:space="0" w:color="auto"/>
            <w:left w:val="none" w:sz="0" w:space="0" w:color="auto"/>
            <w:bottom w:val="none" w:sz="0" w:space="0" w:color="auto"/>
            <w:right w:val="none" w:sz="0" w:space="0" w:color="auto"/>
          </w:divBdr>
          <w:divsChild>
            <w:div w:id="347024068">
              <w:marLeft w:val="0"/>
              <w:marRight w:val="0"/>
              <w:marTop w:val="0"/>
              <w:marBottom w:val="0"/>
              <w:divBdr>
                <w:top w:val="none" w:sz="0" w:space="0" w:color="auto"/>
                <w:left w:val="none" w:sz="0" w:space="0" w:color="auto"/>
                <w:bottom w:val="none" w:sz="0" w:space="0" w:color="auto"/>
                <w:right w:val="none" w:sz="0" w:space="0" w:color="auto"/>
              </w:divBdr>
              <w:divsChild>
                <w:div w:id="1269318274">
                  <w:marLeft w:val="0"/>
                  <w:marRight w:val="0"/>
                  <w:marTop w:val="0"/>
                  <w:marBottom w:val="0"/>
                  <w:divBdr>
                    <w:top w:val="none" w:sz="0" w:space="0" w:color="auto"/>
                    <w:left w:val="none" w:sz="0" w:space="0" w:color="auto"/>
                    <w:bottom w:val="none" w:sz="0" w:space="0" w:color="auto"/>
                    <w:right w:val="none" w:sz="0" w:space="0" w:color="auto"/>
                  </w:divBdr>
                  <w:divsChild>
                    <w:div w:id="19301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4774">
      <w:bodyDiv w:val="1"/>
      <w:marLeft w:val="0"/>
      <w:marRight w:val="0"/>
      <w:marTop w:val="0"/>
      <w:marBottom w:val="0"/>
      <w:divBdr>
        <w:top w:val="none" w:sz="0" w:space="0" w:color="auto"/>
        <w:left w:val="none" w:sz="0" w:space="0" w:color="auto"/>
        <w:bottom w:val="none" w:sz="0" w:space="0" w:color="auto"/>
        <w:right w:val="none" w:sz="0" w:space="0" w:color="auto"/>
      </w:divBdr>
      <w:divsChild>
        <w:div w:id="2093621198">
          <w:marLeft w:val="0"/>
          <w:marRight w:val="0"/>
          <w:marTop w:val="0"/>
          <w:marBottom w:val="0"/>
          <w:divBdr>
            <w:top w:val="none" w:sz="0" w:space="0" w:color="auto"/>
            <w:left w:val="none" w:sz="0" w:space="0" w:color="auto"/>
            <w:bottom w:val="none" w:sz="0" w:space="0" w:color="auto"/>
            <w:right w:val="none" w:sz="0" w:space="0" w:color="auto"/>
          </w:divBdr>
          <w:divsChild>
            <w:div w:id="927269875">
              <w:marLeft w:val="0"/>
              <w:marRight w:val="0"/>
              <w:marTop w:val="0"/>
              <w:marBottom w:val="0"/>
              <w:divBdr>
                <w:top w:val="none" w:sz="0" w:space="0" w:color="auto"/>
                <w:left w:val="none" w:sz="0" w:space="0" w:color="auto"/>
                <w:bottom w:val="none" w:sz="0" w:space="0" w:color="auto"/>
                <w:right w:val="none" w:sz="0" w:space="0" w:color="auto"/>
              </w:divBdr>
              <w:divsChild>
                <w:div w:id="51738744">
                  <w:marLeft w:val="0"/>
                  <w:marRight w:val="0"/>
                  <w:marTop w:val="0"/>
                  <w:marBottom w:val="0"/>
                  <w:divBdr>
                    <w:top w:val="none" w:sz="0" w:space="0" w:color="auto"/>
                    <w:left w:val="none" w:sz="0" w:space="0" w:color="auto"/>
                    <w:bottom w:val="none" w:sz="0" w:space="0" w:color="auto"/>
                    <w:right w:val="none" w:sz="0" w:space="0" w:color="auto"/>
                  </w:divBdr>
                  <w:divsChild>
                    <w:div w:id="4302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7943">
      <w:bodyDiv w:val="1"/>
      <w:marLeft w:val="0"/>
      <w:marRight w:val="0"/>
      <w:marTop w:val="0"/>
      <w:marBottom w:val="0"/>
      <w:divBdr>
        <w:top w:val="none" w:sz="0" w:space="0" w:color="auto"/>
        <w:left w:val="none" w:sz="0" w:space="0" w:color="auto"/>
        <w:bottom w:val="none" w:sz="0" w:space="0" w:color="auto"/>
        <w:right w:val="none" w:sz="0" w:space="0" w:color="auto"/>
      </w:divBdr>
      <w:divsChild>
        <w:div w:id="931207387">
          <w:marLeft w:val="0"/>
          <w:marRight w:val="0"/>
          <w:marTop w:val="0"/>
          <w:marBottom w:val="0"/>
          <w:divBdr>
            <w:top w:val="none" w:sz="0" w:space="0" w:color="auto"/>
            <w:left w:val="none" w:sz="0" w:space="0" w:color="auto"/>
            <w:bottom w:val="none" w:sz="0" w:space="0" w:color="auto"/>
            <w:right w:val="none" w:sz="0" w:space="0" w:color="auto"/>
          </w:divBdr>
          <w:divsChild>
            <w:div w:id="1528566436">
              <w:marLeft w:val="0"/>
              <w:marRight w:val="0"/>
              <w:marTop w:val="0"/>
              <w:marBottom w:val="0"/>
              <w:divBdr>
                <w:top w:val="none" w:sz="0" w:space="0" w:color="auto"/>
                <w:left w:val="none" w:sz="0" w:space="0" w:color="auto"/>
                <w:bottom w:val="none" w:sz="0" w:space="0" w:color="auto"/>
                <w:right w:val="none" w:sz="0" w:space="0" w:color="auto"/>
              </w:divBdr>
              <w:divsChild>
                <w:div w:id="14339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975">
      <w:bodyDiv w:val="1"/>
      <w:marLeft w:val="0"/>
      <w:marRight w:val="0"/>
      <w:marTop w:val="0"/>
      <w:marBottom w:val="0"/>
      <w:divBdr>
        <w:top w:val="none" w:sz="0" w:space="0" w:color="auto"/>
        <w:left w:val="none" w:sz="0" w:space="0" w:color="auto"/>
        <w:bottom w:val="none" w:sz="0" w:space="0" w:color="auto"/>
        <w:right w:val="none" w:sz="0" w:space="0" w:color="auto"/>
      </w:divBdr>
      <w:divsChild>
        <w:div w:id="1231618603">
          <w:marLeft w:val="0"/>
          <w:marRight w:val="0"/>
          <w:marTop w:val="0"/>
          <w:marBottom w:val="0"/>
          <w:divBdr>
            <w:top w:val="none" w:sz="0" w:space="0" w:color="auto"/>
            <w:left w:val="none" w:sz="0" w:space="0" w:color="auto"/>
            <w:bottom w:val="none" w:sz="0" w:space="0" w:color="auto"/>
            <w:right w:val="none" w:sz="0" w:space="0" w:color="auto"/>
          </w:divBdr>
          <w:divsChild>
            <w:div w:id="477191039">
              <w:marLeft w:val="0"/>
              <w:marRight w:val="0"/>
              <w:marTop w:val="0"/>
              <w:marBottom w:val="0"/>
              <w:divBdr>
                <w:top w:val="none" w:sz="0" w:space="0" w:color="auto"/>
                <w:left w:val="none" w:sz="0" w:space="0" w:color="auto"/>
                <w:bottom w:val="none" w:sz="0" w:space="0" w:color="auto"/>
                <w:right w:val="none" w:sz="0" w:space="0" w:color="auto"/>
              </w:divBdr>
              <w:divsChild>
                <w:div w:id="16150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6071">
      <w:bodyDiv w:val="1"/>
      <w:marLeft w:val="0"/>
      <w:marRight w:val="0"/>
      <w:marTop w:val="0"/>
      <w:marBottom w:val="0"/>
      <w:divBdr>
        <w:top w:val="none" w:sz="0" w:space="0" w:color="auto"/>
        <w:left w:val="none" w:sz="0" w:space="0" w:color="auto"/>
        <w:bottom w:val="none" w:sz="0" w:space="0" w:color="auto"/>
        <w:right w:val="none" w:sz="0" w:space="0" w:color="auto"/>
      </w:divBdr>
      <w:divsChild>
        <w:div w:id="1047291986">
          <w:marLeft w:val="0"/>
          <w:marRight w:val="0"/>
          <w:marTop w:val="0"/>
          <w:marBottom w:val="0"/>
          <w:divBdr>
            <w:top w:val="none" w:sz="0" w:space="0" w:color="auto"/>
            <w:left w:val="none" w:sz="0" w:space="0" w:color="auto"/>
            <w:bottom w:val="none" w:sz="0" w:space="0" w:color="auto"/>
            <w:right w:val="none" w:sz="0" w:space="0" w:color="auto"/>
          </w:divBdr>
          <w:divsChild>
            <w:div w:id="1064184513">
              <w:marLeft w:val="0"/>
              <w:marRight w:val="0"/>
              <w:marTop w:val="0"/>
              <w:marBottom w:val="0"/>
              <w:divBdr>
                <w:top w:val="none" w:sz="0" w:space="0" w:color="auto"/>
                <w:left w:val="none" w:sz="0" w:space="0" w:color="auto"/>
                <w:bottom w:val="none" w:sz="0" w:space="0" w:color="auto"/>
                <w:right w:val="none" w:sz="0" w:space="0" w:color="auto"/>
              </w:divBdr>
              <w:divsChild>
                <w:div w:id="5984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9705">
      <w:bodyDiv w:val="1"/>
      <w:marLeft w:val="0"/>
      <w:marRight w:val="0"/>
      <w:marTop w:val="0"/>
      <w:marBottom w:val="0"/>
      <w:divBdr>
        <w:top w:val="none" w:sz="0" w:space="0" w:color="auto"/>
        <w:left w:val="none" w:sz="0" w:space="0" w:color="auto"/>
        <w:bottom w:val="none" w:sz="0" w:space="0" w:color="auto"/>
        <w:right w:val="none" w:sz="0" w:space="0" w:color="auto"/>
      </w:divBdr>
      <w:divsChild>
        <w:div w:id="791361799">
          <w:marLeft w:val="0"/>
          <w:marRight w:val="0"/>
          <w:marTop w:val="0"/>
          <w:marBottom w:val="0"/>
          <w:divBdr>
            <w:top w:val="none" w:sz="0" w:space="0" w:color="auto"/>
            <w:left w:val="none" w:sz="0" w:space="0" w:color="auto"/>
            <w:bottom w:val="none" w:sz="0" w:space="0" w:color="auto"/>
            <w:right w:val="none" w:sz="0" w:space="0" w:color="auto"/>
          </w:divBdr>
          <w:divsChild>
            <w:div w:id="693002695">
              <w:marLeft w:val="0"/>
              <w:marRight w:val="0"/>
              <w:marTop w:val="0"/>
              <w:marBottom w:val="0"/>
              <w:divBdr>
                <w:top w:val="none" w:sz="0" w:space="0" w:color="auto"/>
                <w:left w:val="none" w:sz="0" w:space="0" w:color="auto"/>
                <w:bottom w:val="none" w:sz="0" w:space="0" w:color="auto"/>
                <w:right w:val="none" w:sz="0" w:space="0" w:color="auto"/>
              </w:divBdr>
              <w:divsChild>
                <w:div w:id="5975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17">
      <w:bodyDiv w:val="1"/>
      <w:marLeft w:val="0"/>
      <w:marRight w:val="0"/>
      <w:marTop w:val="0"/>
      <w:marBottom w:val="0"/>
      <w:divBdr>
        <w:top w:val="none" w:sz="0" w:space="0" w:color="auto"/>
        <w:left w:val="none" w:sz="0" w:space="0" w:color="auto"/>
        <w:bottom w:val="none" w:sz="0" w:space="0" w:color="auto"/>
        <w:right w:val="none" w:sz="0" w:space="0" w:color="auto"/>
      </w:divBdr>
      <w:divsChild>
        <w:div w:id="505167199">
          <w:marLeft w:val="0"/>
          <w:marRight w:val="0"/>
          <w:marTop w:val="0"/>
          <w:marBottom w:val="0"/>
          <w:divBdr>
            <w:top w:val="none" w:sz="0" w:space="0" w:color="auto"/>
            <w:left w:val="none" w:sz="0" w:space="0" w:color="auto"/>
            <w:bottom w:val="none" w:sz="0" w:space="0" w:color="auto"/>
            <w:right w:val="none" w:sz="0" w:space="0" w:color="auto"/>
          </w:divBdr>
          <w:divsChild>
            <w:div w:id="299310616">
              <w:marLeft w:val="0"/>
              <w:marRight w:val="0"/>
              <w:marTop w:val="0"/>
              <w:marBottom w:val="0"/>
              <w:divBdr>
                <w:top w:val="none" w:sz="0" w:space="0" w:color="auto"/>
                <w:left w:val="none" w:sz="0" w:space="0" w:color="auto"/>
                <w:bottom w:val="none" w:sz="0" w:space="0" w:color="auto"/>
                <w:right w:val="none" w:sz="0" w:space="0" w:color="auto"/>
              </w:divBdr>
              <w:divsChild>
                <w:div w:id="11566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1907</Words>
  <Characters>10301</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Rogerson</dc:creator>
  <cp:keywords/>
  <dc:description/>
  <cp:lastModifiedBy>Nelson de Barros</cp:lastModifiedBy>
  <cp:revision>2</cp:revision>
  <cp:lastPrinted>2021-07-05T10:06:00Z</cp:lastPrinted>
  <dcterms:created xsi:type="dcterms:W3CDTF">2021-07-05T11:30:00Z</dcterms:created>
  <dcterms:modified xsi:type="dcterms:W3CDTF">2021-07-05T11:30:00Z</dcterms:modified>
</cp:coreProperties>
</file>