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color w:val="002D62" w:themeColor="accent1"/>
          <w:sz w:val="28"/>
          <w:szCs w:val="28"/>
        </w:rPr>
        <w:id w:val="286314869"/>
        <w:docPartObj>
          <w:docPartGallery w:val="Cover Pages"/>
          <w:docPartUnique/>
        </w:docPartObj>
      </w:sdtPr>
      <w:sdtEndPr>
        <w:rPr>
          <w:noProof/>
          <w:color w:val="FFFFFF" w:themeColor="background1"/>
        </w:rPr>
      </w:sdtEndPr>
      <w:sdtContent>
        <w:p w14:paraId="4AA98CB1" w14:textId="0F3758C3" w:rsidR="00DE1088" w:rsidRDefault="00DE1088" w:rsidP="000B3AE0"/>
        <w:p w14:paraId="6D73AC1D" w14:textId="77777777" w:rsidR="00DE1088" w:rsidRDefault="00DE1088" w:rsidP="00C909EC"/>
        <w:p w14:paraId="099ED7D0" w14:textId="77777777" w:rsidR="00556355" w:rsidRDefault="00556355" w:rsidP="000B3AE0"/>
        <w:p w14:paraId="2DCA0308" w14:textId="16ECEC91" w:rsidR="00DE1088" w:rsidRDefault="008232CE" w:rsidP="008232CE">
          <w:pPr>
            <w:ind w:left="567"/>
          </w:pPr>
          <w:r w:rsidRPr="00700087">
            <w:rPr>
              <w:b/>
              <w:noProof/>
              <w:color w:val="002D62" w:themeColor="accent1"/>
              <w:sz w:val="28"/>
              <w:szCs w:val="28"/>
              <w:lang w:val="en-AU"/>
            </w:rPr>
            <w:drawing>
              <wp:inline distT="0" distB="0" distL="0" distR="0" wp14:anchorId="1A3C4295" wp14:editId="6B24CDD2">
                <wp:extent cx="4035898" cy="1065475"/>
                <wp:effectExtent l="0" t="0" r="3175"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06904" cy="1110621"/>
                        </a:xfrm>
                        <a:prstGeom prst="rect">
                          <a:avLst/>
                        </a:prstGeom>
                      </pic:spPr>
                    </pic:pic>
                  </a:graphicData>
                </a:graphic>
              </wp:inline>
            </w:drawing>
          </w:r>
        </w:p>
        <w:p w14:paraId="39E313C9" w14:textId="3633C3A1" w:rsidR="00EC07A1" w:rsidRDefault="00EB35FE" w:rsidP="000B3AE0">
          <w:pPr>
            <w:pStyle w:val="IncyteTitle3"/>
            <w:rPr>
              <w:noProof/>
              <w:color w:val="FFFFFF" w:themeColor="background1"/>
            </w:rPr>
          </w:pPr>
          <w:r w:rsidRPr="00DE1088">
            <w:rPr>
              <w:noProof/>
              <w:lang w:eastAsia="en-US"/>
            </w:rPr>
            <mc:AlternateContent>
              <mc:Choice Requires="wps">
                <w:drawing>
                  <wp:anchor distT="0" distB="0" distL="114300" distR="114300" simplePos="0" relativeHeight="251659264" behindDoc="1" locked="0" layoutInCell="1" allowOverlap="1" wp14:anchorId="2AD9C939" wp14:editId="7AE4C410">
                    <wp:simplePos x="0" y="0"/>
                    <wp:positionH relativeFrom="page">
                      <wp:posOffset>-20532725</wp:posOffset>
                    </wp:positionH>
                    <wp:positionV relativeFrom="page">
                      <wp:posOffset>-4202430</wp:posOffset>
                    </wp:positionV>
                    <wp:extent cx="7223760" cy="2250440"/>
                    <wp:effectExtent l="0" t="0" r="0" b="10160"/>
                    <wp:wrapThrough wrapText="bothSides">
                      <wp:wrapPolygon edited="0">
                        <wp:start x="9873" y="4144"/>
                        <wp:lineTo x="9797" y="4144"/>
                        <wp:lineTo x="1823" y="8045"/>
                        <wp:lineTo x="1747" y="8289"/>
                        <wp:lineTo x="0" y="11946"/>
                        <wp:lineTo x="0" y="21454"/>
                        <wp:lineTo x="21494" y="21454"/>
                        <wp:lineTo x="21494" y="8045"/>
                        <wp:lineTo x="13443" y="4144"/>
                        <wp:lineTo x="13367" y="4144"/>
                        <wp:lineTo x="9873" y="4144"/>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760" cy="2250440"/>
                            </a:xfrm>
                            <a:custGeom>
                              <a:avLst/>
                              <a:gdLst>
                                <a:gd name="T0" fmla="*/ 2448 w 2448"/>
                                <a:gd name="T1" fmla="*/ 389 h 389"/>
                                <a:gd name="T2" fmla="*/ 2448 w 2448"/>
                                <a:gd name="T3" fmla="*/ 140 h 389"/>
                                <a:gd name="T4" fmla="*/ 0 w 2448"/>
                                <a:gd name="T5" fmla="*/ 183 h 389"/>
                                <a:gd name="T6" fmla="*/ 0 w 2448"/>
                                <a:gd name="T7" fmla="*/ 389 h 389"/>
                                <a:gd name="T8" fmla="*/ 2448 w 2448"/>
                                <a:gd name="T9" fmla="*/ 389 h 389"/>
                              </a:gdLst>
                              <a:ahLst/>
                              <a:cxnLst>
                                <a:cxn ang="0">
                                  <a:pos x="T0" y="T1"/>
                                </a:cxn>
                                <a:cxn ang="0">
                                  <a:pos x="T2" y="T3"/>
                                </a:cxn>
                                <a:cxn ang="0">
                                  <a:pos x="T4" y="T5"/>
                                </a:cxn>
                                <a:cxn ang="0">
                                  <a:pos x="T6" y="T7"/>
                                </a:cxn>
                                <a:cxn ang="0">
                                  <a:pos x="T8" y="T9"/>
                                </a:cxn>
                              </a:cxnLst>
                              <a:rect l="0" t="0" r="r" b="b"/>
                              <a:pathLst>
                                <a:path w="2448" h="389">
                                  <a:moveTo>
                                    <a:pt x="2448" y="389"/>
                                  </a:moveTo>
                                  <a:cubicBezTo>
                                    <a:pt x="2448" y="140"/>
                                    <a:pt x="2448" y="140"/>
                                    <a:pt x="2448" y="140"/>
                                  </a:cubicBezTo>
                                  <a:cubicBezTo>
                                    <a:pt x="1158" y="0"/>
                                    <a:pt x="339" y="128"/>
                                    <a:pt x="0" y="183"/>
                                  </a:cubicBezTo>
                                  <a:cubicBezTo>
                                    <a:pt x="0" y="389"/>
                                    <a:pt x="0" y="389"/>
                                    <a:pt x="0" y="389"/>
                                  </a:cubicBezTo>
                                  <a:lnTo>
                                    <a:pt x="2448" y="389"/>
                                  </a:lnTo>
                                  <a:close/>
                                </a:path>
                              </a:pathLst>
                            </a:custGeom>
                            <a:solidFill>
                              <a:srgbClr val="002D62"/>
                            </a:solidFill>
                            <a:ln>
                              <a:noFill/>
                            </a:ln>
                            <a:effectLst/>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212120"/>
                                  </a:solidFill>
                                  <a:round/>
                                  <a:headEnd/>
                                  <a:tailEnd/>
                                </a14:hiddenLine>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26BE1" id="Freeform 1" o:spid="_x0000_s1026" style="position:absolute;margin-left:-1616.75pt;margin-top:-330.9pt;width:568.8pt;height:17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" path="m2448,389v,-249,,-249,,-249c1158,,339,128,,183,,389,,389,,389r2448,xe" fillcolor="#002d62" stroked="f">
                    <v:path arrowok="t" o:connecttype="custom" o:connectlocs="7223760,2250440;7223760,809927;0,1058690;0,2250440;7223760,2250440" o:connectangles="0,0,0,0,0"/>
                    <w10:wrap type="through" anchorx="page" anchory="page"/>
                  </v:shape>
                </w:pict>
              </mc:Fallback>
            </mc:AlternateContent>
          </w:r>
        </w:p>
      </w:sdtContent>
    </w:sdt>
    <w:p w14:paraId="577AE39B" w14:textId="77777777" w:rsidR="00EC07A1" w:rsidRPr="00EC07A1" w:rsidRDefault="00EC07A1" w:rsidP="00EC07A1"/>
    <w:p w14:paraId="207A8621" w14:textId="77777777" w:rsidR="00EC07A1" w:rsidRPr="00EC07A1" w:rsidRDefault="00EC07A1" w:rsidP="00EC07A1"/>
    <w:p w14:paraId="3E03D500" w14:textId="77777777" w:rsidR="00EC07A1" w:rsidRPr="00EC07A1" w:rsidRDefault="00EC07A1" w:rsidP="00EC07A1"/>
    <w:p w14:paraId="340F4375" w14:textId="7BE375F2" w:rsidR="00EC07A1" w:rsidRPr="00EC07A1" w:rsidRDefault="00C909EC" w:rsidP="00EC07A1">
      <w:r w:rsidRPr="00A075CB">
        <w:rPr>
          <w:noProof/>
          <w:lang w:eastAsia="en-US"/>
        </w:rPr>
        <mc:AlternateContent>
          <mc:Choice Requires="wps">
            <w:drawing>
              <wp:anchor distT="0" distB="0" distL="114300" distR="114300" simplePos="0" relativeHeight="251736064" behindDoc="0" locked="0" layoutInCell="1" allowOverlap="1" wp14:anchorId="0325FCEA" wp14:editId="63EA195E">
                <wp:simplePos x="0" y="0"/>
                <wp:positionH relativeFrom="page">
                  <wp:posOffset>594388</wp:posOffset>
                </wp:positionH>
                <wp:positionV relativeFrom="page">
                  <wp:posOffset>4791075</wp:posOffset>
                </wp:positionV>
                <wp:extent cx="6847840" cy="1267460"/>
                <wp:effectExtent l="0" t="0" r="0" b="254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840" cy="126746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cs="Tahoma"/>
                                <w:lang w:val="pt-PT"/>
                              </w:rPr>
                              <w:alias w:val="Title"/>
                              <w:tag w:val=""/>
                              <w:id w:val="-721443200"/>
                              <w:dataBinding w:prefixMappings="xmlns:ns0='http://purl.org/dc/elements/1.1/' xmlns:ns1='http://schemas.openxmlformats.org/package/2006/metadata/core-properties' " w:xpath="/ns1:coreProperties[1]/ns0:title[1]" w:storeItemID="{6C3C8BC8-F283-45AE-878A-BAB7291924A1}"/>
                              <w:text/>
                            </w:sdtPr>
                            <w:sdtEndPr/>
                            <w:sdtContent>
                              <w:p w14:paraId="13B2DB02" w14:textId="7F6046C9" w:rsidR="002E1FD4" w:rsidRPr="00F25A12" w:rsidRDefault="002E1FD4" w:rsidP="00A9578B">
                                <w:pPr>
                                  <w:pStyle w:val="IncyteTitle1"/>
                                  <w:rPr>
                                    <w:rFonts w:cs="Tahoma"/>
                                    <w:lang w:val="pt-PT"/>
                                  </w:rPr>
                                </w:pPr>
                                <w:r w:rsidRPr="00F25A12">
                                  <w:rPr>
                                    <w:rFonts w:cs="Tahoma"/>
                                    <w:lang w:val="pt-PT"/>
                                  </w:rPr>
                                  <w:t>Modelo de custeio de serviços de telecomunicação a grosso e retalho</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5FCEA" id="Rectangle 3" o:spid="_x0000_s1026" style="position:absolute;margin-left:46.8pt;margin-top:377.25pt;width:539.2pt;height:99.8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" filled="f" stroked="f">
                <v:textbox>
                  <w:txbxContent>
                    <w:sdt>
                      <w:sdtPr>
                        <w:rPr>
                          <w:rFonts w:cs="Tahoma"/>
                          <w:lang w:val="pt-PT"/>
                        </w:rPr>
                        <w:alias w:val="Title"/>
                        <w:tag w:val=""/>
                        <w:id w:val="-721443200"/>
                        <w:dataBinding w:prefixMappings="xmlns:ns0='http://purl.org/dc/elements/1.1/' xmlns:ns1='http://schemas.openxmlformats.org/package/2006/metadata/core-properties' " w:xpath="/ns1:coreProperties[1]/ns0:title[1]" w:storeItemID="{6C3C8BC8-F283-45AE-878A-BAB7291924A1}"/>
                        <w:text/>
                      </w:sdtPr>
                      <w:sdtEndPr/>
                      <w:sdtContent>
                        <w:p w14:paraId="13B2DB02" w14:textId="7F6046C9" w:rsidR="002E1FD4" w:rsidRPr="00F25A12" w:rsidRDefault="002E1FD4" w:rsidP="00A9578B">
                          <w:pPr>
                            <w:pStyle w:val="IncyteTitle1"/>
                            <w:rPr>
                              <w:rFonts w:cs="Tahoma"/>
                              <w:lang w:val="pt-PT"/>
                            </w:rPr>
                          </w:pPr>
                          <w:r w:rsidRPr="00F25A12">
                            <w:rPr>
                              <w:rFonts w:cs="Tahoma"/>
                              <w:lang w:val="pt-PT"/>
                            </w:rPr>
                            <w:t>Modelo de custeio de serviços de telecomunicação a grosso e retalho</w:t>
                          </w:r>
                        </w:p>
                      </w:sdtContent>
                    </w:sdt>
                  </w:txbxContent>
                </v:textbox>
                <w10:wrap anchorx="page" anchory="page"/>
              </v:rect>
            </w:pict>
          </mc:Fallback>
        </mc:AlternateContent>
      </w:r>
    </w:p>
    <w:p w14:paraId="489BACE8" w14:textId="5DD55148" w:rsidR="00EC07A1" w:rsidRPr="00EC07A1" w:rsidRDefault="00EC07A1" w:rsidP="00EC07A1"/>
    <w:p w14:paraId="17450C1D" w14:textId="33DFC610" w:rsidR="00EC07A1" w:rsidRPr="00EC07A1" w:rsidRDefault="00EC07A1" w:rsidP="00EC07A1"/>
    <w:p w14:paraId="4EEE611E" w14:textId="77777777" w:rsidR="00EC07A1" w:rsidRPr="00EC07A1" w:rsidRDefault="00EC07A1" w:rsidP="00EC07A1"/>
    <w:p w14:paraId="2A1098A9" w14:textId="77777777" w:rsidR="00EC07A1" w:rsidRPr="00EC07A1" w:rsidRDefault="00EC07A1" w:rsidP="00EC07A1"/>
    <w:p w14:paraId="59BD6049" w14:textId="2E4A852A" w:rsidR="00EC07A1" w:rsidRPr="00EC07A1" w:rsidRDefault="00C909EC" w:rsidP="00EC07A1">
      <w:r w:rsidRPr="00A075CB">
        <w:rPr>
          <w:noProof/>
          <w:lang w:eastAsia="en-US"/>
        </w:rPr>
        <mc:AlternateContent>
          <mc:Choice Requires="wps">
            <w:drawing>
              <wp:anchor distT="0" distB="0" distL="114300" distR="114300" simplePos="0" relativeHeight="251738112" behindDoc="0" locked="0" layoutInCell="1" allowOverlap="1" wp14:anchorId="1CFA2726" wp14:editId="4ED2B803">
                <wp:simplePos x="0" y="0"/>
                <wp:positionH relativeFrom="page">
                  <wp:posOffset>596348</wp:posOffset>
                </wp:positionH>
                <wp:positionV relativeFrom="page">
                  <wp:posOffset>6058894</wp:posOffset>
                </wp:positionV>
                <wp:extent cx="6830695" cy="1256306"/>
                <wp:effectExtent l="0" t="0" r="0" b="0"/>
                <wp:wrapNone/>
                <wp:docPr id="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256306"/>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491446" w14:textId="0FEA8557" w:rsidR="002E1FD4" w:rsidRPr="00F25A12" w:rsidRDefault="003C740B" w:rsidP="00A9578B">
                            <w:pPr>
                              <w:pStyle w:val="IncyteTitle2"/>
                              <w:rPr>
                                <w:lang w:val="pt-PT"/>
                              </w:rPr>
                            </w:pPr>
                            <w:sdt>
                              <w:sdtPr>
                                <w:rPr>
                                  <w:sz w:val="40"/>
                                  <w:szCs w:val="40"/>
                                  <w:lang w:val="pt-PT"/>
                                </w:rPr>
                                <w:alias w:val="Abstract"/>
                                <w:id w:val="-288357500"/>
                                <w:dataBinding w:prefixMappings="xmlns:ns0='http://schemas.microsoft.com/office/2006/coverPageProps' " w:xpath="/ns0:CoverPageProperties[1]/ns0:Abstract[1]" w:storeItemID="{55AF091B-3C7A-41E3-B477-F2FDAA23CFDA}"/>
                                <w:text/>
                              </w:sdtPr>
                              <w:sdtEndPr/>
                              <w:sdtContent>
                                <w:r w:rsidR="002E1FD4" w:rsidRPr="00F25A12">
                                  <w:rPr>
                                    <w:sz w:val="40"/>
                                    <w:szCs w:val="40"/>
                                    <w:lang w:val="pt-PT"/>
                                  </w:rPr>
                                  <w:t xml:space="preserve">Relatório </w:t>
                                </w:r>
                                <w:r w:rsidR="004C341C">
                                  <w:rPr>
                                    <w:sz w:val="40"/>
                                    <w:szCs w:val="40"/>
                                    <w:lang w:val="pt-PT"/>
                                  </w:rPr>
                                  <w:t>sobre modelo de custeio</w:t>
                                </w:r>
                                <w:r w:rsidR="002E1FD4" w:rsidRPr="00F25A12">
                                  <w:rPr>
                                    <w:sz w:val="40"/>
                                    <w:szCs w:val="40"/>
                                    <w:lang w:val="pt-PT"/>
                                  </w:rPr>
                                  <w:t xml:space="preserve"> para a Autoridade Reguladora Nacional das Tecnologias de Informação e Comunicação da Guiné Bissau</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A2726" id="_x0000_s1027" style="position:absolute;margin-left:46.95pt;margin-top:477.1pt;width:537.85pt;height:98.9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" filled="f" stroked="f">
                <v:textbox>
                  <w:txbxContent>
                    <w:p w14:paraId="47491446" w14:textId="0FEA8557" w:rsidR="002E1FD4" w:rsidRPr="00F25A12" w:rsidRDefault="00D404F0" w:rsidP="00A9578B">
                      <w:pPr>
                        <w:pStyle w:val="IncyteTitle2"/>
                        <w:rPr>
                          <w:lang w:val="pt-PT"/>
                        </w:rPr>
                      </w:pPr>
                      <w:sdt>
                        <w:sdtPr>
                          <w:rPr>
                            <w:sz w:val="40"/>
                            <w:szCs w:val="40"/>
                            <w:lang w:val="pt-PT"/>
                          </w:rPr>
                          <w:alias w:val="Abstract"/>
                          <w:id w:val="-288357500"/>
                          <w:dataBinding w:prefixMappings="xmlns:ns0='http://schemas.microsoft.com/office/2006/coverPageProps' " w:xpath="/ns0:CoverPageProperties[1]/ns0:Abstract[1]" w:storeItemID="{55AF091B-3C7A-41E3-B477-F2FDAA23CFDA}"/>
                          <w:text/>
                        </w:sdtPr>
                        <w:sdtEndPr/>
                        <w:sdtContent>
                          <w:r w:rsidR="002E1FD4" w:rsidRPr="00F25A12">
                            <w:rPr>
                              <w:sz w:val="40"/>
                              <w:szCs w:val="40"/>
                              <w:lang w:val="pt-PT"/>
                            </w:rPr>
                            <w:t xml:space="preserve">Relatório </w:t>
                          </w:r>
                          <w:r w:rsidR="004C341C">
                            <w:rPr>
                              <w:sz w:val="40"/>
                              <w:szCs w:val="40"/>
                              <w:lang w:val="pt-PT"/>
                            </w:rPr>
                            <w:t>sobre modelo de custeio</w:t>
                          </w:r>
                          <w:r w:rsidR="002E1FD4" w:rsidRPr="00F25A12">
                            <w:rPr>
                              <w:sz w:val="40"/>
                              <w:szCs w:val="40"/>
                              <w:lang w:val="pt-PT"/>
                            </w:rPr>
                            <w:t xml:space="preserve"> para a Autoridade Reguladora Nacional das Tecnologias de Informação e Comunicação da Guiné Bissau</w:t>
                          </w:r>
                        </w:sdtContent>
                      </w:sdt>
                    </w:p>
                  </w:txbxContent>
                </v:textbox>
                <w10:wrap anchorx="page" anchory="page"/>
              </v:rect>
            </w:pict>
          </mc:Fallback>
        </mc:AlternateContent>
      </w:r>
    </w:p>
    <w:p w14:paraId="5123C901" w14:textId="1431F270" w:rsidR="00EC07A1" w:rsidRPr="00EC07A1" w:rsidRDefault="00EC07A1" w:rsidP="00EC07A1"/>
    <w:p w14:paraId="64E30833" w14:textId="77777777" w:rsidR="00EC07A1" w:rsidRPr="00EC07A1" w:rsidRDefault="00EC07A1" w:rsidP="00EC07A1"/>
    <w:p w14:paraId="74BE6863" w14:textId="09B9B824" w:rsidR="00EC07A1" w:rsidRPr="00EC07A1" w:rsidRDefault="00300EC0" w:rsidP="00EC07A1">
      <w:r w:rsidRPr="00A075CB">
        <w:rPr>
          <w:noProof/>
          <w:lang w:eastAsia="en-US"/>
        </w:rPr>
        <mc:AlternateContent>
          <mc:Choice Requires="wps">
            <w:drawing>
              <wp:anchor distT="0" distB="0" distL="114300" distR="114300" simplePos="0" relativeHeight="251740160" behindDoc="0" locked="0" layoutInCell="1" allowOverlap="1" wp14:anchorId="3736A674" wp14:editId="469C87CF">
                <wp:simplePos x="0" y="0"/>
                <wp:positionH relativeFrom="page">
                  <wp:posOffset>-101600</wp:posOffset>
                </wp:positionH>
                <wp:positionV relativeFrom="page">
                  <wp:posOffset>5943600</wp:posOffset>
                </wp:positionV>
                <wp:extent cx="7793990" cy="19685"/>
                <wp:effectExtent l="25400" t="25400" r="3810" b="31115"/>
                <wp:wrapNone/>
                <wp:docPr id="4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93990" cy="19685"/>
                        </a:xfrm>
                        <a:prstGeom prst="straightConnector1">
                          <a:avLst/>
                        </a:prstGeom>
                        <a:noFill/>
                        <a:ln w="50800">
                          <a:solidFill>
                            <a:schemeClr val="accent3"/>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6B2943" id="_x0000_t32" coordsize="21600,21600" o:spt="32" o:oned="t" path="m,l21600,21600e" filled="f">
                <v:path arrowok="t" fillok="f" o:connecttype="none"/>
                <o:lock v:ext="edit" shapetype="t"/>
              </v:shapetype>
              <v:shape id="AutoShape 41" o:spid="_x0000_s1026" type="#_x0000_t32" style="position:absolute;margin-left:-8pt;margin-top:468pt;width:613.7pt;height:1.55pt;flip:y;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" strokecolor="#ef3c39 [3206]" strokeweight="4pt">
                <w10:wrap anchorx="page" anchory="page"/>
              </v:shape>
            </w:pict>
          </mc:Fallback>
        </mc:AlternateContent>
      </w:r>
    </w:p>
    <w:p w14:paraId="47B79254" w14:textId="77777777" w:rsidR="00EC07A1" w:rsidRPr="00EC07A1" w:rsidRDefault="00EC07A1" w:rsidP="00EC07A1"/>
    <w:p w14:paraId="68757DCD" w14:textId="77777777" w:rsidR="00EC07A1" w:rsidRPr="00EC07A1" w:rsidRDefault="00EC07A1" w:rsidP="00EC07A1"/>
    <w:p w14:paraId="7E6800C7" w14:textId="77777777" w:rsidR="00EC07A1" w:rsidRPr="00EC07A1" w:rsidRDefault="00EC07A1" w:rsidP="00EC07A1"/>
    <w:p w14:paraId="76F2D44A" w14:textId="77777777" w:rsidR="00EC07A1" w:rsidRPr="00EC07A1" w:rsidRDefault="00EC07A1" w:rsidP="00EC07A1"/>
    <w:p w14:paraId="5CC720C7" w14:textId="77777777" w:rsidR="00EC07A1" w:rsidRPr="00EC07A1" w:rsidRDefault="00EC07A1" w:rsidP="00EC07A1"/>
    <w:p w14:paraId="5E4162E9" w14:textId="77777777" w:rsidR="00EC07A1" w:rsidRPr="00EC07A1" w:rsidRDefault="00EC07A1" w:rsidP="00EC07A1"/>
    <w:p w14:paraId="0D7C5EB6" w14:textId="77777777" w:rsidR="00EC07A1" w:rsidRPr="00EC07A1" w:rsidRDefault="00300EC0" w:rsidP="00EC07A1">
      <w:r w:rsidRPr="00A075CB">
        <w:rPr>
          <w:noProof/>
          <w:lang w:eastAsia="en-US"/>
        </w:rPr>
        <mc:AlternateContent>
          <mc:Choice Requires="wps">
            <w:drawing>
              <wp:anchor distT="0" distB="0" distL="114300" distR="114300" simplePos="0" relativeHeight="251739136" behindDoc="0" locked="0" layoutInCell="1" allowOverlap="1" wp14:anchorId="7E12D79A" wp14:editId="7B8319F2">
                <wp:simplePos x="0" y="0"/>
                <wp:positionH relativeFrom="page">
                  <wp:posOffset>4533900</wp:posOffset>
                </wp:positionH>
                <wp:positionV relativeFrom="page">
                  <wp:posOffset>7772400</wp:posOffset>
                </wp:positionV>
                <wp:extent cx="2796540" cy="685800"/>
                <wp:effectExtent l="0" t="0" r="0" b="0"/>
                <wp:wrapSquare wrapText="bothSides"/>
                <wp:docPr id="65" name="Text Box 65"/>
                <wp:cNvGraphicFramePr/>
                <a:graphic xmlns:a="http://schemas.openxmlformats.org/drawingml/2006/main">
                  <a:graphicData uri="http://schemas.microsoft.com/office/word/2010/wordprocessingShape">
                    <wps:wsp>
                      <wps:cNvSpPr txBox="1"/>
                      <wps:spPr>
                        <a:xfrm>
                          <a:off x="0" y="0"/>
                          <a:ext cx="2796540" cy="6858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7AC266" w14:textId="77777777" w:rsidR="002E1FD4" w:rsidRPr="00F25A12" w:rsidRDefault="002E1FD4" w:rsidP="00A075CB">
                            <w:pPr>
                              <w:rPr>
                                <w:lang w:val="pt-PT"/>
                              </w:rPr>
                            </w:pPr>
                          </w:p>
                          <w:p w14:paraId="5780A702" w14:textId="69CE5547" w:rsidR="002E1FD4" w:rsidRPr="00F25A12" w:rsidRDefault="00D404F0" w:rsidP="00912CE5">
                            <w:pPr>
                              <w:pStyle w:val="IncyteTitle3"/>
                              <w:rPr>
                                <w:lang w:val="pt-PT"/>
                              </w:rPr>
                            </w:pPr>
                            <w:r>
                              <w:rPr>
                                <w:lang w:val="pt-PT"/>
                              </w:rPr>
                              <w:t>05</w:t>
                            </w:r>
                            <w:r w:rsidR="002E1FD4" w:rsidRPr="00F25A12">
                              <w:rPr>
                                <w:lang w:val="pt-PT"/>
                              </w:rPr>
                              <w:t xml:space="preserve"> </w:t>
                            </w:r>
                            <w:r w:rsidR="002E1FD4">
                              <w:rPr>
                                <w:lang w:val="pt-PT"/>
                              </w:rPr>
                              <w:t xml:space="preserve">de </w:t>
                            </w:r>
                            <w:r w:rsidR="004C341C">
                              <w:rPr>
                                <w:lang w:val="pt-PT"/>
                              </w:rPr>
                              <w:t>ju</w:t>
                            </w:r>
                            <w:r>
                              <w:rPr>
                                <w:lang w:val="pt-PT"/>
                              </w:rPr>
                              <w:t>l</w:t>
                            </w:r>
                            <w:r w:rsidR="004C341C">
                              <w:rPr>
                                <w:lang w:val="pt-PT"/>
                              </w:rPr>
                              <w:t>ho</w:t>
                            </w:r>
                            <w:r w:rsidR="002E1FD4" w:rsidRPr="00F25A12">
                              <w:rPr>
                                <w:lang w:val="pt-PT"/>
                              </w:rPr>
                              <w:t xml:space="preserve"> 202</w:t>
                            </w:r>
                            <w:r w:rsidR="004C341C">
                              <w:rPr>
                                <w:lang w:val="pt-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12D79A" id="_x0000_t202" coordsize="21600,21600" o:spt="202" path="m,l,21600r21600,l21600,xe">
                <v:stroke joinstyle="miter"/>
                <v:path gradientshapeok="t" o:connecttype="rect"/>
              </v:shapetype>
              <v:shape id="Text Box 65" o:spid="_x0000_s1028" type="#_x0000_t202" style="position:absolute;margin-left:357pt;margin-top:612pt;width:220.2pt;height:54pt;z-index:2517391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" filled="f" stroked="f">
                <v:textbox>
                  <w:txbxContent>
                    <w:p w14:paraId="437AC266" w14:textId="77777777" w:rsidR="002E1FD4" w:rsidRPr="00F25A12" w:rsidRDefault="002E1FD4" w:rsidP="00A075CB">
                      <w:pPr>
                        <w:rPr>
                          <w:lang w:val="pt-PT"/>
                        </w:rPr>
                      </w:pPr>
                    </w:p>
                    <w:p w14:paraId="5780A702" w14:textId="69CE5547" w:rsidR="002E1FD4" w:rsidRPr="00F25A12" w:rsidRDefault="00D404F0" w:rsidP="00912CE5">
                      <w:pPr>
                        <w:pStyle w:val="IncyteTitle3"/>
                        <w:rPr>
                          <w:lang w:val="pt-PT"/>
                        </w:rPr>
                      </w:pPr>
                      <w:r>
                        <w:rPr>
                          <w:lang w:val="pt-PT"/>
                        </w:rPr>
                        <w:t>05</w:t>
                      </w:r>
                      <w:r w:rsidR="002E1FD4" w:rsidRPr="00F25A12">
                        <w:rPr>
                          <w:lang w:val="pt-PT"/>
                        </w:rPr>
                        <w:t xml:space="preserve"> </w:t>
                      </w:r>
                      <w:r w:rsidR="002E1FD4">
                        <w:rPr>
                          <w:lang w:val="pt-PT"/>
                        </w:rPr>
                        <w:t xml:space="preserve">de </w:t>
                      </w:r>
                      <w:r w:rsidR="004C341C">
                        <w:rPr>
                          <w:lang w:val="pt-PT"/>
                        </w:rPr>
                        <w:t>ju</w:t>
                      </w:r>
                      <w:r>
                        <w:rPr>
                          <w:lang w:val="pt-PT"/>
                        </w:rPr>
                        <w:t>l</w:t>
                      </w:r>
                      <w:r w:rsidR="004C341C">
                        <w:rPr>
                          <w:lang w:val="pt-PT"/>
                        </w:rPr>
                        <w:t>ho</w:t>
                      </w:r>
                      <w:r w:rsidR="002E1FD4" w:rsidRPr="00F25A12">
                        <w:rPr>
                          <w:lang w:val="pt-PT"/>
                        </w:rPr>
                        <w:t xml:space="preserve"> 202</w:t>
                      </w:r>
                      <w:r w:rsidR="004C341C">
                        <w:rPr>
                          <w:lang w:val="pt-PT"/>
                        </w:rPr>
                        <w:t>1</w:t>
                      </w:r>
                    </w:p>
                  </w:txbxContent>
                </v:textbox>
                <w10:wrap type="square" anchorx="page" anchory="page"/>
              </v:shape>
            </w:pict>
          </mc:Fallback>
        </mc:AlternateContent>
      </w:r>
    </w:p>
    <w:p w14:paraId="774A2C54" w14:textId="77777777" w:rsidR="00EC07A1" w:rsidRPr="00EC07A1" w:rsidRDefault="00EC07A1" w:rsidP="00EC07A1"/>
    <w:p w14:paraId="739385E7" w14:textId="77777777" w:rsidR="00EC07A1" w:rsidRPr="00EC07A1" w:rsidRDefault="00EC07A1" w:rsidP="00EC07A1"/>
    <w:p w14:paraId="7D84E4A0" w14:textId="77777777" w:rsidR="00EC07A1" w:rsidRPr="00EC07A1" w:rsidRDefault="00EC07A1" w:rsidP="00EC07A1"/>
    <w:p w14:paraId="6E43DC1D" w14:textId="77777777" w:rsidR="00EC07A1" w:rsidRDefault="00EC07A1" w:rsidP="00EC07A1"/>
    <w:p w14:paraId="3C602678" w14:textId="63230E1F" w:rsidR="007C6960" w:rsidRPr="00EC07A1" w:rsidRDefault="00351041" w:rsidP="00EC07A1">
      <w:pPr>
        <w:tabs>
          <w:tab w:val="left" w:pos="3027"/>
        </w:tabs>
      </w:pPr>
      <w:r w:rsidRPr="00A075CB">
        <w:rPr>
          <w:noProof/>
          <w:lang w:eastAsia="en-US"/>
        </w:rPr>
        <mc:AlternateContent>
          <mc:Choice Requires="wps">
            <w:drawing>
              <wp:anchor distT="36576" distB="36576" distL="36576" distR="36576" simplePos="0" relativeHeight="251737088" behindDoc="0" locked="0" layoutInCell="1" allowOverlap="1" wp14:anchorId="01A07218" wp14:editId="57497015">
                <wp:simplePos x="0" y="0"/>
                <wp:positionH relativeFrom="page">
                  <wp:posOffset>504521</wp:posOffset>
                </wp:positionH>
                <wp:positionV relativeFrom="page">
                  <wp:posOffset>9474725</wp:posOffset>
                </wp:positionV>
                <wp:extent cx="6282690" cy="457200"/>
                <wp:effectExtent l="0" t="0" r="0" b="0"/>
                <wp:wrapThrough wrapText="bothSides">
                  <wp:wrapPolygon edited="0">
                    <wp:start x="0" y="0"/>
                    <wp:lineTo x="0" y="20400"/>
                    <wp:lineTo x="21482" y="20400"/>
                    <wp:lineTo x="21482"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45720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212120"/>
                              </a:solidFill>
                              <a:miter lim="800000"/>
                              <a:headEnd/>
                              <a:tailEnd/>
                            </a14:hiddenLine>
                          </a:ext>
                        </a:extLst>
                      </wps:spPr>
                      <wps:txbx>
                        <w:txbxContent>
                          <w:p w14:paraId="2CA1A4EA" w14:textId="77777777" w:rsidR="002E1FD4" w:rsidRPr="00351041" w:rsidRDefault="002E1FD4" w:rsidP="00A075CB">
                            <w:pPr>
                              <w:jc w:val="center"/>
                              <w:rPr>
                                <w:b/>
                                <w:bCs/>
                                <w:color w:val="456E7F" w:themeColor="accent2" w:themeShade="BF"/>
                                <w:w w:val="90"/>
                              </w:rPr>
                            </w:pPr>
                            <w:r w:rsidRPr="00351041">
                              <w:rPr>
                                <w:b/>
                                <w:bCs/>
                                <w:color w:val="456E7F" w:themeColor="accent2" w:themeShade="BF"/>
                                <w:w w:val="90"/>
                              </w:rPr>
                              <w:t>WWW.INCYTECONSULTING.COM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07218" id="Text Box 48" o:spid="_x0000_s1029" type="#_x0000_t202" style="position:absolute;margin-left:39.75pt;margin-top:746.05pt;width:494.7pt;height:36pt;z-index:2517370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" filled="f" stroked="f">
                <v:textbox inset="2.88pt,2.88pt,2.88pt,2.88pt">
                  <w:txbxContent>
                    <w:p w14:paraId="2CA1A4EA" w14:textId="77777777" w:rsidR="002E1FD4" w:rsidRPr="00351041" w:rsidRDefault="002E1FD4" w:rsidP="00A075CB">
                      <w:pPr>
                        <w:jc w:val="center"/>
                        <w:rPr>
                          <w:b/>
                          <w:bCs/>
                          <w:color w:val="456E7F" w:themeColor="accent2" w:themeShade="BF"/>
                          <w:w w:val="90"/>
                        </w:rPr>
                      </w:pPr>
                      <w:r w:rsidRPr="00351041">
                        <w:rPr>
                          <w:b/>
                          <w:bCs/>
                          <w:color w:val="456E7F" w:themeColor="accent2" w:themeShade="BF"/>
                          <w:w w:val="90"/>
                        </w:rPr>
                        <w:t>WWW.INCYTECONSULTING.COM</w:t>
                      </w:r>
                    </w:p>
                  </w:txbxContent>
                </v:textbox>
                <w10:wrap type="through" anchorx="page" anchory="page"/>
              </v:shape>
            </w:pict>
          </mc:Fallback>
        </mc:AlternateContent>
      </w:r>
      <w:r w:rsidR="00300EC0" w:rsidRPr="00A075CB">
        <w:rPr>
          <w:noProof/>
          <w:lang w:eastAsia="en-US"/>
        </w:rPr>
        <w:drawing>
          <wp:anchor distT="0" distB="0" distL="114300" distR="114300" simplePos="0" relativeHeight="251741184" behindDoc="0" locked="0" layoutInCell="1" allowOverlap="1" wp14:anchorId="2143EFA0" wp14:editId="28AE4617">
            <wp:simplePos x="0" y="0"/>
            <wp:positionH relativeFrom="page">
              <wp:posOffset>0</wp:posOffset>
            </wp:positionH>
            <wp:positionV relativeFrom="page">
              <wp:posOffset>9786620</wp:posOffset>
            </wp:positionV>
            <wp:extent cx="7552055" cy="956945"/>
            <wp:effectExtent l="0" t="0" r="0" b="8255"/>
            <wp:wrapThrough wrapText="bothSides">
              <wp:wrapPolygon edited="0">
                <wp:start x="0" y="0"/>
                <wp:lineTo x="0" y="21213"/>
                <wp:lineTo x="21504" y="21213"/>
                <wp:lineTo x="21504" y="0"/>
                <wp:lineTo x="0" y="0"/>
              </wp:wrapPolygon>
            </wp:wrapThrough>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172" r="2271"/>
                    <a:stretch/>
                  </pic:blipFill>
                  <pic:spPr bwMode="auto">
                    <a:xfrm>
                      <a:off x="0" y="0"/>
                      <a:ext cx="7552055" cy="956945"/>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EC07A1">
        <w:tab/>
      </w:r>
    </w:p>
    <w:p w14:paraId="4FB08CA7" w14:textId="77777777" w:rsidR="00D35370" w:rsidRDefault="00D35370" w:rsidP="000B3AE0">
      <w:pPr>
        <w:pStyle w:val="IncyteTitle3"/>
        <w:sectPr w:rsidR="00D35370" w:rsidSect="00EC07A1">
          <w:headerReference w:type="even" r:id="rId11"/>
          <w:headerReference w:type="default" r:id="rId12"/>
          <w:footerReference w:type="even" r:id="rId13"/>
          <w:headerReference w:type="first" r:id="rId14"/>
          <w:pgSz w:w="11900" w:h="16840"/>
          <w:pgMar w:top="0" w:right="0" w:bottom="0" w:left="0" w:header="0" w:footer="0" w:gutter="0"/>
          <w:pgNumType w:fmt="lowerRoman" w:start="1"/>
          <w:cols w:space="720"/>
          <w:docGrid w:linePitch="326"/>
        </w:sectPr>
      </w:pPr>
    </w:p>
    <w:p w14:paraId="4310D250" w14:textId="77777777" w:rsidR="0002275F" w:rsidRDefault="0002275F" w:rsidP="000B3AE0">
      <w:pPr>
        <w:pStyle w:val="TOCHeading"/>
      </w:pPr>
    </w:p>
    <w:bookmarkStart w:id="0" w:name="_Toc232076816" w:displacedByCustomXml="next"/>
    <w:bookmarkStart w:id="1" w:name="_Toc284868874" w:displacedByCustomXml="next"/>
    <w:bookmarkStart w:id="2" w:name="_Toc304796210" w:displacedByCustomXml="next"/>
    <w:bookmarkStart w:id="3" w:name="_Toc306041279" w:displacedByCustomXml="next"/>
    <w:bookmarkStart w:id="4" w:name="_Toc312839010" w:displacedByCustomXml="next"/>
    <w:sdt>
      <w:sdtPr>
        <w:rPr>
          <w:rFonts w:ascii="Garamond" w:hAnsi="Garamond"/>
          <w:b w:val="0"/>
          <w:color w:val="auto"/>
          <w:sz w:val="24"/>
          <w:szCs w:val="20"/>
        </w:rPr>
        <w:id w:val="-1988388712"/>
        <w:docPartObj>
          <w:docPartGallery w:val="Table of Contents"/>
          <w:docPartUnique/>
        </w:docPartObj>
      </w:sdtPr>
      <w:sdtEndPr>
        <w:rPr>
          <w:rFonts w:ascii="Tahoma" w:hAnsi="Tahoma"/>
          <w:noProof/>
          <w:sz w:val="22"/>
          <w:szCs w:val="22"/>
        </w:rPr>
      </w:sdtEndPr>
      <w:sdtContent>
        <w:p w14:paraId="622CE720" w14:textId="5CE7235C" w:rsidR="00995ABD" w:rsidRPr="003B4226" w:rsidRDefault="00351041" w:rsidP="00351041">
          <w:pPr>
            <w:pStyle w:val="TOCHeading"/>
            <w:rPr>
              <w:color w:val="auto"/>
              <w:lang w:val="pt-PT"/>
            </w:rPr>
          </w:pPr>
          <w:r w:rsidRPr="003B4226">
            <w:rPr>
              <w:lang w:val="pt-PT"/>
            </w:rPr>
            <w:t>Índice</w:t>
          </w:r>
        </w:p>
        <w:p w14:paraId="1EF53142" w14:textId="5338F1C1" w:rsidR="003B65AA" w:rsidRDefault="008E4A71">
          <w:pPr>
            <w:pStyle w:val="TOC1"/>
            <w:rPr>
              <w:rFonts w:asciiTheme="minorHAnsi" w:hAnsiTheme="minorHAnsi" w:cstheme="minorBidi"/>
              <w:b w:val="0"/>
              <w:bCs w:val="0"/>
              <w:color w:val="auto"/>
              <w:szCs w:val="22"/>
              <w:lang w:val="pt-PT" w:eastAsia="pt-PT"/>
            </w:rPr>
          </w:pPr>
          <w:r>
            <w:rPr>
              <w:rFonts w:ascii="Hoefler Text" w:hAnsi="Hoefler Text"/>
            </w:rPr>
            <w:fldChar w:fldCharType="begin"/>
          </w:r>
          <w:r w:rsidRPr="003B4226">
            <w:rPr>
              <w:rFonts w:ascii="Hoefler Text" w:hAnsi="Hoefler Text"/>
              <w:lang w:val="pt-PT"/>
            </w:rPr>
            <w:instrText xml:space="preserve"> TOC \o "1-3" </w:instrText>
          </w:r>
          <w:r>
            <w:rPr>
              <w:rFonts w:ascii="Hoefler Text" w:hAnsi="Hoefler Text"/>
            </w:rPr>
            <w:fldChar w:fldCharType="separate"/>
          </w:r>
          <w:r w:rsidR="003B65AA" w:rsidRPr="005F261F">
            <w:rPr>
              <w:lang w:val="pt-PT"/>
            </w:rPr>
            <w:t>1</w:t>
          </w:r>
          <w:r w:rsidR="003B65AA">
            <w:rPr>
              <w:rFonts w:asciiTheme="minorHAnsi" w:hAnsiTheme="minorHAnsi" w:cstheme="minorBidi"/>
              <w:b w:val="0"/>
              <w:bCs w:val="0"/>
              <w:color w:val="auto"/>
              <w:szCs w:val="22"/>
              <w:lang w:val="pt-PT" w:eastAsia="pt-PT"/>
            </w:rPr>
            <w:tab/>
          </w:r>
          <w:r w:rsidR="003B65AA" w:rsidRPr="005F261F">
            <w:rPr>
              <w:lang w:val="pt-PT"/>
            </w:rPr>
            <w:t>introdução</w:t>
          </w:r>
          <w:r w:rsidR="003B65AA" w:rsidRPr="003B65AA">
            <w:rPr>
              <w:lang w:val="pt-PT"/>
            </w:rPr>
            <w:tab/>
          </w:r>
          <w:r w:rsidR="003B65AA">
            <w:fldChar w:fldCharType="begin"/>
          </w:r>
          <w:r w:rsidR="003B65AA" w:rsidRPr="003B65AA">
            <w:rPr>
              <w:lang w:val="pt-PT"/>
            </w:rPr>
            <w:instrText xml:space="preserve"> PAGEREF _Toc75349727 \h </w:instrText>
          </w:r>
          <w:r w:rsidR="003B65AA">
            <w:fldChar w:fldCharType="separate"/>
          </w:r>
          <w:r w:rsidR="00D404F0">
            <w:rPr>
              <w:lang w:val="pt-PT"/>
            </w:rPr>
            <w:t>3</w:t>
          </w:r>
          <w:r w:rsidR="003B65AA">
            <w:fldChar w:fldCharType="end"/>
          </w:r>
        </w:p>
        <w:p w14:paraId="3F6F686D" w14:textId="5DA5A7A8" w:rsidR="003B65AA" w:rsidRDefault="003B65AA">
          <w:pPr>
            <w:pStyle w:val="TOC1"/>
            <w:rPr>
              <w:rFonts w:asciiTheme="minorHAnsi" w:hAnsiTheme="minorHAnsi" w:cstheme="minorBidi"/>
              <w:b w:val="0"/>
              <w:bCs w:val="0"/>
              <w:color w:val="auto"/>
              <w:szCs w:val="22"/>
              <w:lang w:val="pt-PT" w:eastAsia="pt-PT"/>
            </w:rPr>
          </w:pPr>
          <w:r w:rsidRPr="005F261F">
            <w:rPr>
              <w:lang w:val="pt-PT"/>
            </w:rPr>
            <w:t>2</w:t>
          </w:r>
          <w:r>
            <w:rPr>
              <w:rFonts w:asciiTheme="minorHAnsi" w:hAnsiTheme="minorHAnsi" w:cstheme="minorBidi"/>
              <w:b w:val="0"/>
              <w:bCs w:val="0"/>
              <w:color w:val="auto"/>
              <w:szCs w:val="22"/>
              <w:lang w:val="pt-PT" w:eastAsia="pt-PT"/>
            </w:rPr>
            <w:tab/>
          </w:r>
          <w:r w:rsidRPr="005F261F">
            <w:rPr>
              <w:lang w:val="pt-PT"/>
            </w:rPr>
            <w:t>Modelo de custeio de redes móveis</w:t>
          </w:r>
          <w:r w:rsidRPr="003B65AA">
            <w:rPr>
              <w:lang w:val="pt-PT"/>
            </w:rPr>
            <w:tab/>
          </w:r>
          <w:r>
            <w:fldChar w:fldCharType="begin"/>
          </w:r>
          <w:r w:rsidRPr="003B65AA">
            <w:rPr>
              <w:lang w:val="pt-PT"/>
            </w:rPr>
            <w:instrText xml:space="preserve"> PAGEREF _Toc75349728 \h </w:instrText>
          </w:r>
          <w:r>
            <w:fldChar w:fldCharType="separate"/>
          </w:r>
          <w:r w:rsidR="00D404F0">
            <w:rPr>
              <w:lang w:val="pt-PT"/>
            </w:rPr>
            <w:t>4</w:t>
          </w:r>
          <w:r>
            <w:fldChar w:fldCharType="end"/>
          </w:r>
        </w:p>
        <w:p w14:paraId="3005E0F6" w14:textId="09EFC1AB" w:rsidR="003B65AA" w:rsidRDefault="003B65AA">
          <w:pPr>
            <w:pStyle w:val="TOC2"/>
            <w:rPr>
              <w:rFonts w:asciiTheme="minorHAnsi" w:hAnsiTheme="minorHAnsi" w:cstheme="minorBidi"/>
              <w:lang w:val="pt-PT" w:eastAsia="pt-PT"/>
            </w:rPr>
          </w:pPr>
          <w:r w:rsidRPr="005F261F">
            <w:rPr>
              <w:lang w:val="pt-PT"/>
            </w:rPr>
            <w:t>2.1</w:t>
          </w:r>
          <w:r>
            <w:rPr>
              <w:rFonts w:asciiTheme="minorHAnsi" w:hAnsiTheme="minorHAnsi" w:cstheme="minorBidi"/>
              <w:lang w:val="pt-PT" w:eastAsia="pt-PT"/>
            </w:rPr>
            <w:tab/>
          </w:r>
          <w:r w:rsidRPr="005F261F">
            <w:rPr>
              <w:lang w:val="pt-PT"/>
            </w:rPr>
            <w:t>Âmbito e objetivo</w:t>
          </w:r>
          <w:r w:rsidRPr="003B65AA">
            <w:rPr>
              <w:lang w:val="pt-PT"/>
            </w:rPr>
            <w:tab/>
          </w:r>
          <w:r>
            <w:fldChar w:fldCharType="begin"/>
          </w:r>
          <w:r w:rsidRPr="003B65AA">
            <w:rPr>
              <w:lang w:val="pt-PT"/>
            </w:rPr>
            <w:instrText xml:space="preserve"> PAGEREF _Toc75349729 \h </w:instrText>
          </w:r>
          <w:r>
            <w:fldChar w:fldCharType="separate"/>
          </w:r>
          <w:r w:rsidR="00D404F0">
            <w:rPr>
              <w:lang w:val="pt-PT"/>
            </w:rPr>
            <w:t>4</w:t>
          </w:r>
          <w:r>
            <w:fldChar w:fldCharType="end"/>
          </w:r>
        </w:p>
        <w:p w14:paraId="6C93FC28" w14:textId="78005986" w:rsidR="003B65AA" w:rsidRDefault="003B65AA">
          <w:pPr>
            <w:pStyle w:val="TOC2"/>
            <w:rPr>
              <w:rFonts w:asciiTheme="minorHAnsi" w:hAnsiTheme="minorHAnsi" w:cstheme="minorBidi"/>
              <w:lang w:val="pt-PT" w:eastAsia="pt-PT"/>
            </w:rPr>
          </w:pPr>
          <w:r w:rsidRPr="005F261F">
            <w:rPr>
              <w:lang w:val="pt-PT"/>
            </w:rPr>
            <w:t>2.2</w:t>
          </w:r>
          <w:r>
            <w:rPr>
              <w:rFonts w:asciiTheme="minorHAnsi" w:hAnsiTheme="minorHAnsi" w:cstheme="minorBidi"/>
              <w:lang w:val="pt-PT" w:eastAsia="pt-PT"/>
            </w:rPr>
            <w:tab/>
          </w:r>
          <w:r w:rsidRPr="005F261F">
            <w:rPr>
              <w:lang w:val="pt-PT"/>
            </w:rPr>
            <w:t>Abordagem conceptual</w:t>
          </w:r>
          <w:r w:rsidRPr="003B65AA">
            <w:rPr>
              <w:lang w:val="pt-PT"/>
            </w:rPr>
            <w:tab/>
          </w:r>
          <w:r>
            <w:fldChar w:fldCharType="begin"/>
          </w:r>
          <w:r w:rsidRPr="003B65AA">
            <w:rPr>
              <w:lang w:val="pt-PT"/>
            </w:rPr>
            <w:instrText xml:space="preserve"> PAGEREF _Toc75349730 \h </w:instrText>
          </w:r>
          <w:r>
            <w:fldChar w:fldCharType="separate"/>
          </w:r>
          <w:r w:rsidR="00D404F0">
            <w:rPr>
              <w:lang w:val="pt-PT"/>
            </w:rPr>
            <w:t>4</w:t>
          </w:r>
          <w:r>
            <w:fldChar w:fldCharType="end"/>
          </w:r>
        </w:p>
        <w:p w14:paraId="043D6C9E" w14:textId="3FCF98BA" w:rsidR="003B65AA" w:rsidRDefault="003B65AA">
          <w:pPr>
            <w:pStyle w:val="TOC2"/>
            <w:rPr>
              <w:rFonts w:asciiTheme="minorHAnsi" w:hAnsiTheme="minorHAnsi" w:cstheme="minorBidi"/>
              <w:lang w:val="pt-PT" w:eastAsia="pt-PT"/>
            </w:rPr>
          </w:pPr>
          <w:r w:rsidRPr="005F261F">
            <w:rPr>
              <w:lang w:val="pt-PT"/>
            </w:rPr>
            <w:t>2.3</w:t>
          </w:r>
          <w:r>
            <w:rPr>
              <w:rFonts w:asciiTheme="minorHAnsi" w:hAnsiTheme="minorHAnsi" w:cstheme="minorBidi"/>
              <w:lang w:val="pt-PT" w:eastAsia="pt-PT"/>
            </w:rPr>
            <w:tab/>
          </w:r>
          <w:r w:rsidRPr="005F261F">
            <w:rPr>
              <w:lang w:val="pt-PT"/>
            </w:rPr>
            <w:t>Princípios de modelação de custos</w:t>
          </w:r>
          <w:r w:rsidRPr="003B65AA">
            <w:rPr>
              <w:lang w:val="pt-PT"/>
            </w:rPr>
            <w:tab/>
          </w:r>
          <w:r>
            <w:fldChar w:fldCharType="begin"/>
          </w:r>
          <w:r w:rsidRPr="003B65AA">
            <w:rPr>
              <w:lang w:val="pt-PT"/>
            </w:rPr>
            <w:instrText xml:space="preserve"> PAGEREF _Toc75349731 \h </w:instrText>
          </w:r>
          <w:r>
            <w:fldChar w:fldCharType="separate"/>
          </w:r>
          <w:r w:rsidR="00D404F0">
            <w:rPr>
              <w:lang w:val="pt-PT"/>
            </w:rPr>
            <w:t>5</w:t>
          </w:r>
          <w:r>
            <w:fldChar w:fldCharType="end"/>
          </w:r>
        </w:p>
        <w:p w14:paraId="437C9408" w14:textId="4BD5E0D2" w:rsidR="003B65AA" w:rsidRDefault="003B65AA">
          <w:pPr>
            <w:pStyle w:val="TOC2"/>
            <w:rPr>
              <w:rFonts w:asciiTheme="minorHAnsi" w:hAnsiTheme="minorHAnsi" w:cstheme="minorBidi"/>
              <w:lang w:val="pt-PT" w:eastAsia="pt-PT"/>
            </w:rPr>
          </w:pPr>
          <w:r w:rsidRPr="003B65AA">
            <w:rPr>
              <w:lang w:val="pt-PT"/>
            </w:rPr>
            <w:t>2.4</w:t>
          </w:r>
          <w:r>
            <w:rPr>
              <w:rFonts w:asciiTheme="minorHAnsi" w:hAnsiTheme="minorHAnsi" w:cstheme="minorBidi"/>
              <w:lang w:val="pt-PT" w:eastAsia="pt-PT"/>
            </w:rPr>
            <w:tab/>
          </w:r>
          <w:r w:rsidRPr="003B65AA">
            <w:rPr>
              <w:lang w:val="pt-PT"/>
            </w:rPr>
            <w:t>Cenários de modelação</w:t>
          </w:r>
          <w:r w:rsidRPr="003B65AA">
            <w:rPr>
              <w:lang w:val="pt-PT"/>
            </w:rPr>
            <w:tab/>
          </w:r>
          <w:r>
            <w:fldChar w:fldCharType="begin"/>
          </w:r>
          <w:r w:rsidRPr="003B65AA">
            <w:rPr>
              <w:lang w:val="pt-PT"/>
            </w:rPr>
            <w:instrText xml:space="preserve"> PAGEREF _Toc75349732 \h </w:instrText>
          </w:r>
          <w:r>
            <w:fldChar w:fldCharType="separate"/>
          </w:r>
          <w:r w:rsidR="00D404F0">
            <w:rPr>
              <w:lang w:val="pt-PT"/>
            </w:rPr>
            <w:t>6</w:t>
          </w:r>
          <w:r>
            <w:fldChar w:fldCharType="end"/>
          </w:r>
        </w:p>
        <w:p w14:paraId="1D47DE4F" w14:textId="21EBF369" w:rsidR="003B65AA" w:rsidRDefault="003B65AA">
          <w:pPr>
            <w:pStyle w:val="TOC2"/>
            <w:rPr>
              <w:rFonts w:asciiTheme="minorHAnsi" w:hAnsiTheme="minorHAnsi" w:cstheme="minorBidi"/>
              <w:lang w:val="pt-PT" w:eastAsia="pt-PT"/>
            </w:rPr>
          </w:pPr>
          <w:r w:rsidRPr="005F261F">
            <w:rPr>
              <w:lang w:val="pt-PT"/>
            </w:rPr>
            <w:t>2.5</w:t>
          </w:r>
          <w:r>
            <w:rPr>
              <w:rFonts w:asciiTheme="minorHAnsi" w:hAnsiTheme="minorHAnsi" w:cstheme="minorBidi"/>
              <w:lang w:val="pt-PT" w:eastAsia="pt-PT"/>
            </w:rPr>
            <w:tab/>
          </w:r>
          <w:r w:rsidRPr="005F261F">
            <w:rPr>
              <w:lang w:val="pt-PT"/>
            </w:rPr>
            <w:t>Dados de introdução no modelo</w:t>
          </w:r>
          <w:r w:rsidRPr="003B65AA">
            <w:rPr>
              <w:lang w:val="pt-PT"/>
            </w:rPr>
            <w:tab/>
          </w:r>
          <w:r>
            <w:fldChar w:fldCharType="begin"/>
          </w:r>
          <w:r w:rsidRPr="003B65AA">
            <w:rPr>
              <w:lang w:val="pt-PT"/>
            </w:rPr>
            <w:instrText xml:space="preserve"> PAGEREF _Toc75349733 \h </w:instrText>
          </w:r>
          <w:r>
            <w:fldChar w:fldCharType="separate"/>
          </w:r>
          <w:r w:rsidR="00D404F0">
            <w:rPr>
              <w:lang w:val="pt-PT"/>
            </w:rPr>
            <w:t>7</w:t>
          </w:r>
          <w:r>
            <w:fldChar w:fldCharType="end"/>
          </w:r>
        </w:p>
        <w:p w14:paraId="692849A6" w14:textId="4FA71768" w:rsidR="003B65AA" w:rsidRDefault="003B65AA">
          <w:pPr>
            <w:pStyle w:val="TOC2"/>
            <w:rPr>
              <w:rFonts w:asciiTheme="minorHAnsi" w:hAnsiTheme="minorHAnsi" w:cstheme="minorBidi"/>
              <w:lang w:val="pt-PT" w:eastAsia="pt-PT"/>
            </w:rPr>
          </w:pPr>
          <w:r w:rsidRPr="005F261F">
            <w:rPr>
              <w:lang w:val="pt-PT"/>
            </w:rPr>
            <w:t>2.6</w:t>
          </w:r>
          <w:r>
            <w:rPr>
              <w:rFonts w:asciiTheme="minorHAnsi" w:hAnsiTheme="minorHAnsi" w:cstheme="minorBidi"/>
              <w:lang w:val="pt-PT" w:eastAsia="pt-PT"/>
            </w:rPr>
            <w:tab/>
          </w:r>
          <w:r w:rsidRPr="005F261F">
            <w:rPr>
              <w:lang w:val="pt-PT"/>
            </w:rPr>
            <w:t>Serviços incluídos no modelo</w:t>
          </w:r>
          <w:r w:rsidRPr="003B65AA">
            <w:rPr>
              <w:lang w:val="pt-PT"/>
            </w:rPr>
            <w:tab/>
          </w:r>
          <w:r>
            <w:fldChar w:fldCharType="begin"/>
          </w:r>
          <w:r w:rsidRPr="003B65AA">
            <w:rPr>
              <w:lang w:val="pt-PT"/>
            </w:rPr>
            <w:instrText xml:space="preserve"> PAGEREF _Toc75349734 \h </w:instrText>
          </w:r>
          <w:r>
            <w:fldChar w:fldCharType="separate"/>
          </w:r>
          <w:r w:rsidR="00D404F0">
            <w:rPr>
              <w:lang w:val="pt-PT"/>
            </w:rPr>
            <w:t>7</w:t>
          </w:r>
          <w:r>
            <w:fldChar w:fldCharType="end"/>
          </w:r>
        </w:p>
        <w:p w14:paraId="499E540C" w14:textId="3C1F076F" w:rsidR="003B65AA" w:rsidRDefault="003B65AA">
          <w:pPr>
            <w:pStyle w:val="TOC2"/>
            <w:rPr>
              <w:rFonts w:asciiTheme="minorHAnsi" w:hAnsiTheme="minorHAnsi" w:cstheme="minorBidi"/>
              <w:lang w:val="pt-PT" w:eastAsia="pt-PT"/>
            </w:rPr>
          </w:pPr>
          <w:r w:rsidRPr="005F261F">
            <w:rPr>
              <w:lang w:val="pt-PT"/>
            </w:rPr>
            <w:t>2.7</w:t>
          </w:r>
          <w:r>
            <w:rPr>
              <w:rFonts w:asciiTheme="minorHAnsi" w:hAnsiTheme="minorHAnsi" w:cstheme="minorBidi"/>
              <w:lang w:val="pt-PT" w:eastAsia="pt-PT"/>
            </w:rPr>
            <w:tab/>
          </w:r>
          <w:r w:rsidRPr="005F261F">
            <w:rPr>
              <w:lang w:val="pt-PT"/>
            </w:rPr>
            <w:t>Calibração do modelo</w:t>
          </w:r>
          <w:r w:rsidRPr="003B65AA">
            <w:rPr>
              <w:lang w:val="pt-PT"/>
            </w:rPr>
            <w:tab/>
          </w:r>
          <w:r>
            <w:fldChar w:fldCharType="begin"/>
          </w:r>
          <w:r w:rsidRPr="003B65AA">
            <w:rPr>
              <w:lang w:val="pt-PT"/>
            </w:rPr>
            <w:instrText xml:space="preserve"> PAGEREF _Toc75349735 \h </w:instrText>
          </w:r>
          <w:r>
            <w:fldChar w:fldCharType="separate"/>
          </w:r>
          <w:r w:rsidR="00D404F0">
            <w:rPr>
              <w:lang w:val="pt-PT"/>
            </w:rPr>
            <w:t>8</w:t>
          </w:r>
          <w:r>
            <w:fldChar w:fldCharType="end"/>
          </w:r>
        </w:p>
        <w:p w14:paraId="5A0B3C08" w14:textId="2AA768B5" w:rsidR="003B65AA" w:rsidRDefault="003B65AA">
          <w:pPr>
            <w:pStyle w:val="TOC1"/>
            <w:rPr>
              <w:rFonts w:asciiTheme="minorHAnsi" w:hAnsiTheme="minorHAnsi" w:cstheme="minorBidi"/>
              <w:b w:val="0"/>
              <w:bCs w:val="0"/>
              <w:color w:val="auto"/>
              <w:szCs w:val="22"/>
              <w:lang w:val="pt-PT" w:eastAsia="pt-PT"/>
            </w:rPr>
          </w:pPr>
          <w:r w:rsidRPr="005F261F">
            <w:rPr>
              <w:lang w:val="pt-PT"/>
            </w:rPr>
            <w:t>3</w:t>
          </w:r>
          <w:r>
            <w:rPr>
              <w:rFonts w:asciiTheme="minorHAnsi" w:hAnsiTheme="minorHAnsi" w:cstheme="minorBidi"/>
              <w:b w:val="0"/>
              <w:bCs w:val="0"/>
              <w:color w:val="auto"/>
              <w:szCs w:val="22"/>
              <w:lang w:val="pt-PT" w:eastAsia="pt-PT"/>
            </w:rPr>
            <w:tab/>
          </w:r>
          <w:r w:rsidRPr="005F261F">
            <w:rPr>
              <w:lang w:val="pt-PT"/>
            </w:rPr>
            <w:t>resultados do modelo</w:t>
          </w:r>
          <w:r w:rsidRPr="003B65AA">
            <w:rPr>
              <w:lang w:val="pt-PT"/>
            </w:rPr>
            <w:tab/>
          </w:r>
          <w:r>
            <w:fldChar w:fldCharType="begin"/>
          </w:r>
          <w:r w:rsidRPr="003B65AA">
            <w:rPr>
              <w:lang w:val="pt-PT"/>
            </w:rPr>
            <w:instrText xml:space="preserve"> PAGEREF _Toc75349736 \h </w:instrText>
          </w:r>
          <w:r>
            <w:fldChar w:fldCharType="separate"/>
          </w:r>
          <w:r w:rsidR="00D404F0">
            <w:rPr>
              <w:lang w:val="pt-PT"/>
            </w:rPr>
            <w:t>10</w:t>
          </w:r>
          <w:r>
            <w:fldChar w:fldCharType="end"/>
          </w:r>
        </w:p>
        <w:p w14:paraId="7C0AD96B" w14:textId="12BB4E35" w:rsidR="003B65AA" w:rsidRDefault="003B65AA">
          <w:pPr>
            <w:pStyle w:val="TOC2"/>
            <w:rPr>
              <w:rFonts w:asciiTheme="minorHAnsi" w:hAnsiTheme="minorHAnsi" w:cstheme="minorBidi"/>
              <w:lang w:val="pt-PT" w:eastAsia="pt-PT"/>
            </w:rPr>
          </w:pPr>
          <w:r w:rsidRPr="005F261F">
            <w:rPr>
              <w:lang w:val="pt-PT"/>
            </w:rPr>
            <w:t>3.1</w:t>
          </w:r>
          <w:r>
            <w:rPr>
              <w:rFonts w:asciiTheme="minorHAnsi" w:hAnsiTheme="minorHAnsi" w:cstheme="minorBidi"/>
              <w:lang w:val="pt-PT" w:eastAsia="pt-PT"/>
            </w:rPr>
            <w:tab/>
          </w:r>
          <w:r w:rsidRPr="005F261F">
            <w:rPr>
              <w:lang w:val="pt-PT"/>
            </w:rPr>
            <w:t>Determinação dos preços grossistas</w:t>
          </w:r>
          <w:r w:rsidRPr="003B65AA">
            <w:rPr>
              <w:lang w:val="pt-PT"/>
            </w:rPr>
            <w:tab/>
          </w:r>
          <w:r>
            <w:fldChar w:fldCharType="begin"/>
          </w:r>
          <w:r w:rsidRPr="003B65AA">
            <w:rPr>
              <w:lang w:val="pt-PT"/>
            </w:rPr>
            <w:instrText xml:space="preserve"> PAGEREF _Toc75349737 \h </w:instrText>
          </w:r>
          <w:r>
            <w:fldChar w:fldCharType="separate"/>
          </w:r>
          <w:r w:rsidR="00D404F0">
            <w:rPr>
              <w:lang w:val="pt-PT"/>
            </w:rPr>
            <w:t>10</w:t>
          </w:r>
          <w:r>
            <w:fldChar w:fldCharType="end"/>
          </w:r>
        </w:p>
        <w:p w14:paraId="4743C7E5" w14:textId="32BA9D31" w:rsidR="003B65AA" w:rsidRDefault="003B65AA">
          <w:pPr>
            <w:pStyle w:val="TOC1"/>
            <w:rPr>
              <w:rFonts w:asciiTheme="minorHAnsi" w:hAnsiTheme="minorHAnsi" w:cstheme="minorBidi"/>
              <w:b w:val="0"/>
              <w:bCs w:val="0"/>
              <w:color w:val="auto"/>
              <w:szCs w:val="22"/>
              <w:lang w:val="pt-PT" w:eastAsia="pt-PT"/>
            </w:rPr>
          </w:pPr>
          <w:r w:rsidRPr="005F261F">
            <w:rPr>
              <w:lang w:val="pt-PT"/>
            </w:rPr>
            <w:t>Anexo A: Custo médio ponderado do capital</w:t>
          </w:r>
          <w:r w:rsidRPr="003B65AA">
            <w:rPr>
              <w:lang w:val="pt-PT"/>
            </w:rPr>
            <w:tab/>
          </w:r>
          <w:r>
            <w:fldChar w:fldCharType="begin"/>
          </w:r>
          <w:r w:rsidRPr="003B65AA">
            <w:rPr>
              <w:lang w:val="pt-PT"/>
            </w:rPr>
            <w:instrText xml:space="preserve"> PAGEREF _Toc75349738 \h </w:instrText>
          </w:r>
          <w:r>
            <w:fldChar w:fldCharType="separate"/>
          </w:r>
          <w:r w:rsidR="00D404F0">
            <w:rPr>
              <w:lang w:val="pt-PT"/>
            </w:rPr>
            <w:t>18</w:t>
          </w:r>
          <w:r>
            <w:fldChar w:fldCharType="end"/>
          </w:r>
        </w:p>
        <w:p w14:paraId="0E5876EF" w14:textId="2C524CB8" w:rsidR="003B65AA" w:rsidRDefault="003B65AA" w:rsidP="003B65AA">
          <w:pPr>
            <w:pStyle w:val="TOC3"/>
            <w:tabs>
              <w:tab w:val="left" w:pos="720"/>
              <w:tab w:val="right" w:leader="dot" w:pos="9011"/>
            </w:tabs>
            <w:ind w:left="0"/>
            <w:rPr>
              <w:rFonts w:asciiTheme="minorHAnsi" w:hAnsiTheme="minorHAnsi" w:cstheme="minorBidi"/>
              <w:noProof/>
              <w:lang w:val="pt-PT" w:eastAsia="pt-PT"/>
            </w:rPr>
          </w:pPr>
          <w:r w:rsidRPr="005F261F">
            <w:rPr>
              <w:noProof/>
              <w:lang w:val="pt-PT"/>
            </w:rPr>
            <w:t>1</w:t>
          </w:r>
          <w:r>
            <w:rPr>
              <w:rFonts w:asciiTheme="minorHAnsi" w:hAnsiTheme="minorHAnsi" w:cstheme="minorBidi"/>
              <w:noProof/>
              <w:lang w:val="pt-PT" w:eastAsia="pt-PT"/>
            </w:rPr>
            <w:t xml:space="preserve">         </w:t>
          </w:r>
          <w:r w:rsidRPr="005F261F">
            <w:rPr>
              <w:noProof/>
              <w:lang w:val="pt-PT"/>
            </w:rPr>
            <w:t>Introdução</w:t>
          </w:r>
          <w:r w:rsidRPr="003B65AA">
            <w:rPr>
              <w:noProof/>
              <w:lang w:val="pt-PT"/>
            </w:rPr>
            <w:tab/>
          </w:r>
          <w:r>
            <w:rPr>
              <w:noProof/>
            </w:rPr>
            <w:fldChar w:fldCharType="begin"/>
          </w:r>
          <w:r w:rsidRPr="003B65AA">
            <w:rPr>
              <w:noProof/>
              <w:lang w:val="pt-PT"/>
            </w:rPr>
            <w:instrText xml:space="preserve"> PAGEREF _Toc75349739 \h </w:instrText>
          </w:r>
          <w:r>
            <w:rPr>
              <w:noProof/>
            </w:rPr>
          </w:r>
          <w:r>
            <w:rPr>
              <w:noProof/>
            </w:rPr>
            <w:fldChar w:fldCharType="separate"/>
          </w:r>
          <w:r w:rsidR="00D404F0">
            <w:rPr>
              <w:noProof/>
              <w:lang w:val="pt-PT"/>
            </w:rPr>
            <w:t>18</w:t>
          </w:r>
          <w:r>
            <w:rPr>
              <w:noProof/>
            </w:rPr>
            <w:fldChar w:fldCharType="end"/>
          </w:r>
        </w:p>
        <w:p w14:paraId="72D76106" w14:textId="3A8F7F25" w:rsidR="003B65AA" w:rsidRDefault="003B65AA">
          <w:pPr>
            <w:pStyle w:val="TOC2"/>
            <w:rPr>
              <w:rFonts w:asciiTheme="minorHAnsi" w:hAnsiTheme="minorHAnsi" w:cstheme="minorBidi"/>
              <w:lang w:val="pt-PT" w:eastAsia="pt-PT"/>
            </w:rPr>
          </w:pPr>
          <w:r w:rsidRPr="005F261F">
            <w:rPr>
              <w:lang w:val="pt-PT"/>
            </w:rPr>
            <w:t>2</w:t>
          </w:r>
          <w:r>
            <w:rPr>
              <w:rFonts w:asciiTheme="minorHAnsi" w:hAnsiTheme="minorHAnsi" w:cstheme="minorBidi"/>
              <w:lang w:val="pt-PT" w:eastAsia="pt-PT"/>
            </w:rPr>
            <w:tab/>
          </w:r>
          <w:r w:rsidRPr="005F261F">
            <w:rPr>
              <w:lang w:val="pt-PT"/>
            </w:rPr>
            <w:t>Taxa sem risco da Guiné Bissau</w:t>
          </w:r>
          <w:r w:rsidRPr="003B65AA">
            <w:rPr>
              <w:lang w:val="pt-PT"/>
            </w:rPr>
            <w:tab/>
          </w:r>
          <w:r>
            <w:fldChar w:fldCharType="begin"/>
          </w:r>
          <w:r w:rsidRPr="003B65AA">
            <w:rPr>
              <w:lang w:val="pt-PT"/>
            </w:rPr>
            <w:instrText xml:space="preserve"> PAGEREF _Toc75349740 \h </w:instrText>
          </w:r>
          <w:r>
            <w:fldChar w:fldCharType="separate"/>
          </w:r>
          <w:r w:rsidR="00D404F0">
            <w:rPr>
              <w:lang w:val="pt-PT"/>
            </w:rPr>
            <w:t>19</w:t>
          </w:r>
          <w:r>
            <w:fldChar w:fldCharType="end"/>
          </w:r>
        </w:p>
        <w:p w14:paraId="4BB217D8" w14:textId="577A0C1B" w:rsidR="003B65AA" w:rsidRDefault="003B65AA">
          <w:pPr>
            <w:pStyle w:val="TOC2"/>
            <w:rPr>
              <w:rFonts w:asciiTheme="minorHAnsi" w:hAnsiTheme="minorHAnsi" w:cstheme="minorBidi"/>
              <w:lang w:val="pt-PT" w:eastAsia="pt-PT"/>
            </w:rPr>
          </w:pPr>
          <w:r w:rsidRPr="005F261F">
            <w:rPr>
              <w:lang w:val="pt-PT"/>
            </w:rPr>
            <w:t>3</w:t>
          </w:r>
          <w:r>
            <w:rPr>
              <w:rFonts w:asciiTheme="minorHAnsi" w:hAnsiTheme="minorHAnsi" w:cstheme="minorBidi"/>
              <w:lang w:val="pt-PT" w:eastAsia="pt-PT"/>
            </w:rPr>
            <w:tab/>
          </w:r>
          <w:r w:rsidRPr="005F261F">
            <w:rPr>
              <w:lang w:val="pt-PT"/>
            </w:rPr>
            <w:t>Custo da dívida</w:t>
          </w:r>
          <w:r w:rsidRPr="003B65AA">
            <w:rPr>
              <w:lang w:val="pt-PT"/>
            </w:rPr>
            <w:tab/>
          </w:r>
          <w:r>
            <w:fldChar w:fldCharType="begin"/>
          </w:r>
          <w:r w:rsidRPr="003B65AA">
            <w:rPr>
              <w:lang w:val="pt-PT"/>
            </w:rPr>
            <w:instrText xml:space="preserve"> PAGEREF _Toc75349741 \h </w:instrText>
          </w:r>
          <w:r>
            <w:fldChar w:fldCharType="separate"/>
          </w:r>
          <w:r w:rsidR="00D404F0">
            <w:rPr>
              <w:lang w:val="pt-PT"/>
            </w:rPr>
            <w:t>23</w:t>
          </w:r>
          <w:r>
            <w:fldChar w:fldCharType="end"/>
          </w:r>
        </w:p>
        <w:p w14:paraId="0A498C45" w14:textId="2F2D1808" w:rsidR="003B65AA" w:rsidRDefault="003B65AA">
          <w:pPr>
            <w:pStyle w:val="TOC2"/>
            <w:rPr>
              <w:rFonts w:asciiTheme="minorHAnsi" w:hAnsiTheme="minorHAnsi" w:cstheme="minorBidi"/>
              <w:lang w:val="pt-PT" w:eastAsia="pt-PT"/>
            </w:rPr>
          </w:pPr>
          <w:r w:rsidRPr="005F261F">
            <w:rPr>
              <w:lang w:val="pt-PT"/>
            </w:rPr>
            <w:t>4</w:t>
          </w:r>
          <w:r>
            <w:rPr>
              <w:rFonts w:asciiTheme="minorHAnsi" w:hAnsiTheme="minorHAnsi" w:cstheme="minorBidi"/>
              <w:lang w:val="pt-PT" w:eastAsia="pt-PT"/>
            </w:rPr>
            <w:tab/>
          </w:r>
          <w:r w:rsidRPr="005F261F">
            <w:rPr>
              <w:lang w:val="pt-PT"/>
            </w:rPr>
            <w:t>Custo do capital próprio</w:t>
          </w:r>
          <w:r w:rsidRPr="003B65AA">
            <w:rPr>
              <w:lang w:val="pt-PT"/>
            </w:rPr>
            <w:tab/>
          </w:r>
          <w:r>
            <w:fldChar w:fldCharType="begin"/>
          </w:r>
          <w:r w:rsidRPr="003B65AA">
            <w:rPr>
              <w:lang w:val="pt-PT"/>
            </w:rPr>
            <w:instrText xml:space="preserve"> PAGEREF _Toc75349742 \h </w:instrText>
          </w:r>
          <w:r>
            <w:fldChar w:fldCharType="separate"/>
          </w:r>
          <w:r w:rsidR="00D404F0">
            <w:rPr>
              <w:lang w:val="pt-PT"/>
            </w:rPr>
            <w:t>27</w:t>
          </w:r>
          <w:r>
            <w:fldChar w:fldCharType="end"/>
          </w:r>
        </w:p>
        <w:p w14:paraId="4296DB87" w14:textId="3F575409" w:rsidR="003B65AA" w:rsidRDefault="003B65AA">
          <w:pPr>
            <w:pStyle w:val="TOC2"/>
            <w:rPr>
              <w:rFonts w:asciiTheme="minorHAnsi" w:hAnsiTheme="minorHAnsi" w:cstheme="minorBidi"/>
              <w:lang w:val="pt-PT" w:eastAsia="pt-PT"/>
            </w:rPr>
          </w:pPr>
          <w:r w:rsidRPr="005F261F">
            <w:rPr>
              <w:lang w:val="pt-PT"/>
            </w:rPr>
            <w:t>5</w:t>
          </w:r>
          <w:r>
            <w:rPr>
              <w:rFonts w:asciiTheme="minorHAnsi" w:hAnsiTheme="minorHAnsi" w:cstheme="minorBidi"/>
              <w:lang w:val="pt-PT" w:eastAsia="pt-PT"/>
            </w:rPr>
            <w:tab/>
          </w:r>
          <w:r w:rsidRPr="005F261F">
            <w:rPr>
              <w:lang w:val="pt-PT"/>
            </w:rPr>
            <w:t>Endividamento</w:t>
          </w:r>
          <w:r w:rsidRPr="003B65AA">
            <w:rPr>
              <w:lang w:val="pt-PT"/>
            </w:rPr>
            <w:tab/>
          </w:r>
          <w:r>
            <w:fldChar w:fldCharType="begin"/>
          </w:r>
          <w:r w:rsidRPr="003B65AA">
            <w:rPr>
              <w:lang w:val="pt-PT"/>
            </w:rPr>
            <w:instrText xml:space="preserve"> PAGEREF _Toc75349743 \h </w:instrText>
          </w:r>
          <w:r>
            <w:fldChar w:fldCharType="separate"/>
          </w:r>
          <w:r w:rsidR="00D404F0">
            <w:rPr>
              <w:lang w:val="pt-PT"/>
            </w:rPr>
            <w:t>32</w:t>
          </w:r>
          <w:r>
            <w:fldChar w:fldCharType="end"/>
          </w:r>
        </w:p>
        <w:p w14:paraId="3070A72E" w14:textId="6B0482FB" w:rsidR="003B65AA" w:rsidRDefault="003B65AA">
          <w:pPr>
            <w:pStyle w:val="TOC2"/>
            <w:rPr>
              <w:rFonts w:asciiTheme="minorHAnsi" w:hAnsiTheme="minorHAnsi" w:cstheme="minorBidi"/>
              <w:lang w:val="pt-PT" w:eastAsia="pt-PT"/>
            </w:rPr>
          </w:pPr>
          <w:r w:rsidRPr="005F261F">
            <w:rPr>
              <w:lang w:val="pt-PT"/>
            </w:rPr>
            <w:t>6</w:t>
          </w:r>
          <w:r>
            <w:rPr>
              <w:rFonts w:asciiTheme="minorHAnsi" w:hAnsiTheme="minorHAnsi" w:cstheme="minorBidi"/>
              <w:lang w:val="pt-PT" w:eastAsia="pt-PT"/>
            </w:rPr>
            <w:tab/>
          </w:r>
          <w:r w:rsidRPr="005F261F">
            <w:rPr>
              <w:lang w:val="pt-PT"/>
            </w:rPr>
            <w:t>Cálculo do CMPC para um Operador Móvel Eficiente (MEO)</w:t>
          </w:r>
          <w:r w:rsidRPr="003B65AA">
            <w:rPr>
              <w:lang w:val="pt-PT"/>
            </w:rPr>
            <w:tab/>
          </w:r>
          <w:r>
            <w:fldChar w:fldCharType="begin"/>
          </w:r>
          <w:r w:rsidRPr="003B65AA">
            <w:rPr>
              <w:lang w:val="pt-PT"/>
            </w:rPr>
            <w:instrText xml:space="preserve"> PAGEREF _Toc75349744 \h </w:instrText>
          </w:r>
          <w:r>
            <w:fldChar w:fldCharType="separate"/>
          </w:r>
          <w:r w:rsidR="00D404F0">
            <w:rPr>
              <w:lang w:val="pt-PT"/>
            </w:rPr>
            <w:t>34</w:t>
          </w:r>
          <w:r>
            <w:fldChar w:fldCharType="end"/>
          </w:r>
        </w:p>
        <w:p w14:paraId="6CCA6115" w14:textId="5503A8BC" w:rsidR="003B65AA" w:rsidRDefault="003B65AA">
          <w:pPr>
            <w:pStyle w:val="TOC2"/>
            <w:rPr>
              <w:rFonts w:asciiTheme="minorHAnsi" w:hAnsiTheme="minorHAnsi" w:cstheme="minorBidi"/>
              <w:lang w:val="pt-PT" w:eastAsia="pt-PT"/>
            </w:rPr>
          </w:pPr>
          <w:r w:rsidRPr="005F261F">
            <w:rPr>
              <w:lang w:val="pt-PT"/>
            </w:rPr>
            <w:t>7</w:t>
          </w:r>
          <w:r>
            <w:rPr>
              <w:rFonts w:asciiTheme="minorHAnsi" w:hAnsiTheme="minorHAnsi" w:cstheme="minorBidi"/>
              <w:lang w:val="pt-PT" w:eastAsia="pt-PT"/>
            </w:rPr>
            <w:tab/>
          </w:r>
          <w:r w:rsidRPr="005F261F">
            <w:rPr>
              <w:lang w:val="pt-PT"/>
            </w:rPr>
            <w:t>Referências</w:t>
          </w:r>
          <w:r>
            <w:tab/>
          </w:r>
          <w:r>
            <w:fldChar w:fldCharType="begin"/>
          </w:r>
          <w:r>
            <w:instrText xml:space="preserve"> PAGEREF _Toc75349745 \h </w:instrText>
          </w:r>
          <w:r>
            <w:fldChar w:fldCharType="separate"/>
          </w:r>
          <w:r w:rsidR="00D404F0">
            <w:t>36</w:t>
          </w:r>
          <w:r>
            <w:fldChar w:fldCharType="end"/>
          </w:r>
        </w:p>
        <w:p w14:paraId="2AFB4683" w14:textId="595716CF" w:rsidR="003B65AA" w:rsidRDefault="003B65AA">
          <w:pPr>
            <w:pStyle w:val="TOC2"/>
            <w:rPr>
              <w:rFonts w:asciiTheme="minorHAnsi" w:hAnsiTheme="minorHAnsi" w:cstheme="minorBidi"/>
              <w:lang w:val="pt-PT" w:eastAsia="pt-PT"/>
            </w:rPr>
          </w:pPr>
          <w:r w:rsidRPr="005F261F">
            <w:rPr>
              <w:lang w:val="pt-PT"/>
            </w:rPr>
            <w:t>Anexo A</w:t>
          </w:r>
          <w:r>
            <w:tab/>
          </w:r>
          <w:r>
            <w:fldChar w:fldCharType="begin"/>
          </w:r>
          <w:r>
            <w:instrText xml:space="preserve"> PAGEREF _Toc75349746 \h </w:instrText>
          </w:r>
          <w:r>
            <w:fldChar w:fldCharType="separate"/>
          </w:r>
          <w:r w:rsidR="00D404F0">
            <w:t>38</w:t>
          </w:r>
          <w:r>
            <w:fldChar w:fldCharType="end"/>
          </w:r>
        </w:p>
        <w:p w14:paraId="46DA2679" w14:textId="04CCC804" w:rsidR="00F64368" w:rsidRPr="00F6527D" w:rsidRDefault="008E4A71" w:rsidP="000B3AE0">
          <w:r>
            <w:rPr>
              <w:rFonts w:ascii="Hoefler Text" w:hAnsi="Hoefler Text"/>
              <w:b/>
              <w:bCs/>
              <w:noProof/>
              <w:color w:val="456E7F" w:themeColor="accent2" w:themeShade="BF"/>
              <w:szCs w:val="24"/>
            </w:rPr>
            <w:fldChar w:fldCharType="end"/>
          </w:r>
        </w:p>
      </w:sdtContent>
    </w:sdt>
    <w:p w14:paraId="3A02D9C2" w14:textId="309C4C52" w:rsidR="00F24B57" w:rsidRDefault="00F24B57" w:rsidP="000B3AE0"/>
    <w:p w14:paraId="1A68AD3D" w14:textId="280558B8" w:rsidR="00E02295" w:rsidRPr="00263DBC" w:rsidRDefault="00390901" w:rsidP="000B3AE0">
      <w:pPr>
        <w:pStyle w:val="Heading1"/>
        <w:rPr>
          <w:lang w:val="pt-PT"/>
        </w:rPr>
      </w:pPr>
      <w:bookmarkStart w:id="5" w:name="_Toc75349727"/>
      <w:bookmarkEnd w:id="4"/>
      <w:bookmarkEnd w:id="3"/>
      <w:bookmarkEnd w:id="2"/>
      <w:bookmarkEnd w:id="1"/>
      <w:bookmarkEnd w:id="0"/>
      <w:r>
        <w:rPr>
          <w:lang w:val="pt-PT"/>
        </w:rPr>
        <w:lastRenderedPageBreak/>
        <w:t>introdução</w:t>
      </w:r>
      <w:bookmarkEnd w:id="5"/>
    </w:p>
    <w:p w14:paraId="167D24BC" w14:textId="11C65FEA" w:rsidR="009027D1" w:rsidRDefault="009027D1" w:rsidP="00142A4D">
      <w:pPr>
        <w:autoSpaceDE w:val="0"/>
        <w:autoSpaceDN w:val="0"/>
        <w:adjustRightInd w:val="0"/>
        <w:jc w:val="both"/>
        <w:rPr>
          <w:rFonts w:cs="Tahoma"/>
          <w:lang w:val="pt-PT"/>
        </w:rPr>
      </w:pPr>
      <w:r w:rsidRPr="009027D1">
        <w:rPr>
          <w:rFonts w:cs="Tahoma"/>
          <w:lang w:val="pt-PT"/>
        </w:rPr>
        <w:t xml:space="preserve">A Autoridade Reguladora Nacional das TIC </w:t>
      </w:r>
      <w:r w:rsidR="004E636D">
        <w:rPr>
          <w:rFonts w:cs="Tahoma"/>
          <w:lang w:val="pt-PT"/>
        </w:rPr>
        <w:t xml:space="preserve">da Guiné Bissau </w:t>
      </w:r>
      <w:r w:rsidRPr="009027D1">
        <w:rPr>
          <w:rFonts w:cs="Tahoma"/>
          <w:lang w:val="pt-PT"/>
        </w:rPr>
        <w:t xml:space="preserve">(ANR) solicitou assistência técnica à </w:t>
      </w:r>
      <w:r>
        <w:rPr>
          <w:rFonts w:cs="Tahoma"/>
          <w:lang w:val="pt-PT"/>
        </w:rPr>
        <w:t>Incyte Consulting</w:t>
      </w:r>
      <w:r w:rsidRPr="009027D1">
        <w:rPr>
          <w:rFonts w:cs="Tahoma"/>
          <w:lang w:val="pt-PT"/>
        </w:rPr>
        <w:t xml:space="preserve"> para a apoiar na implementação de um modelo de cálculo dos custos das redes de telecomunicações móveis, essencial nas relações entre operadores e regulador. O controlo dos aspetos económico-financeiros dos operadores, ao nível dos custos, constitui para o regulador, um dos pontos-chave para uma regulação de tarifas justas, leais, não discriminatórias e acessíveis, mantendo a sã concorrência entre os operadores de rede e prestadores de serviços relevantes. Os termos de referência entre a </w:t>
      </w:r>
      <w:r>
        <w:rPr>
          <w:rFonts w:cs="Tahoma"/>
          <w:lang w:val="pt-PT"/>
        </w:rPr>
        <w:t>ARN e a Incyte Consulting</w:t>
      </w:r>
      <w:r w:rsidRPr="009027D1">
        <w:rPr>
          <w:rFonts w:cs="Tahoma"/>
          <w:lang w:val="pt-PT"/>
        </w:rPr>
        <w:t xml:space="preserve"> determinam a contratação de um consultor para</w:t>
      </w:r>
      <w:r>
        <w:rPr>
          <w:rFonts w:cs="Tahoma"/>
          <w:lang w:val="pt-PT"/>
        </w:rPr>
        <w:t>, entre outr</w:t>
      </w:r>
      <w:r w:rsidR="004E636D">
        <w:rPr>
          <w:rFonts w:cs="Tahoma"/>
          <w:lang w:val="pt-PT"/>
        </w:rPr>
        <w:t>a</w:t>
      </w:r>
      <w:r>
        <w:rPr>
          <w:rFonts w:cs="Tahoma"/>
          <w:lang w:val="pt-PT"/>
        </w:rPr>
        <w:t>s</w:t>
      </w:r>
      <w:r w:rsidR="004E636D">
        <w:rPr>
          <w:rFonts w:cs="Tahoma"/>
          <w:lang w:val="pt-PT"/>
        </w:rPr>
        <w:t xml:space="preserve"> tarefas</w:t>
      </w:r>
      <w:r>
        <w:rPr>
          <w:rFonts w:cs="Tahoma"/>
          <w:lang w:val="pt-PT"/>
        </w:rPr>
        <w:t xml:space="preserve">, elaborar </w:t>
      </w:r>
      <w:r w:rsidRPr="009027D1">
        <w:rPr>
          <w:rFonts w:cs="Tahoma"/>
          <w:lang w:val="pt-PT"/>
        </w:rPr>
        <w:t xml:space="preserve">um modelo económico dos custos das redes de comunicações eletrónicas na </w:t>
      </w:r>
      <w:r>
        <w:rPr>
          <w:rFonts w:cs="Tahoma"/>
          <w:lang w:val="pt-PT"/>
        </w:rPr>
        <w:t>Guiné Bissau</w:t>
      </w:r>
      <w:r w:rsidRPr="009027D1">
        <w:rPr>
          <w:rFonts w:cs="Tahoma"/>
          <w:lang w:val="pt-PT"/>
        </w:rPr>
        <w:t xml:space="preserve">. Este relatório descreve </w:t>
      </w:r>
      <w:r w:rsidR="0051436A">
        <w:rPr>
          <w:rFonts w:cs="Tahoma"/>
          <w:lang w:val="pt-PT"/>
        </w:rPr>
        <w:t>de forma concisa as características concetuais do modelo elaborado</w:t>
      </w:r>
      <w:r w:rsidRPr="009027D1">
        <w:rPr>
          <w:rFonts w:cs="Tahoma"/>
          <w:lang w:val="pt-PT"/>
        </w:rPr>
        <w:t xml:space="preserve"> pelo consultor e os resultados </w:t>
      </w:r>
      <w:r>
        <w:rPr>
          <w:rFonts w:cs="Tahoma"/>
          <w:lang w:val="pt-PT"/>
        </w:rPr>
        <w:t xml:space="preserve">obtidos </w:t>
      </w:r>
      <w:r w:rsidR="0051436A">
        <w:rPr>
          <w:rFonts w:cs="Tahoma"/>
          <w:lang w:val="pt-PT"/>
        </w:rPr>
        <w:t>a partir dos dados obtidos correspondentes ás características especificas do mercado da Guiné Bissau e, quando necessário com recurso a benchmarks internacionais</w:t>
      </w:r>
      <w:r w:rsidRPr="009027D1">
        <w:rPr>
          <w:rFonts w:cs="Tahoma"/>
          <w:lang w:val="pt-PT"/>
        </w:rPr>
        <w:t>.</w:t>
      </w:r>
    </w:p>
    <w:p w14:paraId="0BE24019" w14:textId="7417CBE6" w:rsidR="00142A08" w:rsidRPr="00154E73" w:rsidRDefault="009027D1" w:rsidP="00142A4D">
      <w:pPr>
        <w:autoSpaceDE w:val="0"/>
        <w:autoSpaceDN w:val="0"/>
        <w:adjustRightInd w:val="0"/>
        <w:jc w:val="both"/>
        <w:rPr>
          <w:rFonts w:cs="Tahoma"/>
          <w:lang w:val="pt-PT"/>
        </w:rPr>
      </w:pPr>
      <w:r>
        <w:rPr>
          <w:rFonts w:cs="Tahoma"/>
          <w:lang w:val="pt-PT"/>
        </w:rPr>
        <w:t xml:space="preserve">O </w:t>
      </w:r>
      <w:r w:rsidR="00142A08" w:rsidRPr="0063445C">
        <w:rPr>
          <w:rFonts w:cs="Tahoma"/>
          <w:lang w:val="pt-PT"/>
        </w:rPr>
        <w:t xml:space="preserve">Governo da Guiné-Bissau, na Lei de Base das Tecnologias de Informação e Comunicação, Lei Nº 5/2010, de 27 de </w:t>
      </w:r>
      <w:r w:rsidR="00142A08">
        <w:rPr>
          <w:rFonts w:cs="Tahoma"/>
          <w:lang w:val="pt-PT"/>
        </w:rPr>
        <w:t>m</w:t>
      </w:r>
      <w:r w:rsidR="00142A08" w:rsidRPr="0063445C">
        <w:rPr>
          <w:rFonts w:cs="Tahoma"/>
          <w:lang w:val="pt-PT"/>
        </w:rPr>
        <w:t xml:space="preserve">aio de 2010, estabeleceu o regime jurídico aplicável à política relativa aos serviços e redes das tecnologias de informação e comunicação, e aos recursos e serviços conexos. </w:t>
      </w:r>
      <w:r w:rsidR="00142A08">
        <w:rPr>
          <w:rFonts w:cs="Tahoma"/>
          <w:lang w:val="pt-PT"/>
        </w:rPr>
        <w:t>N</w:t>
      </w:r>
      <w:r w:rsidR="00142A08" w:rsidRPr="00154E73">
        <w:rPr>
          <w:rFonts w:cs="Tahoma"/>
          <w:lang w:val="pt-PT"/>
        </w:rPr>
        <w:t xml:space="preserve">o seu Artigo 14º nº 1 (Procedimento Geral de Consulta), </w:t>
      </w:r>
      <w:r w:rsidR="00142A08">
        <w:rPr>
          <w:rFonts w:cs="Tahoma"/>
          <w:lang w:val="pt-PT"/>
        </w:rPr>
        <w:t xml:space="preserve">a </w:t>
      </w:r>
      <w:r w:rsidR="00142A08" w:rsidRPr="0063445C">
        <w:rPr>
          <w:rFonts w:cs="Tahoma"/>
          <w:lang w:val="pt-PT"/>
        </w:rPr>
        <w:t>Lei Nº 5/2010</w:t>
      </w:r>
      <w:r w:rsidR="00142A08">
        <w:rPr>
          <w:rFonts w:cs="Tahoma"/>
          <w:lang w:val="pt-PT"/>
        </w:rPr>
        <w:t xml:space="preserve"> </w:t>
      </w:r>
      <w:r w:rsidR="00142A08" w:rsidRPr="0063445C">
        <w:rPr>
          <w:rFonts w:cs="Tahoma"/>
          <w:lang w:val="pt-PT"/>
        </w:rPr>
        <w:t>de 27 de Maio de 2010</w:t>
      </w:r>
      <w:r w:rsidR="00142A08">
        <w:rPr>
          <w:rFonts w:cs="Tahoma"/>
          <w:lang w:val="pt-PT"/>
        </w:rPr>
        <w:t xml:space="preserve"> define que</w:t>
      </w:r>
      <w:r w:rsidR="00142A08" w:rsidRPr="00154E73">
        <w:rPr>
          <w:rFonts w:cs="Tahoma"/>
          <w:lang w:val="pt-PT"/>
        </w:rPr>
        <w:t xml:space="preserve">, no exercício das suas competências, </w:t>
      </w:r>
      <w:r w:rsidR="00142A08">
        <w:rPr>
          <w:rFonts w:cs="Tahoma"/>
          <w:lang w:val="pt-PT"/>
        </w:rPr>
        <w:t xml:space="preserve">sempre que </w:t>
      </w:r>
      <w:r w:rsidR="00142A08" w:rsidRPr="00154E73">
        <w:rPr>
          <w:rFonts w:cs="Tahoma"/>
          <w:lang w:val="pt-PT"/>
        </w:rPr>
        <w:t>a ARN pretenda adotar medidas com impacto significativo no mercado relevante, deve publicitar um aviso prévio sobre o respetivo projeto, dando aos interessados a possibilidade de se pronunciarem num prazo fixado para o efeito.</w:t>
      </w:r>
    </w:p>
    <w:p w14:paraId="3D68F642" w14:textId="66F0F28E" w:rsidR="00390901" w:rsidRPr="003C740B" w:rsidRDefault="009027D1" w:rsidP="00142A4D">
      <w:pPr>
        <w:autoSpaceDE w:val="0"/>
        <w:autoSpaceDN w:val="0"/>
        <w:adjustRightInd w:val="0"/>
        <w:jc w:val="both"/>
        <w:rPr>
          <w:rFonts w:cs="Tahoma"/>
          <w:lang w:val="pt-PT"/>
        </w:rPr>
      </w:pPr>
      <w:r w:rsidRPr="009027D1">
        <w:rPr>
          <w:rFonts w:cs="Tahoma"/>
          <w:lang w:val="pt-PT"/>
        </w:rPr>
        <w:t>Assim procedeu a ARN</w:t>
      </w:r>
      <w:r w:rsidR="00390901" w:rsidRPr="009027D1">
        <w:rPr>
          <w:rFonts w:cs="Tahoma"/>
          <w:lang w:val="pt-PT"/>
        </w:rPr>
        <w:t xml:space="preserve"> </w:t>
      </w:r>
      <w:r w:rsidRPr="009027D1">
        <w:rPr>
          <w:rFonts w:cs="Tahoma"/>
          <w:lang w:val="pt-PT"/>
        </w:rPr>
        <w:t>aquando da</w:t>
      </w:r>
      <w:r w:rsidR="00390901" w:rsidRPr="009027D1">
        <w:rPr>
          <w:rFonts w:cs="Tahoma"/>
          <w:lang w:val="pt-PT"/>
        </w:rPr>
        <w:t xml:space="preserve"> definição dos mercados relevantes de produtos e serviços, determinação de um mercado relevante como efetivamente concorrencial ou não, </w:t>
      </w:r>
      <w:r w:rsidRPr="009027D1">
        <w:rPr>
          <w:rFonts w:cs="Tahoma"/>
          <w:lang w:val="pt-PT"/>
        </w:rPr>
        <w:t xml:space="preserve">na </w:t>
      </w:r>
      <w:r w:rsidR="00142A08" w:rsidRPr="009027D1">
        <w:rPr>
          <w:rFonts w:cs="Tahoma"/>
          <w:lang w:val="pt-PT"/>
        </w:rPr>
        <w:t>identificação</w:t>
      </w:r>
      <w:r w:rsidR="00390901" w:rsidRPr="009027D1">
        <w:rPr>
          <w:rFonts w:cs="Tahoma"/>
          <w:lang w:val="pt-PT"/>
        </w:rPr>
        <w:t xml:space="preserve"> das empresas com poder de mercado significativo nos mercados relevantes e </w:t>
      </w:r>
      <w:r w:rsidRPr="009027D1">
        <w:rPr>
          <w:rFonts w:cs="Tahoma"/>
          <w:lang w:val="pt-PT"/>
        </w:rPr>
        <w:t>na</w:t>
      </w:r>
      <w:r w:rsidR="00390901" w:rsidRPr="009027D1">
        <w:rPr>
          <w:rFonts w:cs="Tahoma"/>
          <w:lang w:val="pt-PT"/>
        </w:rPr>
        <w:t xml:space="preserve"> </w:t>
      </w:r>
      <w:r w:rsidR="00142A08" w:rsidRPr="009027D1">
        <w:rPr>
          <w:rFonts w:cs="Tahoma"/>
          <w:lang w:val="pt-PT"/>
        </w:rPr>
        <w:t>definição</w:t>
      </w:r>
      <w:r w:rsidR="00BC5BC5" w:rsidRPr="009027D1">
        <w:rPr>
          <w:rFonts w:cs="Tahoma"/>
          <w:lang w:val="pt-PT"/>
        </w:rPr>
        <w:t xml:space="preserve"> </w:t>
      </w:r>
      <w:r w:rsidR="00390901" w:rsidRPr="009027D1">
        <w:rPr>
          <w:rFonts w:cs="Tahoma"/>
          <w:lang w:val="pt-PT"/>
        </w:rPr>
        <w:t xml:space="preserve">de </w:t>
      </w:r>
      <w:r w:rsidR="00142A08" w:rsidRPr="009027D1">
        <w:rPr>
          <w:rFonts w:cs="Tahoma"/>
          <w:lang w:val="pt-PT"/>
        </w:rPr>
        <w:t xml:space="preserve">que tipo de </w:t>
      </w:r>
      <w:r w:rsidR="00390901" w:rsidRPr="009027D1">
        <w:rPr>
          <w:rFonts w:cs="Tahoma"/>
          <w:lang w:val="pt-PT"/>
        </w:rPr>
        <w:t xml:space="preserve">obrigações </w:t>
      </w:r>
      <w:r w:rsidR="00142A08" w:rsidRPr="009027D1">
        <w:rPr>
          <w:rFonts w:cs="Tahoma"/>
          <w:lang w:val="pt-PT"/>
        </w:rPr>
        <w:t xml:space="preserve">poderão ser impostas </w:t>
      </w:r>
      <w:r w:rsidR="00390901" w:rsidRPr="009027D1">
        <w:rPr>
          <w:rFonts w:cs="Tahoma"/>
          <w:lang w:val="pt-PT"/>
        </w:rPr>
        <w:t>às empresas com poder de mercado significativo.</w:t>
      </w:r>
      <w:r w:rsidR="00390901" w:rsidRPr="00154E73">
        <w:rPr>
          <w:rFonts w:cs="Tahoma"/>
          <w:lang w:val="pt-PT"/>
        </w:rPr>
        <w:t xml:space="preserve"> </w:t>
      </w:r>
      <w:r w:rsidR="00D06DEA">
        <w:rPr>
          <w:rFonts w:cs="Tahoma"/>
          <w:lang w:val="pt-PT"/>
        </w:rPr>
        <w:t>Da mesma forma a ARN gostaria de obter comentários sobre a metodologia de elaboração do modelo, sobre o cálculo do Custo Médio do Capital apresentado no Anexo A</w:t>
      </w:r>
      <w:r w:rsidR="007A13FD">
        <w:rPr>
          <w:rFonts w:cs="Tahoma"/>
          <w:lang w:val="pt-PT"/>
        </w:rPr>
        <w:t xml:space="preserve"> e que constitui um elemento relevante na determinação dos custos dos serviços</w:t>
      </w:r>
      <w:r w:rsidR="003B65AA">
        <w:rPr>
          <w:rFonts w:cs="Tahoma"/>
          <w:lang w:val="pt-PT"/>
        </w:rPr>
        <w:t>. Com base neste relatório</w:t>
      </w:r>
      <w:r w:rsidR="00D06DEA">
        <w:rPr>
          <w:rFonts w:cs="Tahoma"/>
          <w:lang w:val="pt-PT"/>
        </w:rPr>
        <w:t xml:space="preserve"> </w:t>
      </w:r>
      <w:r w:rsidR="003B65AA">
        <w:rPr>
          <w:rFonts w:cs="Tahoma"/>
          <w:lang w:val="pt-PT"/>
        </w:rPr>
        <w:t xml:space="preserve">a ARN solicita também aos operadores comentários ou questões </w:t>
      </w:r>
      <w:r w:rsidR="007A13FD">
        <w:rPr>
          <w:rFonts w:cs="Tahoma"/>
          <w:lang w:val="pt-PT"/>
        </w:rPr>
        <w:t xml:space="preserve">sobre os </w:t>
      </w:r>
      <w:r w:rsidR="00D06DEA">
        <w:rPr>
          <w:rFonts w:cs="Tahoma"/>
          <w:lang w:val="pt-PT"/>
        </w:rPr>
        <w:t xml:space="preserve">resultados do modelo </w:t>
      </w:r>
      <w:r w:rsidR="007A13FD">
        <w:rPr>
          <w:rFonts w:cs="Tahoma"/>
          <w:lang w:val="pt-PT"/>
        </w:rPr>
        <w:t xml:space="preserve">de custeio </w:t>
      </w:r>
      <w:r w:rsidR="00D06DEA">
        <w:rPr>
          <w:rFonts w:cs="Tahoma"/>
          <w:lang w:val="pt-PT"/>
        </w:rPr>
        <w:t xml:space="preserve">e a sua aplicação na regulação dos preços grossistas </w:t>
      </w:r>
      <w:r w:rsidR="007A13FD">
        <w:rPr>
          <w:rFonts w:cs="Tahoma"/>
          <w:lang w:val="pt-PT"/>
        </w:rPr>
        <w:t xml:space="preserve">de terminação de voz </w:t>
      </w:r>
      <w:r w:rsidR="00D06DEA">
        <w:rPr>
          <w:rFonts w:cs="Tahoma"/>
          <w:lang w:val="pt-PT"/>
        </w:rPr>
        <w:t>na Guiné Bissau</w:t>
      </w:r>
      <w:r w:rsidR="003C740B">
        <w:rPr>
          <w:rFonts w:cs="Tahoma"/>
          <w:lang w:val="pt-PT"/>
        </w:rPr>
        <w:t xml:space="preserve"> </w:t>
      </w:r>
      <w:r w:rsidR="003C740B" w:rsidRPr="003C740B">
        <w:rPr>
          <w:color w:val="222222"/>
          <w:shd w:val="clear" w:color="auto" w:fill="FFFFFF"/>
          <w:lang w:val="pt-PT"/>
        </w:rPr>
        <w:t>e para avaliação de preços a retalho.</w:t>
      </w:r>
    </w:p>
    <w:p w14:paraId="7683EB9C" w14:textId="08F49DD2" w:rsidR="001164E2" w:rsidRDefault="001164E2" w:rsidP="001164E2">
      <w:pPr>
        <w:pStyle w:val="Heading1"/>
        <w:rPr>
          <w:lang w:val="pt-PT"/>
        </w:rPr>
      </w:pPr>
      <w:bookmarkStart w:id="6" w:name="_Toc75349728"/>
      <w:bookmarkStart w:id="7" w:name="_Toc31617421"/>
      <w:r>
        <w:rPr>
          <w:lang w:val="pt-PT"/>
        </w:rPr>
        <w:lastRenderedPageBreak/>
        <w:t>Modelo de custeio de redes móveis</w:t>
      </w:r>
      <w:bookmarkEnd w:id="6"/>
    </w:p>
    <w:p w14:paraId="2B573A29" w14:textId="66D9DD26" w:rsidR="001164E2" w:rsidRPr="001164E2" w:rsidRDefault="001164E2" w:rsidP="001164E2">
      <w:pPr>
        <w:rPr>
          <w:lang w:val="pt-PT" w:eastAsia="en-GB"/>
        </w:rPr>
      </w:pPr>
      <w:r w:rsidRPr="001164E2">
        <w:rPr>
          <w:lang w:val="pt-PT" w:eastAsia="en-GB"/>
        </w:rPr>
        <w:t xml:space="preserve">As seções </w:t>
      </w:r>
      <w:r>
        <w:rPr>
          <w:lang w:val="pt-PT" w:eastAsia="en-GB"/>
        </w:rPr>
        <w:t>seguintes</w:t>
      </w:r>
      <w:r w:rsidRPr="001164E2">
        <w:rPr>
          <w:lang w:val="pt-PT" w:eastAsia="en-GB"/>
        </w:rPr>
        <w:t xml:space="preserve"> fornecem detalhes sobre o </w:t>
      </w:r>
      <w:r>
        <w:rPr>
          <w:lang w:val="pt-PT" w:eastAsia="en-GB"/>
        </w:rPr>
        <w:t>âmbito</w:t>
      </w:r>
      <w:r w:rsidRPr="001164E2">
        <w:rPr>
          <w:lang w:val="pt-PT" w:eastAsia="en-GB"/>
        </w:rPr>
        <w:t xml:space="preserve">, </w:t>
      </w:r>
      <w:r>
        <w:rPr>
          <w:lang w:val="pt-PT" w:eastAsia="en-GB"/>
        </w:rPr>
        <w:t>objetivo</w:t>
      </w:r>
      <w:r w:rsidRPr="001164E2">
        <w:rPr>
          <w:lang w:val="pt-PT" w:eastAsia="en-GB"/>
        </w:rPr>
        <w:t>, construção e uso do modelo de cust</w:t>
      </w:r>
      <w:r>
        <w:rPr>
          <w:lang w:val="pt-PT" w:eastAsia="en-GB"/>
        </w:rPr>
        <w:t>eio</w:t>
      </w:r>
      <w:r w:rsidRPr="001164E2">
        <w:rPr>
          <w:lang w:val="pt-PT" w:eastAsia="en-GB"/>
        </w:rPr>
        <w:t xml:space="preserve"> de rede</w:t>
      </w:r>
      <w:r>
        <w:rPr>
          <w:lang w:val="pt-PT" w:eastAsia="en-GB"/>
        </w:rPr>
        <w:t>s</w:t>
      </w:r>
      <w:r w:rsidRPr="001164E2">
        <w:rPr>
          <w:lang w:val="pt-PT" w:eastAsia="en-GB"/>
        </w:rPr>
        <w:t xml:space="preserve"> móv</w:t>
      </w:r>
      <w:r>
        <w:rPr>
          <w:lang w:val="pt-PT" w:eastAsia="en-GB"/>
        </w:rPr>
        <w:t>eis</w:t>
      </w:r>
      <w:r w:rsidRPr="001164E2">
        <w:rPr>
          <w:lang w:val="pt-PT" w:eastAsia="en-GB"/>
        </w:rPr>
        <w:t>.</w:t>
      </w:r>
    </w:p>
    <w:p w14:paraId="6C45885A" w14:textId="26B5755E" w:rsidR="00390901" w:rsidRPr="0063445C" w:rsidRDefault="00943FCB" w:rsidP="00390901">
      <w:pPr>
        <w:pStyle w:val="Heading2"/>
        <w:ind w:left="709" w:hanging="709"/>
        <w:rPr>
          <w:lang w:val="pt-PT"/>
        </w:rPr>
      </w:pPr>
      <w:bookmarkStart w:id="8" w:name="_Toc75349729"/>
      <w:bookmarkEnd w:id="7"/>
      <w:r>
        <w:rPr>
          <w:lang w:val="pt-PT"/>
        </w:rPr>
        <w:t>Âmbito e objetivo</w:t>
      </w:r>
      <w:bookmarkEnd w:id="8"/>
    </w:p>
    <w:p w14:paraId="428CD1F1" w14:textId="5A5BBE70" w:rsidR="00390901" w:rsidRPr="00C6080D" w:rsidRDefault="00943FCB" w:rsidP="00142A4D">
      <w:pPr>
        <w:jc w:val="both"/>
        <w:rPr>
          <w:rFonts w:cs="Tahoma"/>
          <w:lang w:val="pt-PT"/>
        </w:rPr>
      </w:pPr>
      <w:r w:rsidRPr="00943FCB">
        <w:rPr>
          <w:rFonts w:cs="Tahoma"/>
          <w:lang w:val="pt-PT"/>
        </w:rPr>
        <w:t>O modelo de cust</w:t>
      </w:r>
      <w:r>
        <w:rPr>
          <w:rFonts w:cs="Tahoma"/>
          <w:lang w:val="pt-PT"/>
        </w:rPr>
        <w:t>ei</w:t>
      </w:r>
      <w:r w:rsidRPr="00943FCB">
        <w:rPr>
          <w:rFonts w:cs="Tahoma"/>
          <w:lang w:val="pt-PT"/>
        </w:rPr>
        <w:t xml:space="preserve">o da rede móvel </w:t>
      </w:r>
      <w:r>
        <w:rPr>
          <w:rFonts w:cs="Tahoma"/>
          <w:lang w:val="pt-PT"/>
        </w:rPr>
        <w:t>serve</w:t>
      </w:r>
      <w:r w:rsidRPr="00943FCB">
        <w:rPr>
          <w:rFonts w:cs="Tahoma"/>
          <w:lang w:val="pt-PT"/>
        </w:rPr>
        <w:t xml:space="preserve"> dois </w:t>
      </w:r>
      <w:r>
        <w:rPr>
          <w:rFonts w:cs="Tahoma"/>
          <w:lang w:val="pt-PT"/>
        </w:rPr>
        <w:t>objetivos</w:t>
      </w:r>
      <w:r w:rsidRPr="00943FCB">
        <w:rPr>
          <w:rFonts w:cs="Tahoma"/>
          <w:lang w:val="pt-PT"/>
        </w:rPr>
        <w:t xml:space="preserve"> principais</w:t>
      </w:r>
      <w:r w:rsidR="00390901" w:rsidRPr="00C6080D">
        <w:rPr>
          <w:rFonts w:cs="Tahoma"/>
          <w:lang w:val="pt-PT"/>
        </w:rPr>
        <w:t>:</w:t>
      </w:r>
    </w:p>
    <w:p w14:paraId="2F5EDE19" w14:textId="163DF4C9" w:rsidR="00390901" w:rsidRDefault="00390901" w:rsidP="00142A4D">
      <w:pPr>
        <w:pStyle w:val="ListParagraph"/>
        <w:numPr>
          <w:ilvl w:val="0"/>
          <w:numId w:val="12"/>
        </w:numPr>
        <w:jc w:val="both"/>
        <w:rPr>
          <w:rFonts w:cs="Tahoma"/>
          <w:lang w:val="pt-PT"/>
        </w:rPr>
      </w:pPr>
      <w:r w:rsidRPr="00C6080D">
        <w:rPr>
          <w:rFonts w:cs="Tahoma"/>
          <w:lang w:val="pt-PT"/>
        </w:rPr>
        <w:t xml:space="preserve">Definir </w:t>
      </w:r>
      <w:r w:rsidR="00943FCB">
        <w:rPr>
          <w:rFonts w:cs="Tahoma"/>
          <w:lang w:val="pt-PT"/>
        </w:rPr>
        <w:t>preços</w:t>
      </w:r>
      <w:r w:rsidR="00943FCB" w:rsidRPr="00943FCB">
        <w:rPr>
          <w:rFonts w:cs="Tahoma"/>
          <w:lang w:val="pt-PT"/>
        </w:rPr>
        <w:t xml:space="preserve"> máxim</w:t>
      </w:r>
      <w:r w:rsidR="00943FCB">
        <w:rPr>
          <w:rFonts w:cs="Tahoma"/>
          <w:lang w:val="pt-PT"/>
        </w:rPr>
        <w:t>o</w:t>
      </w:r>
      <w:r w:rsidR="00943FCB" w:rsidRPr="00943FCB">
        <w:rPr>
          <w:rFonts w:cs="Tahoma"/>
          <w:lang w:val="pt-PT"/>
        </w:rPr>
        <w:t xml:space="preserve">s de </w:t>
      </w:r>
      <w:r w:rsidR="00943FCB">
        <w:rPr>
          <w:rFonts w:cs="Tahoma"/>
          <w:lang w:val="pt-PT"/>
        </w:rPr>
        <w:t>terminação</w:t>
      </w:r>
      <w:r w:rsidR="00943FCB" w:rsidRPr="00943FCB">
        <w:rPr>
          <w:rFonts w:cs="Tahoma"/>
          <w:lang w:val="pt-PT"/>
        </w:rPr>
        <w:t xml:space="preserve">. Seguindo as melhores práticas internacionais, </w:t>
      </w:r>
      <w:r w:rsidR="00943FCB">
        <w:rPr>
          <w:rFonts w:cs="Tahoma"/>
          <w:lang w:val="pt-PT"/>
        </w:rPr>
        <w:t>esses</w:t>
      </w:r>
      <w:r w:rsidR="00943FCB" w:rsidRPr="00943FCB">
        <w:rPr>
          <w:rFonts w:cs="Tahoma"/>
          <w:lang w:val="pt-PT"/>
        </w:rPr>
        <w:t xml:space="preserve"> </w:t>
      </w:r>
      <w:r w:rsidR="00943FCB">
        <w:rPr>
          <w:rFonts w:cs="Tahoma"/>
          <w:lang w:val="pt-PT"/>
        </w:rPr>
        <w:t xml:space="preserve">preços </w:t>
      </w:r>
      <w:r w:rsidR="00943FCB" w:rsidRPr="00943FCB">
        <w:rPr>
          <w:rFonts w:cs="Tahoma"/>
          <w:lang w:val="pt-PT"/>
        </w:rPr>
        <w:t>serão basead</w:t>
      </w:r>
      <w:r w:rsidR="00943FCB">
        <w:rPr>
          <w:rFonts w:cs="Tahoma"/>
          <w:lang w:val="pt-PT"/>
        </w:rPr>
        <w:t>o</w:t>
      </w:r>
      <w:r w:rsidR="00943FCB" w:rsidRPr="00943FCB">
        <w:rPr>
          <w:rFonts w:cs="Tahoma"/>
          <w:lang w:val="pt-PT"/>
        </w:rPr>
        <w:t>s nos Custos Incrementais de Longo Prazo, mais uma margem para custos comuns (</w:t>
      </w:r>
      <w:r w:rsidR="00943FCB">
        <w:rPr>
          <w:rFonts w:cs="Tahoma"/>
          <w:lang w:val="pt-PT"/>
        </w:rPr>
        <w:t>CILP+)</w:t>
      </w:r>
      <w:r w:rsidRPr="00C6080D">
        <w:rPr>
          <w:rFonts w:cs="Tahoma"/>
          <w:lang w:val="pt-PT"/>
        </w:rPr>
        <w:t>; e</w:t>
      </w:r>
    </w:p>
    <w:p w14:paraId="657B2CDD" w14:textId="35A56856" w:rsidR="00390901" w:rsidRDefault="00943FCB" w:rsidP="00142A4D">
      <w:pPr>
        <w:pStyle w:val="ListParagraph"/>
        <w:numPr>
          <w:ilvl w:val="0"/>
          <w:numId w:val="12"/>
        </w:numPr>
        <w:jc w:val="both"/>
        <w:rPr>
          <w:rFonts w:cs="Tahoma"/>
          <w:lang w:val="pt-PT"/>
        </w:rPr>
      </w:pPr>
      <w:r w:rsidRPr="00943FCB">
        <w:rPr>
          <w:rFonts w:cs="Tahoma"/>
          <w:lang w:val="pt-PT"/>
        </w:rPr>
        <w:t xml:space="preserve">Fornecer uma referência objetiva contra a qual </w:t>
      </w:r>
      <w:r>
        <w:rPr>
          <w:rFonts w:cs="Tahoma"/>
          <w:lang w:val="pt-PT"/>
        </w:rPr>
        <w:t>a ARN</w:t>
      </w:r>
      <w:r w:rsidRPr="00943FCB">
        <w:rPr>
          <w:rFonts w:cs="Tahoma"/>
          <w:lang w:val="pt-PT"/>
        </w:rPr>
        <w:t xml:space="preserve"> pode avaliar </w:t>
      </w:r>
      <w:r>
        <w:rPr>
          <w:rFonts w:cs="Tahoma"/>
          <w:lang w:val="pt-PT"/>
        </w:rPr>
        <w:t>os preços grossistas e de retalho dos serviços</w:t>
      </w:r>
      <w:r w:rsidRPr="00943FCB">
        <w:rPr>
          <w:rFonts w:cs="Tahoma"/>
          <w:lang w:val="pt-PT"/>
        </w:rPr>
        <w:t xml:space="preserve">. Existem duas perguntas </w:t>
      </w:r>
      <w:r>
        <w:rPr>
          <w:rFonts w:cs="Tahoma"/>
          <w:lang w:val="pt-PT"/>
        </w:rPr>
        <w:t xml:space="preserve">a que se deve procurar </w:t>
      </w:r>
      <w:r w:rsidRPr="00943FCB">
        <w:rPr>
          <w:rFonts w:cs="Tahoma"/>
          <w:lang w:val="pt-PT"/>
        </w:rPr>
        <w:t>responder:</w:t>
      </w:r>
    </w:p>
    <w:p w14:paraId="25A06949" w14:textId="7068E583" w:rsidR="00943FCB" w:rsidRDefault="00943FCB" w:rsidP="00142A4D">
      <w:pPr>
        <w:pStyle w:val="ListParagraph"/>
        <w:numPr>
          <w:ilvl w:val="1"/>
          <w:numId w:val="12"/>
        </w:numPr>
        <w:jc w:val="both"/>
        <w:rPr>
          <w:rFonts w:cs="Tahoma"/>
          <w:lang w:val="pt-PT"/>
        </w:rPr>
      </w:pPr>
      <w:r>
        <w:rPr>
          <w:rFonts w:cs="Tahoma"/>
          <w:lang w:val="pt-PT"/>
        </w:rPr>
        <w:t xml:space="preserve">O preço do serviço </w:t>
      </w:r>
      <w:r w:rsidRPr="00943FCB">
        <w:rPr>
          <w:rFonts w:cs="Tahoma"/>
          <w:lang w:val="pt-PT"/>
        </w:rPr>
        <w:t>é excessiv</w:t>
      </w:r>
      <w:r>
        <w:rPr>
          <w:rFonts w:cs="Tahoma"/>
          <w:lang w:val="pt-PT"/>
        </w:rPr>
        <w:t>o</w:t>
      </w:r>
      <w:r w:rsidRPr="00943FCB">
        <w:rPr>
          <w:rFonts w:cs="Tahoma"/>
          <w:lang w:val="pt-PT"/>
        </w:rPr>
        <w:t xml:space="preserve">? Os preços excessivos ficarão acima </w:t>
      </w:r>
      <w:r>
        <w:rPr>
          <w:rFonts w:cs="Tahoma"/>
          <w:lang w:val="pt-PT"/>
        </w:rPr>
        <w:t>do</w:t>
      </w:r>
      <w:r w:rsidRPr="00943FCB">
        <w:rPr>
          <w:rFonts w:cs="Tahoma"/>
          <w:lang w:val="pt-PT"/>
        </w:rPr>
        <w:t xml:space="preserve"> </w:t>
      </w:r>
      <w:r>
        <w:rPr>
          <w:rFonts w:cs="Tahoma"/>
          <w:lang w:val="pt-PT"/>
        </w:rPr>
        <w:t>CILP</w:t>
      </w:r>
      <w:r w:rsidRPr="00943FCB">
        <w:rPr>
          <w:rFonts w:cs="Tahoma"/>
          <w:lang w:val="pt-PT"/>
        </w:rPr>
        <w:t xml:space="preserve"> + permitindo também um mark-up para os custos de </w:t>
      </w:r>
      <w:r>
        <w:rPr>
          <w:rFonts w:cs="Tahoma"/>
          <w:lang w:val="pt-PT"/>
        </w:rPr>
        <w:t>retalho</w:t>
      </w:r>
      <w:r w:rsidRPr="00943FCB">
        <w:rPr>
          <w:rFonts w:cs="Tahoma"/>
          <w:lang w:val="pt-PT"/>
        </w:rPr>
        <w:t>.</w:t>
      </w:r>
    </w:p>
    <w:p w14:paraId="0339D199" w14:textId="1A7890A1" w:rsidR="00943FCB" w:rsidRPr="00C6080D" w:rsidRDefault="00943FCB" w:rsidP="00142A4D">
      <w:pPr>
        <w:pStyle w:val="ListParagraph"/>
        <w:numPr>
          <w:ilvl w:val="1"/>
          <w:numId w:val="12"/>
        </w:numPr>
        <w:jc w:val="both"/>
        <w:rPr>
          <w:rFonts w:cs="Tahoma"/>
          <w:lang w:val="pt-PT"/>
        </w:rPr>
      </w:pPr>
      <w:r>
        <w:rPr>
          <w:rFonts w:cs="Tahoma"/>
          <w:lang w:val="pt-PT"/>
        </w:rPr>
        <w:t>O preço é</w:t>
      </w:r>
      <w:r w:rsidRPr="00943FCB">
        <w:rPr>
          <w:rFonts w:cs="Tahoma"/>
          <w:lang w:val="pt-PT"/>
        </w:rPr>
        <w:t xml:space="preserve"> predatóri</w:t>
      </w:r>
      <w:r>
        <w:rPr>
          <w:rFonts w:cs="Tahoma"/>
          <w:lang w:val="pt-PT"/>
        </w:rPr>
        <w:t>o</w:t>
      </w:r>
      <w:r w:rsidRPr="00943FCB">
        <w:rPr>
          <w:rFonts w:cs="Tahoma"/>
          <w:lang w:val="pt-PT"/>
        </w:rPr>
        <w:t xml:space="preserve">? Os preços predatórios ficarão abaixo </w:t>
      </w:r>
      <w:r>
        <w:rPr>
          <w:rFonts w:cs="Tahoma"/>
          <w:lang w:val="pt-PT"/>
        </w:rPr>
        <w:t>de um custo de referência que pode ser o CILP sem custos comuns ou o</w:t>
      </w:r>
      <w:r w:rsidRPr="00943FCB">
        <w:rPr>
          <w:rFonts w:cs="Tahoma"/>
          <w:lang w:val="pt-PT"/>
        </w:rPr>
        <w:t xml:space="preserve"> custo médio evitável (AAC).</w:t>
      </w:r>
    </w:p>
    <w:p w14:paraId="1A14C7D0" w14:textId="1EA2040A" w:rsidR="00390901" w:rsidRDefault="00A52389" w:rsidP="00142A4D">
      <w:pPr>
        <w:jc w:val="both"/>
        <w:rPr>
          <w:rFonts w:cs="Tahoma"/>
          <w:lang w:val="pt-PT"/>
        </w:rPr>
      </w:pPr>
      <w:r w:rsidRPr="00A52389">
        <w:rPr>
          <w:rFonts w:cs="Tahoma"/>
          <w:lang w:val="pt-PT"/>
        </w:rPr>
        <w:t>Para atender a es</w:t>
      </w:r>
      <w:r>
        <w:rPr>
          <w:rFonts w:cs="Tahoma"/>
          <w:lang w:val="pt-PT"/>
        </w:rPr>
        <w:t>t</w:t>
      </w:r>
      <w:r w:rsidRPr="00A52389">
        <w:rPr>
          <w:rFonts w:cs="Tahoma"/>
          <w:lang w:val="pt-PT"/>
        </w:rPr>
        <w:t xml:space="preserve">es </w:t>
      </w:r>
      <w:r>
        <w:rPr>
          <w:rFonts w:cs="Tahoma"/>
          <w:lang w:val="pt-PT"/>
        </w:rPr>
        <w:t>objetivos</w:t>
      </w:r>
      <w:r w:rsidRPr="00A52389">
        <w:rPr>
          <w:rFonts w:cs="Tahoma"/>
          <w:lang w:val="pt-PT"/>
        </w:rPr>
        <w:t>, o modelo de cust</w:t>
      </w:r>
      <w:r>
        <w:rPr>
          <w:rFonts w:cs="Tahoma"/>
          <w:lang w:val="pt-PT"/>
        </w:rPr>
        <w:t>ei</w:t>
      </w:r>
      <w:r w:rsidRPr="00A52389">
        <w:rPr>
          <w:rFonts w:cs="Tahoma"/>
          <w:lang w:val="pt-PT"/>
        </w:rPr>
        <w:t xml:space="preserve">o móvel produz resultados para </w:t>
      </w:r>
      <w:r>
        <w:rPr>
          <w:rFonts w:cs="Tahoma"/>
          <w:lang w:val="pt-PT"/>
        </w:rPr>
        <w:t>CILP e CILP</w:t>
      </w:r>
      <w:r w:rsidRPr="00A52389">
        <w:rPr>
          <w:rFonts w:cs="Tahoma"/>
          <w:lang w:val="pt-PT"/>
        </w:rPr>
        <w:t xml:space="preserve"> +</w:t>
      </w:r>
      <w:r>
        <w:rPr>
          <w:rFonts w:cs="Tahoma"/>
          <w:lang w:val="pt-PT"/>
        </w:rPr>
        <w:t xml:space="preserve">. </w:t>
      </w:r>
      <w:r w:rsidR="00390901">
        <w:rPr>
          <w:rFonts w:cs="Tahoma"/>
          <w:lang w:val="pt-PT"/>
        </w:rPr>
        <w:t xml:space="preserve">Portanto, </w:t>
      </w:r>
      <w:r>
        <w:rPr>
          <w:rFonts w:cs="Tahoma"/>
          <w:lang w:val="pt-PT"/>
        </w:rPr>
        <w:t>o modelo de custeio</w:t>
      </w:r>
      <w:r w:rsidR="00DA5223">
        <w:rPr>
          <w:rFonts w:cs="Tahoma"/>
          <w:lang w:val="pt-PT"/>
        </w:rPr>
        <w:t xml:space="preserve"> </w:t>
      </w:r>
      <w:r>
        <w:rPr>
          <w:rFonts w:cs="Tahoma"/>
          <w:lang w:val="pt-PT"/>
        </w:rPr>
        <w:t>descrito</w:t>
      </w:r>
      <w:r w:rsidR="00DA5223">
        <w:rPr>
          <w:rFonts w:cs="Tahoma"/>
          <w:lang w:val="pt-PT"/>
        </w:rPr>
        <w:t xml:space="preserve"> neste documento </w:t>
      </w:r>
      <w:r w:rsidR="00390901">
        <w:rPr>
          <w:rFonts w:cs="Tahoma"/>
          <w:lang w:val="pt-PT"/>
        </w:rPr>
        <w:t>utiliza</w:t>
      </w:r>
      <w:r w:rsidR="00DA5223">
        <w:rPr>
          <w:rFonts w:cs="Tahoma"/>
          <w:lang w:val="pt-PT"/>
        </w:rPr>
        <w:t xml:space="preserve"> em termos de metodologia</w:t>
      </w:r>
      <w:r w:rsidR="00390901">
        <w:rPr>
          <w:rFonts w:cs="Tahoma"/>
          <w:lang w:val="pt-PT"/>
        </w:rPr>
        <w:t xml:space="preserve"> aquilo que se consideram </w:t>
      </w:r>
      <w:r w:rsidR="00390901" w:rsidRPr="00140706">
        <w:rPr>
          <w:rFonts w:cs="Tahoma"/>
          <w:lang w:val="pt-PT"/>
        </w:rPr>
        <w:t>as melhores práticas internacionais</w:t>
      </w:r>
      <w:r w:rsidR="00390901">
        <w:rPr>
          <w:rFonts w:cs="Tahoma"/>
          <w:lang w:val="pt-PT"/>
        </w:rPr>
        <w:t xml:space="preserve"> no</w:t>
      </w:r>
      <w:r w:rsidR="00390901" w:rsidRPr="00140706">
        <w:rPr>
          <w:rFonts w:cs="Tahoma"/>
          <w:lang w:val="pt-PT"/>
        </w:rPr>
        <w:t xml:space="preserve"> processo de identificação </w:t>
      </w:r>
      <w:r>
        <w:rPr>
          <w:rFonts w:cs="Tahoma"/>
          <w:lang w:val="pt-PT"/>
        </w:rPr>
        <w:t>dos custos de serviços em redes móveis</w:t>
      </w:r>
      <w:r w:rsidR="00390901" w:rsidRPr="00140706">
        <w:rPr>
          <w:rFonts w:cs="Tahoma"/>
          <w:lang w:val="pt-PT"/>
        </w:rPr>
        <w:t xml:space="preserve">. </w:t>
      </w:r>
      <w:r w:rsidR="00390901" w:rsidRPr="00122B0A">
        <w:rPr>
          <w:rFonts w:cs="Tahoma"/>
          <w:lang w:val="pt-PT"/>
        </w:rPr>
        <w:t xml:space="preserve">Uma das melhores práticas para </w:t>
      </w:r>
      <w:r>
        <w:rPr>
          <w:rFonts w:cs="Tahoma"/>
          <w:lang w:val="pt-PT"/>
        </w:rPr>
        <w:t>elaboração de modelos de custeio</w:t>
      </w:r>
      <w:r w:rsidR="00390901" w:rsidRPr="00122B0A">
        <w:rPr>
          <w:rFonts w:cs="Tahoma"/>
          <w:lang w:val="pt-PT"/>
        </w:rPr>
        <w:t xml:space="preserve"> foi estabelecida pela União Europeia como parte de seu pacote de reformas regulamentares introduzidas em 2002. </w:t>
      </w:r>
      <w:r w:rsidRPr="00A52389">
        <w:rPr>
          <w:rFonts w:cs="Tahoma"/>
          <w:lang w:val="pt-PT"/>
        </w:rPr>
        <w:t xml:space="preserve">No entanto, na União Europeia, </w:t>
      </w:r>
      <w:r>
        <w:rPr>
          <w:rFonts w:cs="Tahoma"/>
          <w:lang w:val="pt-PT"/>
        </w:rPr>
        <w:t>no caso da terminação de chamadas de voz em redes móveis o</w:t>
      </w:r>
      <w:r w:rsidRPr="00A52389">
        <w:rPr>
          <w:rFonts w:cs="Tahoma"/>
          <w:lang w:val="pt-PT"/>
        </w:rPr>
        <w:t xml:space="preserve"> padrão de custo </w:t>
      </w:r>
      <w:r>
        <w:rPr>
          <w:rFonts w:cs="Tahoma"/>
          <w:lang w:val="pt-PT"/>
        </w:rPr>
        <w:t>utilizado é</w:t>
      </w:r>
      <w:r w:rsidRPr="00A52389">
        <w:rPr>
          <w:rFonts w:cs="Tahoma"/>
          <w:lang w:val="pt-PT"/>
        </w:rPr>
        <w:t xml:space="preserve"> </w:t>
      </w:r>
      <w:r>
        <w:rPr>
          <w:rFonts w:cs="Tahoma"/>
          <w:lang w:val="pt-PT"/>
        </w:rPr>
        <w:t xml:space="preserve">o </w:t>
      </w:r>
      <w:r w:rsidRPr="00A52389">
        <w:rPr>
          <w:rFonts w:cs="Tahoma"/>
          <w:lang w:val="pt-PT"/>
        </w:rPr>
        <w:t xml:space="preserve">mais baixo, conhecido como </w:t>
      </w:r>
      <w:r>
        <w:rPr>
          <w:rFonts w:cs="Tahoma"/>
          <w:lang w:val="pt-PT"/>
        </w:rPr>
        <w:t>CILP Puro (</w:t>
      </w:r>
      <w:r w:rsidRPr="00A52389">
        <w:rPr>
          <w:rFonts w:cs="Tahoma"/>
          <w:lang w:val="pt-PT"/>
        </w:rPr>
        <w:t>“Pure LRIC”</w:t>
      </w:r>
      <w:r>
        <w:rPr>
          <w:rFonts w:cs="Tahoma"/>
          <w:lang w:val="pt-PT"/>
        </w:rPr>
        <w:t>)</w:t>
      </w:r>
      <w:r w:rsidR="00390901" w:rsidRPr="0063445C">
        <w:rPr>
          <w:rFonts w:cs="Tahoma"/>
          <w:lang w:val="pt-PT"/>
        </w:rPr>
        <w:t xml:space="preserve">. </w:t>
      </w:r>
      <w:r>
        <w:rPr>
          <w:rFonts w:cs="Tahoma"/>
          <w:lang w:val="pt-PT"/>
        </w:rPr>
        <w:t>Recentemente foi definida uma taxa de terminação única a aplicar em todos os países da União Europeia.</w:t>
      </w:r>
    </w:p>
    <w:p w14:paraId="5A2CCFD4" w14:textId="4F14803E" w:rsidR="00F64A1C" w:rsidRPr="00356C35" w:rsidRDefault="00390901" w:rsidP="00142A4D">
      <w:pPr>
        <w:pStyle w:val="Heading2"/>
        <w:ind w:left="709" w:hanging="709"/>
        <w:jc w:val="both"/>
        <w:rPr>
          <w:lang w:val="pt-PT"/>
        </w:rPr>
      </w:pPr>
      <w:r>
        <w:rPr>
          <w:rFonts w:cs="Tahoma"/>
          <w:kern w:val="32"/>
          <w:lang w:val="pt-PT"/>
        </w:rPr>
        <w:t xml:space="preserve"> </w:t>
      </w:r>
      <w:bookmarkStart w:id="9" w:name="_Toc75349730"/>
      <w:r w:rsidR="00356C35">
        <w:rPr>
          <w:lang w:val="pt-PT"/>
        </w:rPr>
        <w:t>Abordagem conceptual</w:t>
      </w:r>
      <w:bookmarkEnd w:id="9"/>
    </w:p>
    <w:p w14:paraId="72747E9E" w14:textId="77777777" w:rsidR="00356C35" w:rsidRPr="006937D2" w:rsidRDefault="00356C35" w:rsidP="00142A4D">
      <w:pPr>
        <w:jc w:val="both"/>
        <w:rPr>
          <w:lang w:val="pt-PT"/>
        </w:rPr>
      </w:pPr>
      <w:r w:rsidRPr="005E43A1">
        <w:rPr>
          <w:lang w:val="pt-PT"/>
        </w:rPr>
        <w:t>O modelo de cust</w:t>
      </w:r>
      <w:r>
        <w:rPr>
          <w:lang w:val="pt-PT"/>
        </w:rPr>
        <w:t>ei</w:t>
      </w:r>
      <w:r w:rsidRPr="005E43A1">
        <w:rPr>
          <w:lang w:val="pt-PT"/>
        </w:rPr>
        <w:t>o da rede móvel é baseado na abordagem de custo incremental de longo prazo que é prática regulatória internacionalmente</w:t>
      </w:r>
      <w:r>
        <w:rPr>
          <w:lang w:val="pt-PT"/>
        </w:rPr>
        <w:t xml:space="preserve"> aceite</w:t>
      </w:r>
      <w:r w:rsidRPr="005E43A1">
        <w:rPr>
          <w:lang w:val="pt-PT"/>
        </w:rPr>
        <w:t xml:space="preserve">. </w:t>
      </w:r>
      <w:r w:rsidRPr="006937D2">
        <w:rPr>
          <w:lang w:val="pt-PT"/>
        </w:rPr>
        <w:t xml:space="preserve">A </w:t>
      </w:r>
      <w:r>
        <w:rPr>
          <w:lang w:val="pt-PT"/>
        </w:rPr>
        <w:t>conceção</w:t>
      </w:r>
      <w:r w:rsidRPr="006937D2">
        <w:rPr>
          <w:lang w:val="pt-PT"/>
        </w:rPr>
        <w:t xml:space="preserve"> geral do modelo é mostrada na Figura 2.1.  </w:t>
      </w:r>
    </w:p>
    <w:p w14:paraId="55323944" w14:textId="77777777" w:rsidR="00D11E92" w:rsidRPr="00EE1C16" w:rsidRDefault="00D11E92" w:rsidP="00D11E92">
      <w:pPr>
        <w:pStyle w:val="OvumFigure"/>
        <w:keepNext/>
        <w:rPr>
          <w:rFonts w:ascii="Tahoma" w:hAnsi="Tahoma" w:cs="Tahoma"/>
          <w:sz w:val="22"/>
          <w:szCs w:val="22"/>
          <w:lang w:val="pt-PT"/>
        </w:rPr>
      </w:pPr>
      <w:r w:rsidRPr="00EE1C16">
        <w:rPr>
          <w:rFonts w:ascii="Tahoma" w:hAnsi="Tahoma" w:cs="Tahoma"/>
          <w:sz w:val="22"/>
          <w:szCs w:val="22"/>
          <w:lang w:val="pt-PT"/>
        </w:rPr>
        <w:lastRenderedPageBreak/>
        <w:t>Figura 2.1: Estrutura do modelo de custeio da rede móvel</w:t>
      </w:r>
    </w:p>
    <w:p w14:paraId="030E255F" w14:textId="22121483" w:rsidR="00862AC5" w:rsidRDefault="00D11E92" w:rsidP="00142A4D">
      <w:pPr>
        <w:jc w:val="both"/>
        <w:rPr>
          <w:lang w:val="pt-PT"/>
        </w:rPr>
      </w:pPr>
      <w:r w:rsidRPr="00D11E92">
        <w:rPr>
          <w:noProof/>
        </w:rPr>
        <w:drawing>
          <wp:inline distT="0" distB="0" distL="0" distR="0" wp14:anchorId="5BC0F4BF" wp14:editId="060825A3">
            <wp:extent cx="5728335" cy="2492375"/>
            <wp:effectExtent l="0" t="0" r="5715"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8335" cy="2492375"/>
                    </a:xfrm>
                    <a:prstGeom prst="rect">
                      <a:avLst/>
                    </a:prstGeom>
                    <a:noFill/>
                    <a:ln>
                      <a:noFill/>
                    </a:ln>
                  </pic:spPr>
                </pic:pic>
              </a:graphicData>
            </a:graphic>
          </wp:inline>
        </w:drawing>
      </w:r>
      <w:r w:rsidR="00862AC5" w:rsidRPr="00862AC5">
        <w:rPr>
          <w:lang w:val="pt-PT"/>
        </w:rPr>
        <w:t xml:space="preserve"> </w:t>
      </w:r>
      <w:r w:rsidR="00862AC5" w:rsidRPr="00AB0892">
        <w:rPr>
          <w:lang w:val="pt-PT"/>
        </w:rPr>
        <w:t xml:space="preserve">Cada </w:t>
      </w:r>
      <w:r w:rsidR="00862AC5">
        <w:rPr>
          <w:lang w:val="pt-PT"/>
        </w:rPr>
        <w:t>retângulo</w:t>
      </w:r>
      <w:r w:rsidR="00862AC5" w:rsidRPr="00AB0892">
        <w:rPr>
          <w:lang w:val="pt-PT"/>
        </w:rPr>
        <w:t xml:space="preserve"> nesta figura representa uma </w:t>
      </w:r>
      <w:r w:rsidR="00862AC5">
        <w:rPr>
          <w:lang w:val="pt-PT"/>
        </w:rPr>
        <w:t>folha de cálculo</w:t>
      </w:r>
      <w:r w:rsidR="00862AC5" w:rsidRPr="00AB0892">
        <w:rPr>
          <w:lang w:val="pt-PT"/>
        </w:rPr>
        <w:t xml:space="preserve"> do modelo de cust</w:t>
      </w:r>
      <w:r w:rsidR="00862AC5">
        <w:rPr>
          <w:lang w:val="pt-PT"/>
        </w:rPr>
        <w:t>ei</w:t>
      </w:r>
      <w:r w:rsidR="00862AC5" w:rsidRPr="00AB0892">
        <w:rPr>
          <w:lang w:val="pt-PT"/>
        </w:rPr>
        <w:t xml:space="preserve">o: </w:t>
      </w:r>
      <w:r w:rsidR="00862AC5">
        <w:rPr>
          <w:lang w:val="pt-PT"/>
        </w:rPr>
        <w:t>o</w:t>
      </w:r>
      <w:r w:rsidR="00862AC5" w:rsidRPr="00AB0892">
        <w:rPr>
          <w:lang w:val="pt-PT"/>
        </w:rPr>
        <w:t xml:space="preserve">s </w:t>
      </w:r>
      <w:r w:rsidR="00862AC5">
        <w:rPr>
          <w:lang w:val="pt-PT"/>
        </w:rPr>
        <w:t xml:space="preserve">retângulos </w:t>
      </w:r>
      <w:r w:rsidR="00862AC5" w:rsidRPr="00AB0892">
        <w:rPr>
          <w:lang w:val="pt-PT"/>
        </w:rPr>
        <w:t>sombread</w:t>
      </w:r>
      <w:r w:rsidR="00862AC5">
        <w:rPr>
          <w:lang w:val="pt-PT"/>
        </w:rPr>
        <w:t>o</w:t>
      </w:r>
      <w:r w:rsidR="00862AC5" w:rsidRPr="00AB0892">
        <w:rPr>
          <w:lang w:val="pt-PT"/>
        </w:rPr>
        <w:t xml:space="preserve">s em </w:t>
      </w:r>
      <w:r w:rsidR="00862AC5">
        <w:rPr>
          <w:lang w:val="pt-PT"/>
        </w:rPr>
        <w:t>castanho claro</w:t>
      </w:r>
      <w:r w:rsidR="00862AC5" w:rsidRPr="00AB0892">
        <w:rPr>
          <w:lang w:val="pt-PT"/>
        </w:rPr>
        <w:t xml:space="preserve"> são as folhas que controlam os cenários que estão </w:t>
      </w:r>
      <w:r w:rsidR="00862AC5">
        <w:rPr>
          <w:lang w:val="pt-PT"/>
        </w:rPr>
        <w:t>a ser</w:t>
      </w:r>
      <w:r w:rsidR="00862AC5" w:rsidRPr="00AB0892">
        <w:rPr>
          <w:lang w:val="pt-PT"/>
        </w:rPr>
        <w:t xml:space="preserve"> model</w:t>
      </w:r>
      <w:r w:rsidR="00862AC5">
        <w:rPr>
          <w:lang w:val="pt-PT"/>
        </w:rPr>
        <w:t>iz</w:t>
      </w:r>
      <w:r w:rsidR="00862AC5" w:rsidRPr="00AB0892">
        <w:rPr>
          <w:lang w:val="pt-PT"/>
        </w:rPr>
        <w:t xml:space="preserve">ados; aqueles que estão sombreados em amarelo </w:t>
      </w:r>
      <w:r w:rsidR="00862AC5">
        <w:rPr>
          <w:lang w:val="pt-PT"/>
        </w:rPr>
        <w:t>contêm</w:t>
      </w:r>
      <w:r w:rsidR="00862AC5" w:rsidRPr="00AB0892">
        <w:rPr>
          <w:lang w:val="pt-PT"/>
        </w:rPr>
        <w:t xml:space="preserve"> os principais dados de entrada e </w:t>
      </w:r>
      <w:r w:rsidR="00862AC5">
        <w:rPr>
          <w:lang w:val="pt-PT"/>
        </w:rPr>
        <w:t>hipóteses do modelo</w:t>
      </w:r>
      <w:r w:rsidR="00862AC5" w:rsidRPr="00AB0892">
        <w:rPr>
          <w:lang w:val="pt-PT"/>
        </w:rPr>
        <w:t xml:space="preserve">; aqueles que estão sombreados em azul </w:t>
      </w:r>
      <w:r w:rsidR="00EE1C16">
        <w:rPr>
          <w:lang w:val="pt-PT"/>
        </w:rPr>
        <w:t>efetuam</w:t>
      </w:r>
      <w:r w:rsidR="00862AC5" w:rsidRPr="00AB0892">
        <w:rPr>
          <w:lang w:val="pt-PT"/>
        </w:rPr>
        <w:t xml:space="preserve"> os cálculos de custo.</w:t>
      </w:r>
    </w:p>
    <w:p w14:paraId="6201EC4B" w14:textId="77777777" w:rsidR="00A153A4" w:rsidRPr="00AB0892" w:rsidRDefault="00A153A4" w:rsidP="00142A4D">
      <w:pPr>
        <w:jc w:val="both"/>
        <w:rPr>
          <w:lang w:val="pt-PT"/>
        </w:rPr>
      </w:pPr>
      <w:r w:rsidRPr="00AB0892">
        <w:rPr>
          <w:lang w:val="pt-PT"/>
        </w:rPr>
        <w:t>O modelo de cust</w:t>
      </w:r>
      <w:r>
        <w:rPr>
          <w:lang w:val="pt-PT"/>
        </w:rPr>
        <w:t>ei</w:t>
      </w:r>
      <w:r w:rsidRPr="00AB0892">
        <w:rPr>
          <w:lang w:val="pt-PT"/>
        </w:rPr>
        <w:t xml:space="preserve">o móvel foi projetado de forma a </w:t>
      </w:r>
      <w:r>
        <w:rPr>
          <w:lang w:val="pt-PT"/>
        </w:rPr>
        <w:t>calcular</w:t>
      </w:r>
      <w:r w:rsidRPr="00AB0892">
        <w:rPr>
          <w:lang w:val="pt-PT"/>
        </w:rPr>
        <w:t xml:space="preserve"> os custos de cada operadora com base </w:t>
      </w:r>
      <w:r>
        <w:rPr>
          <w:lang w:val="pt-PT"/>
        </w:rPr>
        <w:t>nas</w:t>
      </w:r>
      <w:r w:rsidRPr="00AB0892">
        <w:rPr>
          <w:lang w:val="pt-PT"/>
        </w:rPr>
        <w:t xml:space="preserve"> suas características particulares de cobertura, assinantes</w:t>
      </w:r>
      <w:r>
        <w:rPr>
          <w:lang w:val="pt-PT"/>
        </w:rPr>
        <w:t xml:space="preserve">, </w:t>
      </w:r>
      <w:r w:rsidRPr="00AB0892">
        <w:rPr>
          <w:lang w:val="pt-PT"/>
        </w:rPr>
        <w:t xml:space="preserve">níveis de tráfego e combinação de tecnologias 2G / 3G / 4G. </w:t>
      </w:r>
      <w:r>
        <w:rPr>
          <w:lang w:val="pt-PT"/>
        </w:rPr>
        <w:t>Atualmente</w:t>
      </w:r>
      <w:r w:rsidRPr="00AB0892">
        <w:rPr>
          <w:lang w:val="pt-PT"/>
        </w:rPr>
        <w:t xml:space="preserve"> as operadoras </w:t>
      </w:r>
      <w:r>
        <w:rPr>
          <w:lang w:val="pt-PT"/>
        </w:rPr>
        <w:t>na Guiné Bissau</w:t>
      </w:r>
      <w:r w:rsidRPr="00AB0892">
        <w:rPr>
          <w:lang w:val="pt-PT"/>
        </w:rPr>
        <w:t xml:space="preserve"> estão no processo de atualização d</w:t>
      </w:r>
      <w:r>
        <w:rPr>
          <w:lang w:val="pt-PT"/>
        </w:rPr>
        <w:t>as</w:t>
      </w:r>
      <w:r w:rsidRPr="00AB0892">
        <w:rPr>
          <w:lang w:val="pt-PT"/>
        </w:rPr>
        <w:t xml:space="preserve"> suas redes para </w:t>
      </w:r>
      <w:r>
        <w:rPr>
          <w:lang w:val="pt-PT"/>
        </w:rPr>
        <w:t xml:space="preserve">uma </w:t>
      </w:r>
      <w:r w:rsidRPr="00AB0892">
        <w:rPr>
          <w:lang w:val="pt-PT"/>
        </w:rPr>
        <w:t xml:space="preserve">operação </w:t>
      </w:r>
      <w:r>
        <w:rPr>
          <w:lang w:val="pt-PT"/>
        </w:rPr>
        <w:t xml:space="preserve">centrada no </w:t>
      </w:r>
      <w:r w:rsidRPr="00AB0892">
        <w:rPr>
          <w:lang w:val="pt-PT"/>
        </w:rPr>
        <w:t xml:space="preserve">3G e 4G, e o processo de atualização e substituição de </w:t>
      </w:r>
      <w:r>
        <w:rPr>
          <w:lang w:val="pt-PT"/>
        </w:rPr>
        <w:t xml:space="preserve">tráfego no equipamento </w:t>
      </w:r>
      <w:r w:rsidRPr="00AB0892">
        <w:rPr>
          <w:lang w:val="pt-PT"/>
        </w:rPr>
        <w:t xml:space="preserve">2G será </w:t>
      </w:r>
      <w:r>
        <w:rPr>
          <w:lang w:val="pt-PT"/>
        </w:rPr>
        <w:t xml:space="preserve">certamente </w:t>
      </w:r>
      <w:r w:rsidRPr="00AB0892">
        <w:rPr>
          <w:lang w:val="pt-PT"/>
        </w:rPr>
        <w:t>acelerado no futuro.</w:t>
      </w:r>
    </w:p>
    <w:p w14:paraId="7ED2E1C4" w14:textId="035C3CEF" w:rsidR="00A153A4" w:rsidRPr="00417726" w:rsidRDefault="00A153A4" w:rsidP="00142A4D">
      <w:pPr>
        <w:jc w:val="both"/>
        <w:rPr>
          <w:lang w:val="pt-PT"/>
        </w:rPr>
      </w:pPr>
      <w:r w:rsidRPr="00AB0892">
        <w:rPr>
          <w:lang w:val="pt-PT"/>
        </w:rPr>
        <w:t xml:space="preserve">Além disso, o modelo estima os custos de um operador moderno </w:t>
      </w:r>
      <w:r w:rsidRPr="004B15BE">
        <w:rPr>
          <w:lang w:val="pt-PT"/>
        </w:rPr>
        <w:t xml:space="preserve">eficiente </w:t>
      </w:r>
      <w:r>
        <w:rPr>
          <w:lang w:val="pt-PT"/>
        </w:rPr>
        <w:t>hipotético</w:t>
      </w:r>
      <w:r w:rsidRPr="00AB0892">
        <w:rPr>
          <w:lang w:val="pt-PT"/>
        </w:rPr>
        <w:t xml:space="preserve"> (</w:t>
      </w:r>
      <w:r>
        <w:rPr>
          <w:lang w:val="pt-PT"/>
        </w:rPr>
        <w:t>OME</w:t>
      </w:r>
      <w:r w:rsidRPr="00AB0892">
        <w:rPr>
          <w:lang w:val="pt-PT"/>
        </w:rPr>
        <w:t xml:space="preserve">) que tem cobertura </w:t>
      </w:r>
      <w:r>
        <w:rPr>
          <w:lang w:val="pt-PT"/>
        </w:rPr>
        <w:t>e quota de mercado média (média dos dois operadores)</w:t>
      </w:r>
      <w:r w:rsidRPr="00AB0892">
        <w:rPr>
          <w:lang w:val="pt-PT"/>
        </w:rPr>
        <w:t xml:space="preserve">, </w:t>
      </w:r>
      <w:r w:rsidRPr="004B15BE">
        <w:rPr>
          <w:lang w:val="pt-PT"/>
        </w:rPr>
        <w:t>e utiliza o mix ideal de tecnologias</w:t>
      </w:r>
      <w:r>
        <w:rPr>
          <w:lang w:val="pt-PT"/>
        </w:rPr>
        <w:t xml:space="preserve"> 2G, 3G e 4G</w:t>
      </w:r>
      <w:r w:rsidRPr="00AB0892">
        <w:rPr>
          <w:lang w:val="pt-PT"/>
        </w:rPr>
        <w:t xml:space="preserve">. Antecipamos que a maioria das decisões de </w:t>
      </w:r>
      <w:r>
        <w:rPr>
          <w:lang w:val="pt-PT"/>
        </w:rPr>
        <w:t xml:space="preserve">regulação dos </w:t>
      </w:r>
      <w:r w:rsidRPr="00AB0892">
        <w:rPr>
          <w:lang w:val="pt-PT"/>
        </w:rPr>
        <w:t>preços</w:t>
      </w:r>
      <w:r>
        <w:rPr>
          <w:lang w:val="pt-PT"/>
        </w:rPr>
        <w:t xml:space="preserve">, como por exemplo os preços de terminação, </w:t>
      </w:r>
      <w:r w:rsidRPr="00AB0892">
        <w:rPr>
          <w:lang w:val="pt-PT"/>
        </w:rPr>
        <w:t xml:space="preserve">serão tomadas com base no </w:t>
      </w:r>
      <w:r>
        <w:rPr>
          <w:lang w:val="pt-PT"/>
        </w:rPr>
        <w:t>OME</w:t>
      </w:r>
      <w:r w:rsidRPr="00AB0892">
        <w:rPr>
          <w:lang w:val="pt-PT"/>
        </w:rPr>
        <w:t xml:space="preserve">, mas </w:t>
      </w:r>
      <w:r>
        <w:rPr>
          <w:lang w:val="pt-PT"/>
        </w:rPr>
        <w:t>a ARN</w:t>
      </w:r>
      <w:r w:rsidRPr="00AB0892">
        <w:rPr>
          <w:lang w:val="pt-PT"/>
        </w:rPr>
        <w:t xml:space="preserve"> </w:t>
      </w:r>
      <w:r>
        <w:rPr>
          <w:lang w:val="pt-PT"/>
        </w:rPr>
        <w:t>será</w:t>
      </w:r>
      <w:r w:rsidRPr="00AB0892">
        <w:rPr>
          <w:lang w:val="pt-PT"/>
        </w:rPr>
        <w:t xml:space="preserve"> igualmente capaz de comparar </w:t>
      </w:r>
      <w:r>
        <w:rPr>
          <w:lang w:val="pt-PT"/>
        </w:rPr>
        <w:t>os</w:t>
      </w:r>
      <w:r w:rsidRPr="00AB0892">
        <w:rPr>
          <w:lang w:val="pt-PT"/>
        </w:rPr>
        <w:t xml:space="preserve"> resultados com os custos equivalentes para cada operador individual</w:t>
      </w:r>
      <w:r>
        <w:rPr>
          <w:lang w:val="pt-PT"/>
        </w:rPr>
        <w:t>mente</w:t>
      </w:r>
      <w:r w:rsidRPr="00417726">
        <w:rPr>
          <w:lang w:val="pt-PT"/>
        </w:rPr>
        <w:t>.</w:t>
      </w:r>
    </w:p>
    <w:p w14:paraId="2E3B54D4" w14:textId="09B93D5A" w:rsidR="00A153A4" w:rsidRPr="00A153A4" w:rsidRDefault="00A153A4" w:rsidP="00142A4D">
      <w:pPr>
        <w:pStyle w:val="Heading2"/>
        <w:ind w:left="567"/>
        <w:jc w:val="both"/>
        <w:rPr>
          <w:lang w:val="pt-PT"/>
        </w:rPr>
      </w:pPr>
      <w:bookmarkStart w:id="10" w:name="_Toc72854655"/>
      <w:bookmarkStart w:id="11" w:name="_Toc75349731"/>
      <w:r w:rsidRPr="00417726">
        <w:rPr>
          <w:lang w:val="pt-PT"/>
        </w:rPr>
        <w:t xml:space="preserve">Princípios de </w:t>
      </w:r>
      <w:r>
        <w:rPr>
          <w:lang w:val="pt-PT"/>
        </w:rPr>
        <w:t>modelação</w:t>
      </w:r>
      <w:r w:rsidRPr="00417726">
        <w:rPr>
          <w:lang w:val="pt-PT"/>
        </w:rPr>
        <w:t xml:space="preserve"> de custos</w:t>
      </w:r>
      <w:bookmarkEnd w:id="10"/>
      <w:bookmarkEnd w:id="11"/>
    </w:p>
    <w:p w14:paraId="04FBF0A8" w14:textId="77777777" w:rsidR="00A153A4" w:rsidRPr="00C97E41" w:rsidRDefault="00A153A4" w:rsidP="00142A4D">
      <w:pPr>
        <w:pStyle w:val="BodyText"/>
        <w:jc w:val="both"/>
        <w:rPr>
          <w:lang w:val="pt-PT"/>
        </w:rPr>
      </w:pPr>
      <w:r w:rsidRPr="00C97E41">
        <w:rPr>
          <w:lang w:val="pt-PT"/>
        </w:rPr>
        <w:t>O modelo foi construído usando uma série de princípios de modela</w:t>
      </w:r>
      <w:r>
        <w:rPr>
          <w:lang w:val="pt-PT"/>
        </w:rPr>
        <w:t>ção</w:t>
      </w:r>
      <w:r w:rsidRPr="00C97E41">
        <w:rPr>
          <w:lang w:val="pt-PT"/>
        </w:rPr>
        <w:t>:</w:t>
      </w:r>
    </w:p>
    <w:p w14:paraId="504C1BF8" w14:textId="2A386AA0" w:rsidR="00A153A4" w:rsidRPr="00A15079" w:rsidRDefault="00A153A4" w:rsidP="00142A4D">
      <w:pPr>
        <w:pStyle w:val="OvumBullets"/>
        <w:numPr>
          <w:ilvl w:val="0"/>
          <w:numId w:val="8"/>
        </w:numPr>
        <w:ind w:left="426"/>
        <w:jc w:val="both"/>
        <w:rPr>
          <w:rFonts w:ascii="Tahoma" w:hAnsi="Tahoma" w:cs="Tahoma"/>
          <w:sz w:val="22"/>
          <w:szCs w:val="22"/>
          <w:lang w:val="pt-PT"/>
        </w:rPr>
      </w:pPr>
      <w:r w:rsidRPr="00A15079">
        <w:rPr>
          <w:rFonts w:ascii="Tahoma" w:hAnsi="Tahoma" w:cs="Tahoma"/>
          <w:sz w:val="22"/>
          <w:szCs w:val="22"/>
          <w:lang w:val="pt-PT"/>
        </w:rPr>
        <w:t>É um modelo ascendente (BU) - modelos econômicos projetados para fazer uma estimativa dos custos incorridos de forma eficiente com base nas relações de engenharia entre custos e serviços.</w:t>
      </w:r>
    </w:p>
    <w:p w14:paraId="12D9E91D" w14:textId="77777777" w:rsidR="00A153A4" w:rsidRPr="00A15079" w:rsidRDefault="00A153A4" w:rsidP="00142A4D">
      <w:pPr>
        <w:pStyle w:val="OvumBullets"/>
        <w:numPr>
          <w:ilvl w:val="0"/>
          <w:numId w:val="8"/>
        </w:numPr>
        <w:ind w:left="426"/>
        <w:jc w:val="both"/>
        <w:rPr>
          <w:rFonts w:ascii="Tahoma" w:hAnsi="Tahoma" w:cs="Tahoma"/>
          <w:sz w:val="22"/>
          <w:szCs w:val="22"/>
          <w:lang w:val="pt-PT"/>
        </w:rPr>
      </w:pPr>
      <w:r w:rsidRPr="00A15079">
        <w:rPr>
          <w:rFonts w:ascii="Tahoma" w:hAnsi="Tahoma" w:cs="Tahoma"/>
          <w:sz w:val="22"/>
          <w:szCs w:val="22"/>
          <w:lang w:val="pt-PT"/>
        </w:rPr>
        <w:lastRenderedPageBreak/>
        <w:t xml:space="preserve">É um modelo CILP + - mede os Custos Incrementais de Longo Prazo do Serviço mais uma margem para custos comuns. Este padrão de custo tem sido adotado internacionalmente como a melhor medida para preços de terminação regulados. </w:t>
      </w:r>
    </w:p>
    <w:p w14:paraId="4CD0C637" w14:textId="77777777" w:rsidR="00A153A4" w:rsidRPr="00A15079" w:rsidRDefault="00A153A4" w:rsidP="00142A4D">
      <w:pPr>
        <w:pStyle w:val="OvumBullets"/>
        <w:numPr>
          <w:ilvl w:val="0"/>
          <w:numId w:val="8"/>
        </w:numPr>
        <w:ind w:left="426"/>
        <w:jc w:val="both"/>
        <w:rPr>
          <w:rFonts w:ascii="Tahoma" w:hAnsi="Tahoma" w:cs="Tahoma"/>
          <w:sz w:val="22"/>
          <w:szCs w:val="22"/>
          <w:lang w:val="pt-PT"/>
        </w:rPr>
      </w:pPr>
      <w:r w:rsidRPr="00A15079">
        <w:rPr>
          <w:rFonts w:ascii="Tahoma" w:hAnsi="Tahoma" w:cs="Tahoma"/>
          <w:sz w:val="22"/>
          <w:szCs w:val="22"/>
          <w:lang w:val="pt-PT"/>
        </w:rPr>
        <w:t xml:space="preserve">Os custos anualizados são calculados como a soma dos custos de capital e despesas operacionais. Os custos de capital anualizados são calculados usando uma abordagem de depreciação inclinada, consistente com o uso de um modelo ascendente no qual a rede é calibrada a cada ano para responder ao nível de procura daquele ano.  </w:t>
      </w:r>
    </w:p>
    <w:p w14:paraId="00510D2B" w14:textId="77777777" w:rsidR="00A153A4" w:rsidRPr="00A15079" w:rsidRDefault="00A153A4" w:rsidP="00142A4D">
      <w:pPr>
        <w:pStyle w:val="OvumBullets"/>
        <w:numPr>
          <w:ilvl w:val="0"/>
          <w:numId w:val="8"/>
        </w:numPr>
        <w:ind w:left="426"/>
        <w:jc w:val="both"/>
        <w:rPr>
          <w:rFonts w:ascii="Tahoma" w:hAnsi="Tahoma" w:cs="Tahoma"/>
          <w:sz w:val="22"/>
          <w:szCs w:val="22"/>
          <w:lang w:val="pt-PT"/>
        </w:rPr>
      </w:pPr>
      <w:r w:rsidRPr="00A15079">
        <w:rPr>
          <w:rFonts w:ascii="Tahoma" w:hAnsi="Tahoma" w:cs="Tahoma"/>
          <w:sz w:val="22"/>
          <w:szCs w:val="22"/>
          <w:lang w:val="pt-PT"/>
        </w:rPr>
        <w:t>A anuidade inclinada é baseada num custo médio ponderado de capital (CMPC), WACC na terminologia inglesa, que foi calculado separadamente</w:t>
      </w:r>
      <w:r w:rsidRPr="00A15079">
        <w:rPr>
          <w:rStyle w:val="FootnoteReference"/>
          <w:rFonts w:ascii="Tahoma" w:hAnsi="Tahoma" w:cs="Tahoma"/>
          <w:sz w:val="22"/>
          <w:szCs w:val="22"/>
          <w:lang w:val="pt-PT"/>
        </w:rPr>
        <w:footnoteReference w:id="1"/>
      </w:r>
      <w:r w:rsidRPr="00A15079">
        <w:rPr>
          <w:rFonts w:ascii="Tahoma" w:hAnsi="Tahoma" w:cs="Tahoma"/>
          <w:sz w:val="22"/>
          <w:szCs w:val="22"/>
          <w:lang w:val="pt-PT"/>
        </w:rPr>
        <w:t>, usando a metodologia do Capital Asset Pricing Model</w:t>
      </w:r>
      <w:r w:rsidRPr="00A15079">
        <w:rPr>
          <w:rStyle w:val="FootnoteReference"/>
          <w:rFonts w:ascii="Tahoma" w:hAnsi="Tahoma" w:cs="Tahoma"/>
          <w:sz w:val="22"/>
          <w:szCs w:val="22"/>
          <w:lang w:val="pt-PT"/>
        </w:rPr>
        <w:footnoteReference w:id="2"/>
      </w:r>
      <w:r w:rsidRPr="00A15079">
        <w:rPr>
          <w:rFonts w:ascii="Tahoma" w:hAnsi="Tahoma" w:cs="Tahoma"/>
          <w:sz w:val="22"/>
          <w:szCs w:val="22"/>
          <w:lang w:val="pt-PT"/>
        </w:rPr>
        <w:t xml:space="preserve"> (CAPM) para definir a taxa de retorno sobre o capital. </w:t>
      </w:r>
    </w:p>
    <w:p w14:paraId="4072CE4A" w14:textId="277B3ECF" w:rsidR="00A153A4" w:rsidRDefault="00A153A4" w:rsidP="00142A4D">
      <w:pPr>
        <w:pStyle w:val="OvumBullets"/>
        <w:numPr>
          <w:ilvl w:val="0"/>
          <w:numId w:val="8"/>
        </w:numPr>
        <w:ind w:left="426"/>
        <w:jc w:val="both"/>
        <w:rPr>
          <w:rFonts w:ascii="Tahoma" w:hAnsi="Tahoma" w:cs="Tahoma"/>
          <w:sz w:val="22"/>
          <w:szCs w:val="22"/>
          <w:lang w:val="pt-PT"/>
        </w:rPr>
      </w:pPr>
      <w:r w:rsidRPr="00A15079">
        <w:rPr>
          <w:rFonts w:ascii="Tahoma" w:hAnsi="Tahoma" w:cs="Tahoma"/>
          <w:sz w:val="22"/>
          <w:szCs w:val="22"/>
          <w:lang w:val="pt-PT"/>
        </w:rPr>
        <w:t xml:space="preserve">O modelo é baseado em dados históricos, fornecidos principalmente pelos próprios operadores e em alguns casos pela ARN, para o período 2017-2019, e fornece previsões de custos para o período de 2020 a 2024.  </w:t>
      </w:r>
    </w:p>
    <w:p w14:paraId="0F60B20C" w14:textId="77777777" w:rsidR="00A153A4" w:rsidRPr="00956C7D" w:rsidRDefault="00A153A4" w:rsidP="00142A4D">
      <w:pPr>
        <w:pStyle w:val="Heading2"/>
        <w:ind w:left="567"/>
        <w:jc w:val="both"/>
      </w:pPr>
      <w:bookmarkStart w:id="12" w:name="_Toc72854656"/>
      <w:bookmarkStart w:id="13" w:name="_Toc75349732"/>
      <w:r>
        <w:t>Cenários de modelação</w:t>
      </w:r>
      <w:bookmarkEnd w:id="12"/>
      <w:bookmarkEnd w:id="13"/>
    </w:p>
    <w:p w14:paraId="0B9B2AF6" w14:textId="57D2F17E" w:rsidR="00A153A4" w:rsidRPr="00A153A4" w:rsidRDefault="00A153A4" w:rsidP="00142A4D">
      <w:pPr>
        <w:jc w:val="both"/>
        <w:rPr>
          <w:lang w:val="pt-PT"/>
        </w:rPr>
      </w:pPr>
      <w:r w:rsidRPr="000A07E0">
        <w:rPr>
          <w:lang w:val="pt-PT"/>
        </w:rPr>
        <w:t xml:space="preserve">O modelo é </w:t>
      </w:r>
      <w:r>
        <w:rPr>
          <w:lang w:val="pt-PT"/>
        </w:rPr>
        <w:t>elabor</w:t>
      </w:r>
      <w:r w:rsidRPr="000A07E0">
        <w:rPr>
          <w:lang w:val="pt-PT"/>
        </w:rPr>
        <w:t xml:space="preserve">ado para que os custos possam ser determinados </w:t>
      </w:r>
      <w:r>
        <w:rPr>
          <w:lang w:val="pt-PT"/>
        </w:rPr>
        <w:t>n</w:t>
      </w:r>
      <w:r w:rsidRPr="000A07E0">
        <w:rPr>
          <w:lang w:val="pt-PT"/>
        </w:rPr>
        <w:t xml:space="preserve">uma variedade de cenários possíveis. Três desses cenários </w:t>
      </w:r>
      <w:r>
        <w:rPr>
          <w:lang w:val="pt-PT"/>
        </w:rPr>
        <w:t>são previamente</w:t>
      </w:r>
      <w:r w:rsidRPr="000A07E0">
        <w:rPr>
          <w:lang w:val="pt-PT"/>
        </w:rPr>
        <w:t xml:space="preserve"> definidos. Eles são os seguintes</w:t>
      </w:r>
      <w:r w:rsidRPr="00A153A4">
        <w:rPr>
          <w:lang w:val="pt-PT"/>
        </w:rPr>
        <w:t>:</w:t>
      </w:r>
    </w:p>
    <w:p w14:paraId="5ACBE679" w14:textId="77777777" w:rsidR="00A153A4" w:rsidRPr="00A15079" w:rsidRDefault="00A153A4" w:rsidP="00142A4D">
      <w:pPr>
        <w:pStyle w:val="OvumBullets"/>
        <w:numPr>
          <w:ilvl w:val="0"/>
          <w:numId w:val="8"/>
        </w:numPr>
        <w:ind w:left="426"/>
        <w:jc w:val="both"/>
        <w:rPr>
          <w:rFonts w:ascii="Tahoma" w:hAnsi="Tahoma" w:cs="Tahoma"/>
          <w:sz w:val="22"/>
          <w:szCs w:val="22"/>
          <w:lang w:val="pt-PT"/>
        </w:rPr>
      </w:pPr>
      <w:r w:rsidRPr="00A15079">
        <w:rPr>
          <w:rFonts w:ascii="Tahoma" w:hAnsi="Tahoma" w:cs="Tahoma"/>
          <w:b/>
          <w:sz w:val="22"/>
          <w:szCs w:val="22"/>
          <w:lang w:val="pt-PT"/>
        </w:rPr>
        <w:t>Orange</w:t>
      </w:r>
      <w:r w:rsidRPr="00A15079">
        <w:rPr>
          <w:rFonts w:ascii="Tahoma" w:hAnsi="Tahoma" w:cs="Tahoma"/>
          <w:sz w:val="22"/>
          <w:szCs w:val="22"/>
          <w:lang w:val="pt-PT"/>
        </w:rPr>
        <w:t>: Este cenário é a nossa calibração do modelo de custeio para fornecer custos da operadora para uma rede com a cobertura, base de assinantes e níveis de tráfego da Orange, então pode-se presumir que este cenário dá uma representação precisa dos custos eficientemente incorridos pela Orange.</w:t>
      </w:r>
    </w:p>
    <w:p w14:paraId="4388CED4" w14:textId="77777777" w:rsidR="00EE1E5F" w:rsidRDefault="00A153A4" w:rsidP="00142A4D">
      <w:pPr>
        <w:pStyle w:val="OvumBullets"/>
        <w:numPr>
          <w:ilvl w:val="0"/>
          <w:numId w:val="8"/>
        </w:numPr>
        <w:ind w:left="426"/>
        <w:jc w:val="both"/>
        <w:rPr>
          <w:rFonts w:ascii="Tahoma" w:hAnsi="Tahoma" w:cs="Tahoma"/>
          <w:sz w:val="22"/>
          <w:szCs w:val="22"/>
          <w:lang w:val="pt-PT"/>
        </w:rPr>
      </w:pPr>
      <w:r w:rsidRPr="00A15079">
        <w:rPr>
          <w:rFonts w:ascii="Tahoma" w:hAnsi="Tahoma" w:cs="Tahoma"/>
          <w:b/>
          <w:sz w:val="22"/>
          <w:szCs w:val="22"/>
          <w:lang w:val="pt-PT"/>
        </w:rPr>
        <w:t>MTN</w:t>
      </w:r>
      <w:r w:rsidRPr="00A15079">
        <w:rPr>
          <w:rFonts w:ascii="Tahoma" w:hAnsi="Tahoma" w:cs="Tahoma"/>
          <w:sz w:val="22"/>
          <w:szCs w:val="22"/>
          <w:lang w:val="pt-PT"/>
        </w:rPr>
        <w:t>: Este cenário é a nossa calibração do modelo de custeio para fornecer custos da operadora para uma rede com a cobertura, base de assinantes e níveis de tráfego da MTN, então pode-se presumir que este cenário dá uma representação precisa dos custos eficientemente incorridos pela MTN.</w:t>
      </w:r>
    </w:p>
    <w:p w14:paraId="098774A7" w14:textId="77777777" w:rsidR="00EE1E5F" w:rsidRDefault="00A153A4" w:rsidP="00142A4D">
      <w:pPr>
        <w:pStyle w:val="OvumBullets"/>
        <w:numPr>
          <w:ilvl w:val="0"/>
          <w:numId w:val="8"/>
        </w:numPr>
        <w:ind w:left="426"/>
        <w:jc w:val="both"/>
        <w:rPr>
          <w:rFonts w:ascii="Tahoma" w:hAnsi="Tahoma" w:cs="Tahoma"/>
          <w:sz w:val="22"/>
          <w:szCs w:val="22"/>
          <w:lang w:val="pt-PT"/>
        </w:rPr>
      </w:pPr>
      <w:r w:rsidRPr="00EE1E5F">
        <w:rPr>
          <w:rFonts w:ascii="Tahoma" w:hAnsi="Tahoma" w:cs="Tahoma"/>
          <w:b/>
          <w:sz w:val="22"/>
          <w:szCs w:val="22"/>
          <w:lang w:val="pt-PT"/>
        </w:rPr>
        <w:t>OME</w:t>
      </w:r>
      <w:r w:rsidRPr="00EE1E5F">
        <w:rPr>
          <w:rFonts w:ascii="Tahoma" w:hAnsi="Tahoma" w:cs="Tahoma"/>
          <w:sz w:val="22"/>
          <w:szCs w:val="22"/>
          <w:lang w:val="pt-PT"/>
        </w:rPr>
        <w:t>: Este cenário usa estimativas de cobertura, base de assinantes e níveis de tráfego, consistentes com uma operadora moderna e eficiente. Os pressupostos para este cenário são os de um OME com uma quota de mercado de 50% (em geral aplica-se o total de mercado a dividir pelo número de operadores em atividade) e uma cobertura anual igual à média dos atuais operadores de rede.</w:t>
      </w:r>
      <w:r w:rsidR="00EE1E5F" w:rsidRPr="00EE1E5F">
        <w:rPr>
          <w:rFonts w:ascii="Tahoma" w:hAnsi="Tahoma" w:cs="Tahoma"/>
          <w:sz w:val="22"/>
          <w:szCs w:val="22"/>
          <w:lang w:val="pt-PT"/>
        </w:rPr>
        <w:t xml:space="preserve"> </w:t>
      </w:r>
    </w:p>
    <w:p w14:paraId="7DBEEFD1" w14:textId="34221D83" w:rsidR="00A153A4" w:rsidRPr="00A15079" w:rsidRDefault="00EE1E5F" w:rsidP="00142A4D">
      <w:pPr>
        <w:pStyle w:val="OvumBullets"/>
        <w:ind w:left="66" w:firstLine="0"/>
        <w:jc w:val="both"/>
        <w:rPr>
          <w:rFonts w:ascii="Tahoma" w:hAnsi="Tahoma" w:cs="Tahoma"/>
          <w:sz w:val="22"/>
          <w:szCs w:val="22"/>
          <w:lang w:val="pt-PT"/>
        </w:rPr>
      </w:pPr>
      <w:r w:rsidRPr="00EE1E5F">
        <w:rPr>
          <w:rFonts w:ascii="Tahoma" w:hAnsi="Tahoma" w:cs="Tahoma"/>
          <w:sz w:val="22"/>
          <w:szCs w:val="22"/>
          <w:lang w:val="pt-PT"/>
        </w:rPr>
        <w:lastRenderedPageBreak/>
        <w:t xml:space="preserve">Deve-se referir também que, de acordo com a prática de modelação ascendente, este é um modelo hipotético da rede móvel e, portanto, o modelo não se destina a reproduzir ou replicar com precisão a rede de qualquer operadora específica na Guiné Bissau. No entanto, o modelo foi calibrado em relação aos operadores de rede existentes, usando </w:t>
      </w:r>
      <w:r w:rsidR="00BB2775">
        <w:rPr>
          <w:rFonts w:ascii="Tahoma" w:hAnsi="Tahoma" w:cs="Tahoma"/>
          <w:sz w:val="22"/>
          <w:szCs w:val="22"/>
          <w:lang w:val="pt-PT"/>
        </w:rPr>
        <w:t xml:space="preserve">os </w:t>
      </w:r>
      <w:r w:rsidRPr="00EE1E5F">
        <w:rPr>
          <w:rFonts w:ascii="Tahoma" w:hAnsi="Tahoma" w:cs="Tahoma"/>
          <w:sz w:val="22"/>
          <w:szCs w:val="22"/>
          <w:lang w:val="pt-PT"/>
        </w:rPr>
        <w:t>dados fornecidos por estes para o ano de 2019.</w:t>
      </w:r>
    </w:p>
    <w:p w14:paraId="21032EF2" w14:textId="625EE1C7" w:rsidR="00A153A4" w:rsidRPr="00114E1B" w:rsidRDefault="00E807BC" w:rsidP="00142A4D">
      <w:pPr>
        <w:pStyle w:val="Heading2"/>
        <w:ind w:left="567"/>
        <w:jc w:val="both"/>
        <w:rPr>
          <w:lang w:val="pt-PT"/>
        </w:rPr>
      </w:pPr>
      <w:bookmarkStart w:id="14" w:name="_Toc75349733"/>
      <w:r>
        <w:rPr>
          <w:lang w:val="pt-PT"/>
        </w:rPr>
        <w:t>Dados de introdução no modelo</w:t>
      </w:r>
      <w:bookmarkEnd w:id="14"/>
    </w:p>
    <w:p w14:paraId="5368550D" w14:textId="71D95AC5" w:rsidR="00EE1E5F" w:rsidRPr="005E43A1" w:rsidRDefault="00EE1E5F" w:rsidP="00142A4D">
      <w:pPr>
        <w:pStyle w:val="BodyText"/>
        <w:jc w:val="both"/>
        <w:rPr>
          <w:lang w:val="pt-PT"/>
        </w:rPr>
      </w:pPr>
      <w:r w:rsidRPr="005E43A1">
        <w:rPr>
          <w:lang w:val="pt-PT"/>
        </w:rPr>
        <w:t xml:space="preserve">A principal fonte de dados de entrada e </w:t>
      </w:r>
      <w:r>
        <w:rPr>
          <w:lang w:val="pt-PT"/>
        </w:rPr>
        <w:t>hipóteses</w:t>
      </w:r>
      <w:r w:rsidRPr="005E43A1">
        <w:rPr>
          <w:lang w:val="pt-PT"/>
        </w:rPr>
        <w:t xml:space="preserve"> para o modelo de cust</w:t>
      </w:r>
      <w:r>
        <w:rPr>
          <w:lang w:val="pt-PT"/>
        </w:rPr>
        <w:t>ei</w:t>
      </w:r>
      <w:r w:rsidRPr="005E43A1">
        <w:rPr>
          <w:lang w:val="pt-PT"/>
        </w:rPr>
        <w:t xml:space="preserve">o da rede móvel são os dados fornecidos pelas operadoras </w:t>
      </w:r>
      <w:r>
        <w:rPr>
          <w:lang w:val="pt-PT"/>
        </w:rPr>
        <w:t>na Guiné Bissau</w:t>
      </w:r>
      <w:r w:rsidRPr="005E43A1">
        <w:rPr>
          <w:lang w:val="pt-PT"/>
        </w:rPr>
        <w:t xml:space="preserve">. Uma solicitação de dados detalhada foi preparada pelos consultores e </w:t>
      </w:r>
      <w:r>
        <w:rPr>
          <w:lang w:val="pt-PT"/>
        </w:rPr>
        <w:t>apresentada</w:t>
      </w:r>
      <w:r w:rsidRPr="005E43A1">
        <w:rPr>
          <w:lang w:val="pt-PT"/>
        </w:rPr>
        <w:t xml:space="preserve"> </w:t>
      </w:r>
      <w:r>
        <w:rPr>
          <w:lang w:val="pt-PT"/>
        </w:rPr>
        <w:t>a</w:t>
      </w:r>
      <w:r w:rsidRPr="005E43A1">
        <w:rPr>
          <w:lang w:val="pt-PT"/>
        </w:rPr>
        <w:t xml:space="preserve">os operadores durante a fase inicial do projeto. </w:t>
      </w:r>
      <w:r>
        <w:rPr>
          <w:lang w:val="pt-PT"/>
        </w:rPr>
        <w:t>Apenas a Orange forneceu</w:t>
      </w:r>
      <w:r w:rsidRPr="005E43A1">
        <w:rPr>
          <w:lang w:val="pt-PT"/>
        </w:rPr>
        <w:t xml:space="preserve"> dados em resposta a esta solicitação. </w:t>
      </w:r>
      <w:r w:rsidRPr="00127C23">
        <w:rPr>
          <w:lang w:val="pt-PT"/>
        </w:rPr>
        <w:t>A maioria dos dados solicitados foi, portanto, fornecida apenas por uma das operadoras. Uma lacuna, talvez notável, foram os dados de previsão de evolução de cobertura. A Incyte construiu previsões de evolução da cobertura do território com base nos dados históricos fornecidos pela operadora Orange.</w:t>
      </w:r>
    </w:p>
    <w:p w14:paraId="21D18359" w14:textId="4EC268DD" w:rsidR="00FB60E8" w:rsidRDefault="00EE1E5F" w:rsidP="00142A4D">
      <w:pPr>
        <w:pStyle w:val="BodyText"/>
        <w:jc w:val="both"/>
        <w:rPr>
          <w:lang w:val="pt-PT"/>
        </w:rPr>
      </w:pPr>
      <w:r w:rsidRPr="005E43A1">
        <w:rPr>
          <w:lang w:val="pt-PT"/>
        </w:rPr>
        <w:t xml:space="preserve">Em alguns casos, </w:t>
      </w:r>
      <w:r>
        <w:rPr>
          <w:lang w:val="pt-PT"/>
        </w:rPr>
        <w:t>como por exemplo</w:t>
      </w:r>
      <w:r w:rsidRPr="005E43A1">
        <w:rPr>
          <w:lang w:val="pt-PT"/>
        </w:rPr>
        <w:t xml:space="preserve"> para parâmetros de </w:t>
      </w:r>
      <w:r>
        <w:rPr>
          <w:lang w:val="pt-PT"/>
        </w:rPr>
        <w:t>desenho</w:t>
      </w:r>
      <w:r w:rsidRPr="005E43A1">
        <w:rPr>
          <w:lang w:val="pt-PT"/>
        </w:rPr>
        <w:t xml:space="preserve"> de rede, a </w:t>
      </w:r>
      <w:r>
        <w:rPr>
          <w:lang w:val="pt-PT"/>
        </w:rPr>
        <w:t>Incyte</w:t>
      </w:r>
      <w:r w:rsidRPr="005E43A1">
        <w:rPr>
          <w:lang w:val="pt-PT"/>
        </w:rPr>
        <w:t xml:space="preserve"> </w:t>
      </w:r>
      <w:r>
        <w:rPr>
          <w:lang w:val="pt-PT"/>
        </w:rPr>
        <w:t>apresentou</w:t>
      </w:r>
      <w:r w:rsidRPr="005E43A1">
        <w:rPr>
          <w:lang w:val="pt-PT"/>
        </w:rPr>
        <w:t xml:space="preserve"> no</w:t>
      </w:r>
      <w:r>
        <w:rPr>
          <w:lang w:val="pt-PT"/>
        </w:rPr>
        <w:t xml:space="preserve"> pedido de</w:t>
      </w:r>
      <w:r w:rsidRPr="005E43A1">
        <w:rPr>
          <w:lang w:val="pt-PT"/>
        </w:rPr>
        <w:t xml:space="preserve"> dados </w:t>
      </w:r>
      <w:r>
        <w:rPr>
          <w:lang w:val="pt-PT"/>
        </w:rPr>
        <w:t>enviado ás operadoras</w:t>
      </w:r>
      <w:r w:rsidRPr="005E43A1">
        <w:rPr>
          <w:lang w:val="pt-PT"/>
        </w:rPr>
        <w:t xml:space="preserve"> </w:t>
      </w:r>
      <w:r>
        <w:rPr>
          <w:lang w:val="pt-PT"/>
        </w:rPr>
        <w:t xml:space="preserve">os </w:t>
      </w:r>
      <w:r w:rsidRPr="005E43A1">
        <w:rPr>
          <w:lang w:val="pt-PT"/>
        </w:rPr>
        <w:t xml:space="preserve">parâmetros que </w:t>
      </w:r>
      <w:r>
        <w:rPr>
          <w:lang w:val="pt-PT"/>
        </w:rPr>
        <w:t>planeava</w:t>
      </w:r>
      <w:r w:rsidRPr="005E43A1">
        <w:rPr>
          <w:lang w:val="pt-PT"/>
        </w:rPr>
        <w:t xml:space="preserve"> usar</w:t>
      </w:r>
      <w:r>
        <w:rPr>
          <w:lang w:val="pt-PT"/>
        </w:rPr>
        <w:t xml:space="preserve"> na elaboração do modelo</w:t>
      </w:r>
      <w:r w:rsidRPr="005E43A1">
        <w:rPr>
          <w:lang w:val="pt-PT"/>
        </w:rPr>
        <w:t>, com base na</w:t>
      </w:r>
      <w:r>
        <w:rPr>
          <w:lang w:val="pt-PT"/>
        </w:rPr>
        <w:t>s</w:t>
      </w:r>
      <w:r w:rsidRPr="005E43A1">
        <w:rPr>
          <w:lang w:val="pt-PT"/>
        </w:rPr>
        <w:t xml:space="preserve"> prática</w:t>
      </w:r>
      <w:r>
        <w:rPr>
          <w:lang w:val="pt-PT"/>
        </w:rPr>
        <w:t>s</w:t>
      </w:r>
      <w:r w:rsidRPr="005E43A1">
        <w:rPr>
          <w:lang w:val="pt-PT"/>
        </w:rPr>
        <w:t xml:space="preserve"> internaciona</w:t>
      </w:r>
      <w:r>
        <w:rPr>
          <w:lang w:val="pt-PT"/>
        </w:rPr>
        <w:t>is</w:t>
      </w:r>
      <w:r w:rsidRPr="005E43A1">
        <w:rPr>
          <w:lang w:val="pt-PT"/>
        </w:rPr>
        <w:t xml:space="preserve"> e </w:t>
      </w:r>
      <w:r>
        <w:rPr>
          <w:lang w:val="pt-PT"/>
        </w:rPr>
        <w:t>experiência</w:t>
      </w:r>
      <w:r w:rsidRPr="005E43A1">
        <w:rPr>
          <w:lang w:val="pt-PT"/>
        </w:rPr>
        <w:t xml:space="preserve"> </w:t>
      </w:r>
      <w:r>
        <w:rPr>
          <w:lang w:val="pt-PT"/>
        </w:rPr>
        <w:t>na elaboração de modelos</w:t>
      </w:r>
      <w:r w:rsidRPr="005E43A1">
        <w:rPr>
          <w:lang w:val="pt-PT"/>
        </w:rPr>
        <w:t xml:space="preserve"> de cust</w:t>
      </w:r>
      <w:r>
        <w:rPr>
          <w:lang w:val="pt-PT"/>
        </w:rPr>
        <w:t>ei</w:t>
      </w:r>
      <w:r w:rsidRPr="005E43A1">
        <w:rPr>
          <w:lang w:val="pt-PT"/>
        </w:rPr>
        <w:t xml:space="preserve">o. Em alguns casos, a </w:t>
      </w:r>
      <w:r>
        <w:rPr>
          <w:lang w:val="pt-PT"/>
        </w:rPr>
        <w:t>Orange</w:t>
      </w:r>
      <w:r w:rsidRPr="005E43A1">
        <w:rPr>
          <w:lang w:val="pt-PT"/>
        </w:rPr>
        <w:t xml:space="preserve"> sugeriu </w:t>
      </w:r>
      <w:r>
        <w:rPr>
          <w:lang w:val="pt-PT"/>
        </w:rPr>
        <w:t>altera</w:t>
      </w:r>
      <w:r w:rsidRPr="005E43A1">
        <w:rPr>
          <w:lang w:val="pt-PT"/>
        </w:rPr>
        <w:t xml:space="preserve">ções </w:t>
      </w:r>
      <w:r>
        <w:rPr>
          <w:lang w:val="pt-PT"/>
        </w:rPr>
        <w:t>a</w:t>
      </w:r>
      <w:r w:rsidRPr="005E43A1">
        <w:rPr>
          <w:lang w:val="pt-PT"/>
        </w:rPr>
        <w:t xml:space="preserve"> essas premissas de acordo com as circunstâncias locais, e essas </w:t>
      </w:r>
      <w:r>
        <w:rPr>
          <w:lang w:val="pt-PT"/>
        </w:rPr>
        <w:t>hipóteses</w:t>
      </w:r>
      <w:r w:rsidRPr="005E43A1">
        <w:rPr>
          <w:lang w:val="pt-PT"/>
        </w:rPr>
        <w:t xml:space="preserve"> foram usadas no modelo em </w:t>
      </w:r>
      <w:r>
        <w:rPr>
          <w:lang w:val="pt-PT"/>
        </w:rPr>
        <w:t>substituição</w:t>
      </w:r>
      <w:r w:rsidRPr="005E43A1">
        <w:rPr>
          <w:lang w:val="pt-PT"/>
        </w:rPr>
        <w:t xml:space="preserve"> </w:t>
      </w:r>
      <w:r>
        <w:rPr>
          <w:lang w:val="pt-PT"/>
        </w:rPr>
        <w:t>das práticas</w:t>
      </w:r>
      <w:r w:rsidRPr="005E43A1">
        <w:rPr>
          <w:lang w:val="pt-PT"/>
        </w:rPr>
        <w:t xml:space="preserve"> internacionais</w:t>
      </w:r>
      <w:r w:rsidR="00E807BC" w:rsidRPr="00E807BC">
        <w:rPr>
          <w:lang w:val="pt-PT"/>
        </w:rPr>
        <w:t>.</w:t>
      </w:r>
      <w:r w:rsidR="00A15079">
        <w:rPr>
          <w:lang w:val="pt-PT"/>
        </w:rPr>
        <w:t xml:space="preserve"> </w:t>
      </w:r>
    </w:p>
    <w:p w14:paraId="133DCA3E" w14:textId="2FDC0547" w:rsidR="009212B2" w:rsidRPr="009212B2" w:rsidRDefault="009212B2" w:rsidP="00142A4D">
      <w:pPr>
        <w:pStyle w:val="Heading2"/>
        <w:ind w:left="567"/>
        <w:jc w:val="both"/>
        <w:rPr>
          <w:lang w:val="pt-PT"/>
        </w:rPr>
      </w:pPr>
      <w:bookmarkStart w:id="15" w:name="_Toc75349734"/>
      <w:r>
        <w:rPr>
          <w:lang w:val="pt-PT"/>
        </w:rPr>
        <w:t>Serviços incluídos no modelo</w:t>
      </w:r>
      <w:bookmarkEnd w:id="15"/>
    </w:p>
    <w:p w14:paraId="122CC3DF" w14:textId="36A7BABE" w:rsidR="00A153A4" w:rsidRPr="00E807BC" w:rsidRDefault="009212B2" w:rsidP="00142A4D">
      <w:pPr>
        <w:pStyle w:val="BodyText"/>
        <w:jc w:val="both"/>
        <w:rPr>
          <w:lang w:val="pt-PT"/>
        </w:rPr>
      </w:pPr>
      <w:r w:rsidRPr="009212B2">
        <w:rPr>
          <w:rFonts w:cs="Tahoma"/>
          <w:kern w:val="32"/>
          <w:lang w:val="pt-PT"/>
        </w:rPr>
        <w:t>O modelo ascendente é desenhado para calcular os custos por unidade (na maioria dos casos, minutos) de uma variedade de serviços. Para a maioria dos serviços de retalho, há também um serviço grossista equivalente que pode ser fornecido a outros operadores</w:t>
      </w:r>
      <w:r>
        <w:rPr>
          <w:rFonts w:cs="Tahoma"/>
          <w:kern w:val="32"/>
          <w:lang w:val="pt-PT"/>
        </w:rPr>
        <w:t xml:space="preserve">. Os serviços atualmente oferecidos na Guiné Bissau </w:t>
      </w:r>
      <w:r w:rsidR="00A153A4" w:rsidRPr="00E807BC">
        <w:rPr>
          <w:lang w:val="pt-PT"/>
        </w:rPr>
        <w:t>incluídos no modelo são</w:t>
      </w:r>
      <w:r>
        <w:rPr>
          <w:lang w:val="pt-PT"/>
        </w:rPr>
        <w:t xml:space="preserve"> os seguintes</w:t>
      </w:r>
      <w:r w:rsidR="00A153A4" w:rsidRPr="00E807BC">
        <w:rPr>
          <w:lang w:val="pt-PT"/>
        </w:rPr>
        <w:t>:</w:t>
      </w:r>
    </w:p>
    <w:p w14:paraId="5A630033" w14:textId="77777777" w:rsidR="00A153A4" w:rsidRPr="009212B2" w:rsidRDefault="00A153A4" w:rsidP="00142A4D">
      <w:pPr>
        <w:pStyle w:val="OvumBullets"/>
        <w:numPr>
          <w:ilvl w:val="0"/>
          <w:numId w:val="8"/>
        </w:numPr>
        <w:ind w:left="426"/>
        <w:jc w:val="both"/>
        <w:rPr>
          <w:rFonts w:ascii="Tahoma" w:hAnsi="Tahoma" w:cs="Tahoma"/>
          <w:sz w:val="22"/>
          <w:szCs w:val="22"/>
          <w:lang w:val="pt-PT"/>
        </w:rPr>
      </w:pPr>
      <w:bookmarkStart w:id="16" w:name="_Hlk75001008"/>
      <w:r w:rsidRPr="009212B2">
        <w:rPr>
          <w:rFonts w:ascii="Tahoma" w:hAnsi="Tahoma" w:cs="Tahoma"/>
          <w:sz w:val="22"/>
          <w:szCs w:val="22"/>
          <w:lang w:val="pt-PT"/>
        </w:rPr>
        <w:t xml:space="preserve">Chamadas de voz dentro da rede (On-net) - chamadas que se originam e terminam na mesma rede móvel (retalho). </w:t>
      </w:r>
    </w:p>
    <w:bookmarkEnd w:id="16"/>
    <w:p w14:paraId="230B9B97" w14:textId="77777777" w:rsidR="00A153A4" w:rsidRPr="009212B2" w:rsidRDefault="00A153A4" w:rsidP="00142A4D">
      <w:pPr>
        <w:pStyle w:val="OvumBullets"/>
        <w:numPr>
          <w:ilvl w:val="0"/>
          <w:numId w:val="8"/>
        </w:numPr>
        <w:ind w:left="426"/>
        <w:jc w:val="both"/>
        <w:rPr>
          <w:rFonts w:ascii="Tahoma" w:hAnsi="Tahoma" w:cs="Tahoma"/>
          <w:sz w:val="22"/>
          <w:szCs w:val="22"/>
          <w:lang w:val="pt-PT"/>
        </w:rPr>
      </w:pPr>
      <w:r w:rsidRPr="009212B2">
        <w:rPr>
          <w:rFonts w:ascii="Tahoma" w:hAnsi="Tahoma" w:cs="Tahoma"/>
          <w:sz w:val="22"/>
          <w:szCs w:val="22"/>
          <w:lang w:val="pt-PT"/>
        </w:rPr>
        <w:t xml:space="preserve">Chamadas de voz para outras redes móveis - chamadas que terminam numa rede móvel diferente daquela do chamador (retalho).  </w:t>
      </w:r>
    </w:p>
    <w:p w14:paraId="0F5CBB63" w14:textId="77777777" w:rsidR="00A153A4" w:rsidRPr="009212B2" w:rsidRDefault="00A153A4" w:rsidP="00142A4D">
      <w:pPr>
        <w:pStyle w:val="OvumBullets"/>
        <w:numPr>
          <w:ilvl w:val="0"/>
          <w:numId w:val="8"/>
        </w:numPr>
        <w:ind w:left="426"/>
        <w:jc w:val="both"/>
        <w:rPr>
          <w:rFonts w:ascii="Tahoma" w:hAnsi="Tahoma" w:cs="Tahoma"/>
          <w:sz w:val="22"/>
          <w:szCs w:val="22"/>
          <w:lang w:val="pt-PT"/>
        </w:rPr>
      </w:pPr>
      <w:r w:rsidRPr="009212B2">
        <w:rPr>
          <w:rFonts w:ascii="Tahoma" w:hAnsi="Tahoma" w:cs="Tahoma"/>
          <w:sz w:val="22"/>
          <w:szCs w:val="22"/>
          <w:lang w:val="pt-PT"/>
        </w:rPr>
        <w:t>Chamadas de voz para redes fixas - chamadas de um cliente móvel para um cliente de rede fixa (retalho). De momento este serviço não é prestado na Guiné Bissau.</w:t>
      </w:r>
    </w:p>
    <w:p w14:paraId="738D7C09" w14:textId="77777777" w:rsidR="00A153A4" w:rsidRPr="009212B2" w:rsidRDefault="00A153A4" w:rsidP="00142A4D">
      <w:pPr>
        <w:pStyle w:val="OvumBullets"/>
        <w:numPr>
          <w:ilvl w:val="0"/>
          <w:numId w:val="8"/>
        </w:numPr>
        <w:ind w:left="426"/>
        <w:jc w:val="both"/>
        <w:rPr>
          <w:rFonts w:ascii="Tahoma" w:hAnsi="Tahoma" w:cs="Tahoma"/>
          <w:sz w:val="22"/>
          <w:szCs w:val="22"/>
          <w:lang w:val="pt-PT"/>
        </w:rPr>
      </w:pPr>
      <w:r w:rsidRPr="009212B2">
        <w:rPr>
          <w:rFonts w:ascii="Tahoma" w:hAnsi="Tahoma" w:cs="Tahoma"/>
          <w:sz w:val="22"/>
          <w:szCs w:val="22"/>
          <w:lang w:val="pt-PT"/>
        </w:rPr>
        <w:t>Chamadas de voz internacionais - chamadas de um cliente de rede móvel para um assinante de rede noutro país (retalho). Para calcular o custo total destas chamadas de voz existe um custo adicional que precisa de ser adicionado aos resultados do modelo de custo nomeadamente o custo de acesso internacional via cabo submarino ou por outros meios.</w:t>
      </w:r>
    </w:p>
    <w:p w14:paraId="15DC5285" w14:textId="77777777" w:rsidR="00A153A4" w:rsidRPr="009212B2" w:rsidRDefault="00A153A4" w:rsidP="00A153A4">
      <w:pPr>
        <w:pStyle w:val="OvumBullets"/>
        <w:numPr>
          <w:ilvl w:val="0"/>
          <w:numId w:val="8"/>
        </w:numPr>
        <w:ind w:left="426"/>
        <w:rPr>
          <w:rFonts w:ascii="Tahoma" w:hAnsi="Tahoma" w:cs="Tahoma"/>
          <w:sz w:val="22"/>
          <w:szCs w:val="22"/>
          <w:lang w:val="pt-PT"/>
        </w:rPr>
      </w:pPr>
      <w:r w:rsidRPr="009212B2">
        <w:rPr>
          <w:rFonts w:ascii="Tahoma" w:hAnsi="Tahoma" w:cs="Tahoma"/>
          <w:sz w:val="22"/>
          <w:szCs w:val="22"/>
          <w:lang w:val="pt-PT"/>
        </w:rPr>
        <w:lastRenderedPageBreak/>
        <w:t>Chamadas de entrada com origem noutras redes móveis - terminação numa rede móvel de chamadas de voz originadas noutras redes móveis (grossista).</w:t>
      </w:r>
    </w:p>
    <w:p w14:paraId="40566580" w14:textId="77777777" w:rsidR="00A153A4" w:rsidRPr="009212B2" w:rsidRDefault="00A153A4" w:rsidP="00A153A4">
      <w:pPr>
        <w:pStyle w:val="OvumBullets"/>
        <w:numPr>
          <w:ilvl w:val="0"/>
          <w:numId w:val="8"/>
        </w:numPr>
        <w:ind w:left="426"/>
        <w:rPr>
          <w:rFonts w:ascii="Tahoma" w:hAnsi="Tahoma" w:cs="Tahoma"/>
          <w:sz w:val="22"/>
          <w:szCs w:val="22"/>
          <w:lang w:val="pt-PT"/>
        </w:rPr>
      </w:pPr>
      <w:r w:rsidRPr="009212B2">
        <w:rPr>
          <w:rFonts w:ascii="Tahoma" w:hAnsi="Tahoma" w:cs="Tahoma"/>
          <w:sz w:val="22"/>
          <w:szCs w:val="22"/>
          <w:lang w:val="pt-PT"/>
        </w:rPr>
        <w:t>Chamadas recebidas de redes fixas - terminação numa rede móvel de chamadas originadas na rede fixa (grossista). De momento este serviço não é prestado na Guiné Bissau.</w:t>
      </w:r>
    </w:p>
    <w:p w14:paraId="4D80A748" w14:textId="77777777" w:rsidR="00A153A4" w:rsidRPr="009212B2" w:rsidRDefault="00A153A4" w:rsidP="00A153A4">
      <w:pPr>
        <w:pStyle w:val="OvumBullets"/>
        <w:numPr>
          <w:ilvl w:val="0"/>
          <w:numId w:val="8"/>
        </w:numPr>
        <w:ind w:left="426"/>
        <w:rPr>
          <w:rFonts w:ascii="Tahoma" w:hAnsi="Tahoma" w:cs="Tahoma"/>
          <w:sz w:val="22"/>
          <w:szCs w:val="22"/>
          <w:lang w:val="pt-PT"/>
        </w:rPr>
      </w:pPr>
      <w:r w:rsidRPr="009212B2">
        <w:rPr>
          <w:rFonts w:ascii="Tahoma" w:hAnsi="Tahoma" w:cs="Tahoma"/>
          <w:sz w:val="22"/>
          <w:szCs w:val="22"/>
          <w:lang w:val="pt-PT"/>
        </w:rPr>
        <w:t>Chamadas de voz internacionais recebidas - terminação de chamadas de voz em redes móveis originadas fora da Guiné Bissau.</w:t>
      </w:r>
    </w:p>
    <w:p w14:paraId="5B9E4F72" w14:textId="77777777" w:rsidR="00A153A4" w:rsidRPr="009212B2" w:rsidRDefault="00A153A4" w:rsidP="00A153A4">
      <w:pPr>
        <w:pStyle w:val="OvumBullets"/>
        <w:numPr>
          <w:ilvl w:val="0"/>
          <w:numId w:val="8"/>
        </w:numPr>
        <w:ind w:left="426"/>
        <w:rPr>
          <w:rFonts w:ascii="Tahoma" w:hAnsi="Tahoma" w:cs="Tahoma"/>
          <w:sz w:val="22"/>
          <w:szCs w:val="22"/>
          <w:lang w:val="pt-PT"/>
        </w:rPr>
      </w:pPr>
      <w:r w:rsidRPr="009212B2">
        <w:rPr>
          <w:rFonts w:ascii="Tahoma" w:hAnsi="Tahoma" w:cs="Tahoma"/>
          <w:sz w:val="22"/>
          <w:szCs w:val="22"/>
          <w:lang w:val="pt-PT"/>
        </w:rPr>
        <w:t>Chamadas em roaming - chamadas feitas por clientes de redes móveis quando em roaming internacional (grossista).</w:t>
      </w:r>
    </w:p>
    <w:p w14:paraId="635A9D88" w14:textId="77777777" w:rsidR="00A153A4" w:rsidRPr="009212B2" w:rsidRDefault="00A153A4" w:rsidP="00A153A4">
      <w:pPr>
        <w:pStyle w:val="OvumBullets"/>
        <w:numPr>
          <w:ilvl w:val="0"/>
          <w:numId w:val="8"/>
        </w:numPr>
        <w:ind w:left="426"/>
        <w:rPr>
          <w:rFonts w:ascii="Tahoma" w:hAnsi="Tahoma" w:cs="Tahoma"/>
          <w:sz w:val="22"/>
          <w:szCs w:val="22"/>
          <w:lang w:val="pt-PT"/>
        </w:rPr>
      </w:pPr>
      <w:r w:rsidRPr="009212B2">
        <w:rPr>
          <w:rFonts w:ascii="Tahoma" w:hAnsi="Tahoma" w:cs="Tahoma"/>
          <w:sz w:val="22"/>
          <w:szCs w:val="22"/>
          <w:lang w:val="pt-PT"/>
        </w:rPr>
        <w:t xml:space="preserve">Chamadas terminadas em roaming – chamadas recebidas por clientes móveis em roaming internacional (grossista).  </w:t>
      </w:r>
    </w:p>
    <w:p w14:paraId="265A516F" w14:textId="77777777" w:rsidR="00A153A4" w:rsidRPr="009212B2" w:rsidRDefault="00A153A4" w:rsidP="00A153A4">
      <w:pPr>
        <w:pStyle w:val="OvumBullets"/>
        <w:numPr>
          <w:ilvl w:val="0"/>
          <w:numId w:val="8"/>
        </w:numPr>
        <w:ind w:left="426"/>
        <w:rPr>
          <w:rFonts w:ascii="Tahoma" w:hAnsi="Tahoma" w:cs="Tahoma"/>
          <w:sz w:val="22"/>
          <w:szCs w:val="22"/>
          <w:lang w:val="pt-PT"/>
        </w:rPr>
      </w:pPr>
      <w:r w:rsidRPr="009212B2">
        <w:rPr>
          <w:rFonts w:ascii="Tahoma" w:hAnsi="Tahoma" w:cs="Tahoma"/>
          <w:sz w:val="22"/>
          <w:szCs w:val="22"/>
          <w:lang w:val="pt-PT"/>
        </w:rPr>
        <w:t>SMS dentro da rede (on-net) – mensagens de texto que se originam e terminam na mesma rede móvel (retalho).</w:t>
      </w:r>
    </w:p>
    <w:p w14:paraId="71F2DFCB" w14:textId="77777777" w:rsidR="00A153A4" w:rsidRPr="009212B2" w:rsidRDefault="00A153A4" w:rsidP="00A153A4">
      <w:pPr>
        <w:pStyle w:val="OvumBullets"/>
        <w:numPr>
          <w:ilvl w:val="0"/>
          <w:numId w:val="8"/>
        </w:numPr>
        <w:ind w:left="426"/>
        <w:rPr>
          <w:rFonts w:ascii="Tahoma" w:hAnsi="Tahoma" w:cs="Tahoma"/>
          <w:sz w:val="22"/>
          <w:szCs w:val="22"/>
          <w:lang w:val="pt-PT"/>
        </w:rPr>
      </w:pPr>
      <w:r w:rsidRPr="009212B2">
        <w:rPr>
          <w:rFonts w:ascii="Tahoma" w:hAnsi="Tahoma" w:cs="Tahoma"/>
          <w:sz w:val="22"/>
          <w:szCs w:val="22"/>
          <w:lang w:val="pt-PT"/>
        </w:rPr>
        <w:t>SMS para outras redes – mensagens de texto que terminam numa rede móvel diferente daquela da parte chamadora (retalho).</w:t>
      </w:r>
    </w:p>
    <w:p w14:paraId="0D807219" w14:textId="77777777" w:rsidR="00A153A4" w:rsidRPr="009212B2" w:rsidRDefault="00A153A4" w:rsidP="00A153A4">
      <w:pPr>
        <w:pStyle w:val="OvumBullets"/>
        <w:numPr>
          <w:ilvl w:val="0"/>
          <w:numId w:val="8"/>
        </w:numPr>
        <w:ind w:left="426"/>
        <w:rPr>
          <w:rFonts w:ascii="Tahoma" w:hAnsi="Tahoma" w:cs="Tahoma"/>
          <w:sz w:val="22"/>
          <w:szCs w:val="22"/>
          <w:lang w:val="pt-PT"/>
        </w:rPr>
      </w:pPr>
      <w:r w:rsidRPr="009212B2">
        <w:rPr>
          <w:rFonts w:ascii="Tahoma" w:hAnsi="Tahoma" w:cs="Tahoma"/>
          <w:sz w:val="22"/>
          <w:szCs w:val="22"/>
          <w:lang w:val="pt-PT"/>
        </w:rPr>
        <w:t>SMS provenientes de outras redes – terminação de mensagens de texto originadas noutra rede móvel (grossista).</w:t>
      </w:r>
    </w:p>
    <w:p w14:paraId="4B9A4C67" w14:textId="6622CB4A" w:rsidR="00FD48D8" w:rsidRPr="00BB2775" w:rsidRDefault="00A153A4" w:rsidP="00BB2775">
      <w:pPr>
        <w:pStyle w:val="OvumBullets"/>
        <w:numPr>
          <w:ilvl w:val="0"/>
          <w:numId w:val="8"/>
        </w:numPr>
        <w:ind w:left="426"/>
        <w:rPr>
          <w:rFonts w:ascii="Tahoma" w:hAnsi="Tahoma" w:cs="Tahoma"/>
          <w:sz w:val="22"/>
          <w:szCs w:val="22"/>
          <w:lang w:val="pt-PT"/>
        </w:rPr>
      </w:pPr>
      <w:r w:rsidRPr="009212B2">
        <w:rPr>
          <w:rFonts w:ascii="Tahoma" w:hAnsi="Tahoma" w:cs="Tahoma"/>
          <w:sz w:val="22"/>
          <w:szCs w:val="22"/>
          <w:lang w:val="pt-PT"/>
        </w:rPr>
        <w:t xml:space="preserve">Serviços de dados móveis. Acesso à internet, aplicativos e outros serviços de dados a partir de um equipamento terminal móvel (retalho). </w:t>
      </w:r>
    </w:p>
    <w:p w14:paraId="4E0124C9" w14:textId="77777777" w:rsidR="00FD48D8" w:rsidRPr="00114E1B" w:rsidRDefault="00FD48D8" w:rsidP="00FD48D8">
      <w:pPr>
        <w:pStyle w:val="Heading2"/>
        <w:ind w:left="567"/>
        <w:rPr>
          <w:lang w:val="pt-PT"/>
        </w:rPr>
      </w:pPr>
      <w:bookmarkStart w:id="17" w:name="_Toc75349735"/>
      <w:r>
        <w:rPr>
          <w:lang w:val="pt-PT"/>
        </w:rPr>
        <w:t>Calibração do modelo</w:t>
      </w:r>
      <w:bookmarkEnd w:id="17"/>
    </w:p>
    <w:p w14:paraId="1CED23DD" w14:textId="0D67563C" w:rsidR="00FD48D8" w:rsidRDefault="00FD48D8" w:rsidP="00142A4D">
      <w:pPr>
        <w:pStyle w:val="OvumBullets"/>
        <w:ind w:left="0" w:firstLine="0"/>
        <w:jc w:val="both"/>
        <w:rPr>
          <w:rFonts w:ascii="Tahoma" w:hAnsi="Tahoma" w:cs="Tahoma"/>
          <w:sz w:val="22"/>
          <w:szCs w:val="22"/>
          <w:lang w:val="pt-PT"/>
        </w:rPr>
      </w:pPr>
      <w:r w:rsidRPr="001B0128">
        <w:rPr>
          <w:rFonts w:ascii="Tahoma" w:hAnsi="Tahoma" w:cs="Tahoma"/>
          <w:sz w:val="22"/>
          <w:szCs w:val="22"/>
          <w:lang w:val="pt-PT"/>
        </w:rPr>
        <w:t>O modelo de cust</w:t>
      </w:r>
      <w:r>
        <w:rPr>
          <w:rFonts w:ascii="Tahoma" w:hAnsi="Tahoma" w:cs="Tahoma"/>
          <w:sz w:val="22"/>
          <w:szCs w:val="22"/>
          <w:lang w:val="pt-PT"/>
        </w:rPr>
        <w:t>ei</w:t>
      </w:r>
      <w:r w:rsidRPr="001B0128">
        <w:rPr>
          <w:rFonts w:ascii="Tahoma" w:hAnsi="Tahoma" w:cs="Tahoma"/>
          <w:sz w:val="22"/>
          <w:szCs w:val="22"/>
          <w:lang w:val="pt-PT"/>
        </w:rPr>
        <w:t xml:space="preserve">o de rede móvel usa um design </w:t>
      </w:r>
      <w:r>
        <w:rPr>
          <w:rFonts w:ascii="Tahoma" w:hAnsi="Tahoma" w:cs="Tahoma"/>
          <w:sz w:val="22"/>
          <w:szCs w:val="22"/>
          <w:lang w:val="pt-PT"/>
        </w:rPr>
        <w:t>ascendente</w:t>
      </w:r>
      <w:r w:rsidRPr="001B0128">
        <w:rPr>
          <w:rFonts w:ascii="Tahoma" w:hAnsi="Tahoma" w:cs="Tahoma"/>
          <w:sz w:val="22"/>
          <w:szCs w:val="22"/>
          <w:lang w:val="pt-PT"/>
        </w:rPr>
        <w:t>, permit</w:t>
      </w:r>
      <w:r w:rsidR="00BB2775">
        <w:rPr>
          <w:rFonts w:ascii="Tahoma" w:hAnsi="Tahoma" w:cs="Tahoma"/>
          <w:sz w:val="22"/>
          <w:szCs w:val="22"/>
          <w:lang w:val="pt-PT"/>
        </w:rPr>
        <w:t>indo</w:t>
      </w:r>
      <w:r w:rsidRPr="001B0128">
        <w:rPr>
          <w:rFonts w:ascii="Tahoma" w:hAnsi="Tahoma" w:cs="Tahoma"/>
          <w:sz w:val="22"/>
          <w:szCs w:val="22"/>
          <w:lang w:val="pt-PT"/>
        </w:rPr>
        <w:t xml:space="preserve"> que ativos modernos equivalentes sejam usados ​​em cada nó</w:t>
      </w:r>
      <w:r w:rsidR="001C6679">
        <w:rPr>
          <w:rFonts w:ascii="Tahoma" w:hAnsi="Tahoma" w:cs="Tahoma"/>
          <w:sz w:val="22"/>
          <w:szCs w:val="22"/>
          <w:lang w:val="pt-PT"/>
        </w:rPr>
        <w:t xml:space="preserve">, </w:t>
      </w:r>
      <w:r w:rsidRPr="001B0128">
        <w:rPr>
          <w:rFonts w:ascii="Tahoma" w:hAnsi="Tahoma" w:cs="Tahoma"/>
          <w:sz w:val="22"/>
          <w:szCs w:val="22"/>
          <w:lang w:val="pt-PT"/>
        </w:rPr>
        <w:t>para os links de transmissão entre eles e n</w:t>
      </w:r>
      <w:r>
        <w:rPr>
          <w:rFonts w:ascii="Tahoma" w:hAnsi="Tahoma" w:cs="Tahoma"/>
          <w:sz w:val="22"/>
          <w:szCs w:val="22"/>
          <w:lang w:val="pt-PT"/>
        </w:rPr>
        <w:t>a</w:t>
      </w:r>
      <w:r w:rsidRPr="001B0128">
        <w:rPr>
          <w:rFonts w:ascii="Tahoma" w:hAnsi="Tahoma" w:cs="Tahoma"/>
          <w:sz w:val="22"/>
          <w:szCs w:val="22"/>
          <w:lang w:val="pt-PT"/>
        </w:rPr>
        <w:t xml:space="preserve"> rede </w:t>
      </w:r>
      <w:r w:rsidR="001C6679">
        <w:rPr>
          <w:rFonts w:ascii="Tahoma" w:hAnsi="Tahoma" w:cs="Tahoma"/>
          <w:sz w:val="22"/>
          <w:szCs w:val="22"/>
          <w:lang w:val="pt-PT"/>
        </w:rPr>
        <w:t xml:space="preserve">rádio </w:t>
      </w:r>
      <w:r w:rsidRPr="001B0128">
        <w:rPr>
          <w:rFonts w:ascii="Tahoma" w:hAnsi="Tahoma" w:cs="Tahoma"/>
          <w:sz w:val="22"/>
          <w:szCs w:val="22"/>
          <w:lang w:val="pt-PT"/>
        </w:rPr>
        <w:t xml:space="preserve">de acesso. Em particular, o número de nós de rede primária foi calibrado em relação ao número conhecido de estações </w:t>
      </w:r>
      <w:r>
        <w:rPr>
          <w:rFonts w:ascii="Tahoma" w:hAnsi="Tahoma" w:cs="Tahoma"/>
          <w:sz w:val="22"/>
          <w:szCs w:val="22"/>
          <w:lang w:val="pt-PT"/>
        </w:rPr>
        <w:t xml:space="preserve">de </w:t>
      </w:r>
      <w:r w:rsidRPr="001B0128">
        <w:rPr>
          <w:rFonts w:ascii="Tahoma" w:hAnsi="Tahoma" w:cs="Tahoma"/>
          <w:sz w:val="22"/>
          <w:szCs w:val="22"/>
          <w:lang w:val="pt-PT"/>
        </w:rPr>
        <w:t xml:space="preserve">base na rede da </w:t>
      </w:r>
      <w:r>
        <w:rPr>
          <w:rFonts w:ascii="Tahoma" w:hAnsi="Tahoma" w:cs="Tahoma"/>
          <w:sz w:val="22"/>
          <w:szCs w:val="22"/>
          <w:lang w:val="pt-PT"/>
        </w:rPr>
        <w:t>Orange</w:t>
      </w:r>
      <w:r w:rsidRPr="001B0128">
        <w:rPr>
          <w:rFonts w:ascii="Tahoma" w:hAnsi="Tahoma" w:cs="Tahoma"/>
          <w:sz w:val="22"/>
          <w:szCs w:val="22"/>
          <w:lang w:val="pt-PT"/>
        </w:rPr>
        <w:t xml:space="preserve">, usando uma combinação </w:t>
      </w:r>
      <w:r>
        <w:rPr>
          <w:rFonts w:ascii="Tahoma" w:hAnsi="Tahoma" w:cs="Tahoma"/>
          <w:sz w:val="22"/>
          <w:szCs w:val="22"/>
          <w:lang w:val="pt-PT"/>
        </w:rPr>
        <w:t>evolutiva</w:t>
      </w:r>
      <w:r w:rsidRPr="001B0128">
        <w:rPr>
          <w:rFonts w:ascii="Tahoma" w:hAnsi="Tahoma" w:cs="Tahoma"/>
          <w:sz w:val="22"/>
          <w:szCs w:val="22"/>
          <w:lang w:val="pt-PT"/>
        </w:rPr>
        <w:t xml:space="preserve"> de tecnologia de rede móvel </w:t>
      </w:r>
      <w:r w:rsidR="00BB2775">
        <w:rPr>
          <w:rFonts w:ascii="Tahoma" w:hAnsi="Tahoma" w:cs="Tahoma"/>
          <w:sz w:val="22"/>
          <w:szCs w:val="22"/>
          <w:lang w:val="pt-PT"/>
        </w:rPr>
        <w:t xml:space="preserve">incluindo o </w:t>
      </w:r>
      <w:r w:rsidRPr="001B0128">
        <w:rPr>
          <w:rFonts w:ascii="Tahoma" w:hAnsi="Tahoma" w:cs="Tahoma"/>
          <w:sz w:val="22"/>
          <w:szCs w:val="22"/>
          <w:lang w:val="pt-PT"/>
        </w:rPr>
        <w:t xml:space="preserve">2G, 3G e 4G, e com uma migração gradual para a transmissão </w:t>
      </w:r>
      <w:r>
        <w:rPr>
          <w:rFonts w:ascii="Tahoma" w:hAnsi="Tahoma" w:cs="Tahoma"/>
          <w:sz w:val="22"/>
          <w:szCs w:val="22"/>
          <w:lang w:val="pt-PT"/>
        </w:rPr>
        <w:t>em</w:t>
      </w:r>
      <w:r w:rsidRPr="001B0128">
        <w:rPr>
          <w:rFonts w:ascii="Tahoma" w:hAnsi="Tahoma" w:cs="Tahoma"/>
          <w:sz w:val="22"/>
          <w:szCs w:val="22"/>
          <w:lang w:val="pt-PT"/>
        </w:rPr>
        <w:t xml:space="preserve"> fibra </w:t>
      </w:r>
      <w:r>
        <w:rPr>
          <w:rFonts w:ascii="Tahoma" w:hAnsi="Tahoma" w:cs="Tahoma"/>
          <w:sz w:val="22"/>
          <w:szCs w:val="22"/>
          <w:lang w:val="pt-PT"/>
        </w:rPr>
        <w:t>na rede principal</w:t>
      </w:r>
      <w:r w:rsidRPr="001B0128">
        <w:rPr>
          <w:rFonts w:ascii="Tahoma" w:hAnsi="Tahoma" w:cs="Tahoma"/>
          <w:sz w:val="22"/>
          <w:szCs w:val="22"/>
          <w:lang w:val="pt-PT"/>
        </w:rPr>
        <w:t xml:space="preserve">. Esta calibração foi alcançada alterando algumas das regras de </w:t>
      </w:r>
      <w:r>
        <w:rPr>
          <w:rFonts w:ascii="Tahoma" w:hAnsi="Tahoma" w:cs="Tahoma"/>
          <w:sz w:val="22"/>
          <w:szCs w:val="22"/>
          <w:lang w:val="pt-PT"/>
        </w:rPr>
        <w:t>desenho</w:t>
      </w:r>
      <w:r w:rsidRPr="001B0128">
        <w:rPr>
          <w:rFonts w:ascii="Tahoma" w:hAnsi="Tahoma" w:cs="Tahoma"/>
          <w:sz w:val="22"/>
          <w:szCs w:val="22"/>
          <w:lang w:val="pt-PT"/>
        </w:rPr>
        <w:t xml:space="preserve"> d</w:t>
      </w:r>
      <w:r>
        <w:rPr>
          <w:rFonts w:ascii="Tahoma" w:hAnsi="Tahoma" w:cs="Tahoma"/>
          <w:sz w:val="22"/>
          <w:szCs w:val="22"/>
          <w:lang w:val="pt-PT"/>
        </w:rPr>
        <w:t>a</w:t>
      </w:r>
      <w:r w:rsidRPr="001B0128">
        <w:rPr>
          <w:rFonts w:ascii="Tahoma" w:hAnsi="Tahoma" w:cs="Tahoma"/>
          <w:sz w:val="22"/>
          <w:szCs w:val="22"/>
          <w:lang w:val="pt-PT"/>
        </w:rPr>
        <w:t xml:space="preserve"> </w:t>
      </w:r>
      <w:r w:rsidRPr="00BB2775">
        <w:rPr>
          <w:rFonts w:ascii="Tahoma" w:hAnsi="Tahoma" w:cs="Tahoma"/>
          <w:sz w:val="22"/>
          <w:szCs w:val="22"/>
          <w:lang w:val="pt-PT"/>
        </w:rPr>
        <w:t>rede.</w:t>
      </w:r>
      <w:r w:rsidRPr="001B0128">
        <w:rPr>
          <w:rFonts w:ascii="Tahoma" w:hAnsi="Tahoma" w:cs="Tahoma"/>
          <w:sz w:val="22"/>
          <w:szCs w:val="22"/>
          <w:lang w:val="pt-PT"/>
        </w:rPr>
        <w:t xml:space="preserve"> O resultado é uma reconciliação próxima entre os resultados do modelo e a </w:t>
      </w:r>
      <w:r>
        <w:rPr>
          <w:rFonts w:ascii="Tahoma" w:hAnsi="Tahoma" w:cs="Tahoma"/>
          <w:sz w:val="22"/>
          <w:szCs w:val="22"/>
          <w:lang w:val="pt-PT"/>
        </w:rPr>
        <w:t>implementação</w:t>
      </w:r>
      <w:r w:rsidRPr="001B0128">
        <w:rPr>
          <w:rFonts w:ascii="Tahoma" w:hAnsi="Tahoma" w:cs="Tahoma"/>
          <w:sz w:val="22"/>
          <w:szCs w:val="22"/>
          <w:lang w:val="pt-PT"/>
        </w:rPr>
        <w:t xml:space="preserve"> real da rede </w:t>
      </w:r>
      <w:r w:rsidR="00BC08CA">
        <w:rPr>
          <w:rFonts w:ascii="Tahoma" w:hAnsi="Tahoma" w:cs="Tahoma"/>
          <w:sz w:val="22"/>
          <w:szCs w:val="22"/>
          <w:lang w:val="pt-PT"/>
        </w:rPr>
        <w:t xml:space="preserve">de acesso rádio </w:t>
      </w:r>
      <w:r w:rsidRPr="001B0128">
        <w:rPr>
          <w:rFonts w:ascii="Tahoma" w:hAnsi="Tahoma" w:cs="Tahoma"/>
          <w:sz w:val="22"/>
          <w:szCs w:val="22"/>
          <w:lang w:val="pt-PT"/>
        </w:rPr>
        <w:t>da operadora em 201</w:t>
      </w:r>
      <w:r>
        <w:rPr>
          <w:rFonts w:ascii="Tahoma" w:hAnsi="Tahoma" w:cs="Tahoma"/>
          <w:sz w:val="22"/>
          <w:szCs w:val="22"/>
          <w:lang w:val="pt-PT"/>
        </w:rPr>
        <w:t>9</w:t>
      </w:r>
      <w:r w:rsidR="00BC08CA">
        <w:rPr>
          <w:rFonts w:ascii="Tahoma" w:hAnsi="Tahoma" w:cs="Tahoma"/>
          <w:sz w:val="22"/>
          <w:szCs w:val="22"/>
          <w:lang w:val="pt-PT"/>
        </w:rPr>
        <w:t>,</w:t>
      </w:r>
      <w:r w:rsidR="00E12A21">
        <w:rPr>
          <w:rFonts w:ascii="Tahoma" w:hAnsi="Tahoma" w:cs="Tahoma"/>
          <w:sz w:val="22"/>
          <w:szCs w:val="22"/>
          <w:lang w:val="pt-PT"/>
        </w:rPr>
        <w:t xml:space="preserve"> conforme se apresenta na tabela seguinte:</w:t>
      </w:r>
    </w:p>
    <w:p w14:paraId="3809B95C" w14:textId="6818BE55" w:rsidR="00E12A21" w:rsidRDefault="00E12A21" w:rsidP="00FD48D8">
      <w:pPr>
        <w:pStyle w:val="OvumBullets"/>
        <w:ind w:left="0" w:firstLine="0"/>
        <w:rPr>
          <w:rFonts w:ascii="Tahoma" w:hAnsi="Tahoma" w:cs="Tahoma"/>
          <w:sz w:val="22"/>
          <w:szCs w:val="22"/>
          <w:lang w:val="pt-PT"/>
        </w:rPr>
      </w:pPr>
    </w:p>
    <w:p w14:paraId="184AC0C3" w14:textId="542E06BB" w:rsidR="00E12A21" w:rsidRPr="00BC08CA" w:rsidRDefault="00BC08CA" w:rsidP="00E12A21">
      <w:pPr>
        <w:pStyle w:val="OvumBullets"/>
        <w:ind w:left="0" w:firstLine="0"/>
        <w:jc w:val="center"/>
        <w:rPr>
          <w:rFonts w:ascii="Tahoma" w:hAnsi="Tahoma" w:cs="Tahoma"/>
          <w:sz w:val="22"/>
          <w:szCs w:val="22"/>
          <w:lang w:val="pt-PT"/>
        </w:rPr>
      </w:pPr>
      <w:r w:rsidRPr="00BC08CA">
        <w:rPr>
          <w:noProof/>
        </w:rPr>
        <w:drawing>
          <wp:inline distT="0" distB="0" distL="0" distR="0" wp14:anchorId="374E1C67" wp14:editId="4F88F50E">
            <wp:extent cx="2770505" cy="1824355"/>
            <wp:effectExtent l="0" t="0" r="0" b="444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0505" cy="1824355"/>
                    </a:xfrm>
                    <a:prstGeom prst="rect">
                      <a:avLst/>
                    </a:prstGeom>
                    <a:noFill/>
                    <a:ln>
                      <a:noFill/>
                    </a:ln>
                  </pic:spPr>
                </pic:pic>
              </a:graphicData>
            </a:graphic>
          </wp:inline>
        </w:drawing>
      </w:r>
    </w:p>
    <w:p w14:paraId="215827F2" w14:textId="5174C6BD" w:rsidR="00FD48D8" w:rsidRDefault="00FD48D8" w:rsidP="00FD48D8">
      <w:pPr>
        <w:pStyle w:val="OvumBullets"/>
        <w:rPr>
          <w:rFonts w:ascii="Tahoma" w:hAnsi="Tahoma" w:cs="Tahoma"/>
          <w:sz w:val="22"/>
          <w:szCs w:val="22"/>
          <w:lang w:val="pt-PT"/>
        </w:rPr>
      </w:pPr>
    </w:p>
    <w:p w14:paraId="6C10F7DE" w14:textId="4FE55EF8" w:rsidR="00A153A4" w:rsidRPr="002E5D84" w:rsidRDefault="00C24140" w:rsidP="00142A4D">
      <w:pPr>
        <w:pStyle w:val="OvumBullets"/>
        <w:ind w:left="0" w:firstLine="0"/>
        <w:jc w:val="both"/>
        <w:rPr>
          <w:rFonts w:ascii="Tahoma" w:hAnsi="Tahoma" w:cs="Tahoma"/>
          <w:sz w:val="22"/>
          <w:szCs w:val="22"/>
          <w:lang w:val="pt-PT"/>
        </w:rPr>
      </w:pPr>
      <w:r>
        <w:rPr>
          <w:rFonts w:ascii="Tahoma" w:hAnsi="Tahoma" w:cs="Tahoma"/>
          <w:sz w:val="22"/>
          <w:szCs w:val="22"/>
          <w:lang w:val="pt-PT"/>
        </w:rPr>
        <w:t xml:space="preserve">O modelo permite </w:t>
      </w:r>
      <w:r w:rsidR="00BC08CA">
        <w:rPr>
          <w:rFonts w:ascii="Tahoma" w:hAnsi="Tahoma" w:cs="Tahoma"/>
          <w:sz w:val="22"/>
          <w:szCs w:val="22"/>
          <w:lang w:val="pt-PT"/>
        </w:rPr>
        <w:t xml:space="preserve">também </w:t>
      </w:r>
      <w:r>
        <w:rPr>
          <w:rFonts w:ascii="Tahoma" w:hAnsi="Tahoma" w:cs="Tahoma"/>
          <w:sz w:val="22"/>
          <w:szCs w:val="22"/>
          <w:lang w:val="pt-PT"/>
        </w:rPr>
        <w:t xml:space="preserve">realizar </w:t>
      </w:r>
      <w:r w:rsidR="001C6679" w:rsidRPr="001C6679">
        <w:rPr>
          <w:rFonts w:ascii="Tahoma" w:hAnsi="Tahoma" w:cs="Tahoma"/>
          <w:sz w:val="22"/>
          <w:szCs w:val="22"/>
          <w:lang w:val="pt-PT"/>
        </w:rPr>
        <w:t xml:space="preserve">uma reconciliação dos valores </w:t>
      </w:r>
      <w:r w:rsidR="001C6679">
        <w:rPr>
          <w:rFonts w:ascii="Tahoma" w:hAnsi="Tahoma" w:cs="Tahoma"/>
          <w:sz w:val="22"/>
          <w:szCs w:val="22"/>
          <w:lang w:val="pt-PT"/>
        </w:rPr>
        <w:t>correspondentes aos custos totais da rede</w:t>
      </w:r>
      <w:r w:rsidR="001C6679" w:rsidRPr="001C6679">
        <w:rPr>
          <w:rFonts w:ascii="Tahoma" w:hAnsi="Tahoma" w:cs="Tahoma"/>
          <w:sz w:val="22"/>
          <w:szCs w:val="22"/>
          <w:lang w:val="pt-PT"/>
        </w:rPr>
        <w:t xml:space="preserve"> com </w:t>
      </w:r>
      <w:r w:rsidR="001C6679">
        <w:rPr>
          <w:rFonts w:ascii="Tahoma" w:hAnsi="Tahoma" w:cs="Tahoma"/>
          <w:sz w:val="22"/>
          <w:szCs w:val="22"/>
          <w:lang w:val="pt-PT"/>
        </w:rPr>
        <w:t>as contas anuais remetidas pelas operadoras à ARN</w:t>
      </w:r>
      <w:r w:rsidR="001C6679" w:rsidRPr="001C6679">
        <w:rPr>
          <w:rFonts w:ascii="Tahoma" w:hAnsi="Tahoma" w:cs="Tahoma"/>
          <w:sz w:val="22"/>
          <w:szCs w:val="22"/>
          <w:lang w:val="pt-PT"/>
        </w:rPr>
        <w:t xml:space="preserve"> para 201</w:t>
      </w:r>
      <w:r w:rsidR="001C6679">
        <w:rPr>
          <w:rFonts w:ascii="Tahoma" w:hAnsi="Tahoma" w:cs="Tahoma"/>
          <w:sz w:val="22"/>
          <w:szCs w:val="22"/>
          <w:lang w:val="pt-PT"/>
        </w:rPr>
        <w:t>9</w:t>
      </w:r>
      <w:r w:rsidR="001C6679" w:rsidRPr="001C6679">
        <w:rPr>
          <w:rFonts w:ascii="Tahoma" w:hAnsi="Tahoma" w:cs="Tahoma"/>
          <w:sz w:val="22"/>
          <w:szCs w:val="22"/>
          <w:lang w:val="pt-PT"/>
        </w:rPr>
        <w:t xml:space="preserve">. </w:t>
      </w:r>
      <w:r>
        <w:rPr>
          <w:rFonts w:ascii="Tahoma" w:hAnsi="Tahoma" w:cs="Tahoma"/>
          <w:sz w:val="22"/>
          <w:szCs w:val="22"/>
          <w:lang w:val="pt-PT"/>
        </w:rPr>
        <w:t>Dado que a</w:t>
      </w:r>
      <w:r w:rsidR="001C6679" w:rsidRPr="001C6679">
        <w:rPr>
          <w:rFonts w:ascii="Tahoma" w:hAnsi="Tahoma" w:cs="Tahoma"/>
          <w:sz w:val="22"/>
          <w:szCs w:val="22"/>
          <w:lang w:val="pt-PT"/>
        </w:rPr>
        <w:t xml:space="preserve"> </w:t>
      </w:r>
      <w:r w:rsidR="001C6679">
        <w:rPr>
          <w:rFonts w:ascii="Tahoma" w:hAnsi="Tahoma" w:cs="Tahoma"/>
          <w:sz w:val="22"/>
          <w:szCs w:val="22"/>
          <w:lang w:val="pt-PT"/>
        </w:rPr>
        <w:t xml:space="preserve">MTN </w:t>
      </w:r>
      <w:r w:rsidR="001C6679" w:rsidRPr="001C6679">
        <w:rPr>
          <w:rFonts w:ascii="Tahoma" w:hAnsi="Tahoma" w:cs="Tahoma"/>
          <w:sz w:val="22"/>
          <w:szCs w:val="22"/>
          <w:lang w:val="pt-PT"/>
        </w:rPr>
        <w:t xml:space="preserve">não forneceu custos </w:t>
      </w:r>
      <w:r w:rsidR="001C6679">
        <w:rPr>
          <w:rFonts w:ascii="Tahoma" w:hAnsi="Tahoma" w:cs="Tahoma"/>
          <w:sz w:val="22"/>
          <w:szCs w:val="22"/>
          <w:lang w:val="pt-PT"/>
        </w:rPr>
        <w:t>contabilísticos desagregados</w:t>
      </w:r>
      <w:r w:rsidR="001C6679" w:rsidRPr="001C6679">
        <w:rPr>
          <w:rFonts w:ascii="Tahoma" w:hAnsi="Tahoma" w:cs="Tahoma"/>
          <w:sz w:val="22"/>
          <w:szCs w:val="22"/>
          <w:lang w:val="pt-PT"/>
        </w:rPr>
        <w:t xml:space="preserve">, essa reconciliação não pôde ser </w:t>
      </w:r>
      <w:r w:rsidR="001C6679">
        <w:rPr>
          <w:rFonts w:ascii="Tahoma" w:hAnsi="Tahoma" w:cs="Tahoma"/>
          <w:sz w:val="22"/>
          <w:szCs w:val="22"/>
          <w:lang w:val="pt-PT"/>
        </w:rPr>
        <w:t>efetuada</w:t>
      </w:r>
      <w:r>
        <w:rPr>
          <w:rFonts w:ascii="Tahoma" w:hAnsi="Tahoma" w:cs="Tahoma"/>
          <w:sz w:val="22"/>
          <w:szCs w:val="22"/>
          <w:lang w:val="pt-PT"/>
        </w:rPr>
        <w:t xml:space="preserve"> para os seus custos totais de rede</w:t>
      </w:r>
      <w:r w:rsidR="001C6679" w:rsidRPr="001C6679">
        <w:rPr>
          <w:rFonts w:ascii="Tahoma" w:hAnsi="Tahoma" w:cs="Tahoma"/>
          <w:sz w:val="22"/>
          <w:szCs w:val="22"/>
          <w:lang w:val="pt-PT"/>
        </w:rPr>
        <w:t xml:space="preserve">. </w:t>
      </w:r>
      <w:r>
        <w:rPr>
          <w:rFonts w:ascii="Tahoma" w:hAnsi="Tahoma" w:cs="Tahoma"/>
          <w:sz w:val="22"/>
          <w:szCs w:val="22"/>
          <w:lang w:val="pt-PT"/>
        </w:rPr>
        <w:t>No caso da Orange a</w:t>
      </w:r>
      <w:r w:rsidR="001C6679" w:rsidRPr="001C6679">
        <w:rPr>
          <w:rFonts w:ascii="Tahoma" w:hAnsi="Tahoma" w:cs="Tahoma"/>
          <w:sz w:val="22"/>
          <w:szCs w:val="22"/>
          <w:lang w:val="pt-PT"/>
        </w:rPr>
        <w:t xml:space="preserve"> calibração foi alcançada sem alterar nenhum dos dados fornecidos </w:t>
      </w:r>
      <w:r>
        <w:rPr>
          <w:rFonts w:ascii="Tahoma" w:hAnsi="Tahoma" w:cs="Tahoma"/>
          <w:sz w:val="22"/>
          <w:szCs w:val="22"/>
          <w:lang w:val="pt-PT"/>
        </w:rPr>
        <w:t>por esta operadora</w:t>
      </w:r>
      <w:r w:rsidR="001C6679" w:rsidRPr="001C6679">
        <w:rPr>
          <w:rFonts w:ascii="Tahoma" w:hAnsi="Tahoma" w:cs="Tahoma"/>
          <w:sz w:val="22"/>
          <w:szCs w:val="22"/>
          <w:lang w:val="pt-PT"/>
        </w:rPr>
        <w:t xml:space="preserve">. O resultado é uma reconciliação </w:t>
      </w:r>
      <w:r w:rsidR="001C6679">
        <w:rPr>
          <w:rFonts w:ascii="Tahoma" w:hAnsi="Tahoma" w:cs="Tahoma"/>
          <w:sz w:val="22"/>
          <w:szCs w:val="22"/>
          <w:lang w:val="pt-PT"/>
        </w:rPr>
        <w:t>muito aproximada</w:t>
      </w:r>
      <w:r w:rsidR="001C6679" w:rsidRPr="001C6679">
        <w:rPr>
          <w:rFonts w:ascii="Tahoma" w:hAnsi="Tahoma" w:cs="Tahoma"/>
          <w:sz w:val="22"/>
          <w:szCs w:val="22"/>
          <w:lang w:val="pt-PT"/>
        </w:rPr>
        <w:t xml:space="preserve"> entre os resultados do modelo e os custos reais da operadora </w:t>
      </w:r>
      <w:r w:rsidR="00E12A21">
        <w:rPr>
          <w:rFonts w:ascii="Tahoma" w:hAnsi="Tahoma" w:cs="Tahoma"/>
          <w:sz w:val="22"/>
          <w:szCs w:val="22"/>
          <w:lang w:val="pt-PT"/>
        </w:rPr>
        <w:t xml:space="preserve">com uma diferença </w:t>
      </w:r>
      <w:r w:rsidR="00BC08CA" w:rsidRPr="001C6679">
        <w:rPr>
          <w:rFonts w:ascii="Tahoma" w:hAnsi="Tahoma" w:cs="Tahoma"/>
          <w:sz w:val="22"/>
          <w:szCs w:val="22"/>
          <w:lang w:val="pt-PT"/>
        </w:rPr>
        <w:t>em 201</w:t>
      </w:r>
      <w:r w:rsidR="00BC08CA">
        <w:rPr>
          <w:rFonts w:ascii="Tahoma" w:hAnsi="Tahoma" w:cs="Tahoma"/>
          <w:sz w:val="22"/>
          <w:szCs w:val="22"/>
          <w:lang w:val="pt-PT"/>
        </w:rPr>
        <w:t xml:space="preserve">9 </w:t>
      </w:r>
      <w:r w:rsidR="00E12A21">
        <w:rPr>
          <w:rFonts w:ascii="Tahoma" w:hAnsi="Tahoma" w:cs="Tahoma"/>
          <w:sz w:val="22"/>
          <w:szCs w:val="22"/>
          <w:lang w:val="pt-PT"/>
        </w:rPr>
        <w:t>de apenas 10%.</w:t>
      </w:r>
    </w:p>
    <w:p w14:paraId="6FFADBAA" w14:textId="30347AC0" w:rsidR="00263DBC" w:rsidRDefault="001C6679" w:rsidP="00263DBC">
      <w:pPr>
        <w:pStyle w:val="Heading1"/>
        <w:rPr>
          <w:lang w:val="pt-PT"/>
        </w:rPr>
      </w:pPr>
      <w:bookmarkStart w:id="18" w:name="_Toc75349736"/>
      <w:r>
        <w:rPr>
          <w:lang w:val="pt-PT"/>
        </w:rPr>
        <w:lastRenderedPageBreak/>
        <w:t>resultados do modelo</w:t>
      </w:r>
      <w:bookmarkEnd w:id="18"/>
    </w:p>
    <w:p w14:paraId="0C50E47A" w14:textId="77777777" w:rsidR="002E5D84" w:rsidRDefault="001C6679" w:rsidP="00142A4D">
      <w:pPr>
        <w:jc w:val="both"/>
        <w:rPr>
          <w:lang w:val="pt-PT" w:eastAsia="en-GB"/>
        </w:rPr>
      </w:pPr>
      <w:r w:rsidRPr="001C6679">
        <w:rPr>
          <w:lang w:val="pt-PT" w:eastAsia="en-GB"/>
        </w:rPr>
        <w:t>O modelo de cust</w:t>
      </w:r>
      <w:r>
        <w:rPr>
          <w:lang w:val="pt-PT" w:eastAsia="en-GB"/>
        </w:rPr>
        <w:t>ei</w:t>
      </w:r>
      <w:r w:rsidRPr="001C6679">
        <w:rPr>
          <w:lang w:val="pt-PT" w:eastAsia="en-GB"/>
        </w:rPr>
        <w:t xml:space="preserve">o de rede móvel fornece estimativas para os custos de todos os serviços </w:t>
      </w:r>
      <w:r>
        <w:rPr>
          <w:lang w:val="pt-PT" w:eastAsia="en-GB"/>
        </w:rPr>
        <w:t>suportados</w:t>
      </w:r>
      <w:r w:rsidRPr="001C6679">
        <w:rPr>
          <w:lang w:val="pt-PT" w:eastAsia="en-GB"/>
        </w:rPr>
        <w:t xml:space="preserve"> pelas redes móveis </w:t>
      </w:r>
      <w:r>
        <w:rPr>
          <w:lang w:val="pt-PT" w:eastAsia="en-GB"/>
        </w:rPr>
        <w:t>na Guiné Bissau</w:t>
      </w:r>
      <w:r w:rsidRPr="001C6679">
        <w:rPr>
          <w:lang w:val="pt-PT" w:eastAsia="en-GB"/>
        </w:rPr>
        <w:t>. Resultados separados são fornecidos para cada ano de 2019-202</w:t>
      </w:r>
      <w:r>
        <w:rPr>
          <w:lang w:val="pt-PT" w:eastAsia="en-GB"/>
        </w:rPr>
        <w:t>4</w:t>
      </w:r>
      <w:r w:rsidRPr="001C6679">
        <w:rPr>
          <w:lang w:val="pt-PT" w:eastAsia="en-GB"/>
        </w:rPr>
        <w:t xml:space="preserve"> e para serviços </w:t>
      </w:r>
      <w:r>
        <w:rPr>
          <w:lang w:val="pt-PT" w:eastAsia="en-GB"/>
        </w:rPr>
        <w:t>grossistas e de retalho</w:t>
      </w:r>
      <w:r w:rsidRPr="001C6679">
        <w:rPr>
          <w:lang w:val="pt-PT" w:eastAsia="en-GB"/>
        </w:rPr>
        <w:t xml:space="preserve">. No entanto, </w:t>
      </w:r>
      <w:r>
        <w:rPr>
          <w:lang w:val="pt-PT" w:eastAsia="en-GB"/>
        </w:rPr>
        <w:t>a ARN</w:t>
      </w:r>
      <w:r w:rsidRPr="001C6679">
        <w:rPr>
          <w:lang w:val="pt-PT" w:eastAsia="en-GB"/>
        </w:rPr>
        <w:t xml:space="preserve"> </w:t>
      </w:r>
      <w:r w:rsidR="002E5D84">
        <w:rPr>
          <w:lang w:val="pt-PT" w:eastAsia="en-GB"/>
        </w:rPr>
        <w:t>será sem dúvida prudente</w:t>
      </w:r>
      <w:r>
        <w:rPr>
          <w:lang w:val="pt-PT" w:eastAsia="en-GB"/>
        </w:rPr>
        <w:t xml:space="preserve"> na interpretação</w:t>
      </w:r>
      <w:r w:rsidRPr="001C6679">
        <w:rPr>
          <w:lang w:val="pt-PT" w:eastAsia="en-GB"/>
        </w:rPr>
        <w:t xml:space="preserve"> </w:t>
      </w:r>
      <w:r>
        <w:rPr>
          <w:lang w:val="pt-PT" w:eastAsia="en-GB"/>
        </w:rPr>
        <w:t>d</w:t>
      </w:r>
      <w:r w:rsidRPr="001C6679">
        <w:rPr>
          <w:lang w:val="pt-PT" w:eastAsia="en-GB"/>
        </w:rPr>
        <w:t>esses resultados. Em particular, deve-se observar que:</w:t>
      </w:r>
    </w:p>
    <w:p w14:paraId="4A87EDCD" w14:textId="0EB84E20" w:rsidR="002E5D84" w:rsidRPr="00B7527A" w:rsidRDefault="002E5D84" w:rsidP="00142A4D">
      <w:pPr>
        <w:pStyle w:val="IncyteBullets"/>
        <w:jc w:val="both"/>
        <w:rPr>
          <w:lang w:val="pt-PT"/>
        </w:rPr>
      </w:pPr>
      <w:r w:rsidRPr="00B7527A">
        <w:rPr>
          <w:lang w:val="pt-PT"/>
        </w:rPr>
        <w:t xml:space="preserve">O conceito do OME é apropriado para definir preços máximos de terminação de chamadas em redes móveis, mas em geral os preços de retalho devem ser avaliados com base nos próprios custos da operadora (ou seja, usando os cenários Orange e MTN que o modelo possibilita). </w:t>
      </w:r>
      <w:r w:rsidR="00B7527A">
        <w:rPr>
          <w:lang w:val="pt-PT"/>
        </w:rPr>
        <w:t>As</w:t>
      </w:r>
      <w:r w:rsidRPr="00B7527A">
        <w:rPr>
          <w:lang w:val="pt-PT"/>
        </w:rPr>
        <w:t xml:space="preserve"> operadoras precisam </w:t>
      </w:r>
      <w:r w:rsidR="00B7527A">
        <w:rPr>
          <w:lang w:val="pt-PT"/>
        </w:rPr>
        <w:t xml:space="preserve">de </w:t>
      </w:r>
      <w:r w:rsidRPr="00B7527A">
        <w:rPr>
          <w:lang w:val="pt-PT"/>
        </w:rPr>
        <w:t>recuperar os seus custos reais</w:t>
      </w:r>
      <w:r w:rsidR="008112DD">
        <w:rPr>
          <w:lang w:val="pt-PT"/>
        </w:rPr>
        <w:t xml:space="preserve"> </w:t>
      </w:r>
      <w:r w:rsidR="008112DD" w:rsidRPr="00B7527A">
        <w:rPr>
          <w:lang w:val="pt-PT"/>
        </w:rPr>
        <w:t>através dos seus tarifários de retalho</w:t>
      </w:r>
      <w:r w:rsidR="008112DD">
        <w:rPr>
          <w:lang w:val="pt-PT"/>
        </w:rPr>
        <w:t xml:space="preserve"> </w:t>
      </w:r>
      <w:r w:rsidRPr="00B7527A">
        <w:rPr>
          <w:lang w:val="pt-PT"/>
        </w:rPr>
        <w:t>e não os de uma operadora teoricamente eficiente.</w:t>
      </w:r>
    </w:p>
    <w:p w14:paraId="5FFAFE10" w14:textId="2A6B864F" w:rsidR="00B7527A" w:rsidRDefault="00B7527A" w:rsidP="00142A4D">
      <w:pPr>
        <w:pStyle w:val="IncyteBullets"/>
        <w:jc w:val="both"/>
        <w:rPr>
          <w:lang w:val="pt-PT"/>
        </w:rPr>
      </w:pPr>
      <w:r>
        <w:rPr>
          <w:lang w:val="pt-PT"/>
        </w:rPr>
        <w:t>Na ausência de operadores dominantes nos mercados retalhistas, qualquer regulador</w:t>
      </w:r>
      <w:r w:rsidRPr="00B7527A">
        <w:rPr>
          <w:lang w:val="pt-PT"/>
        </w:rPr>
        <w:t xml:space="preserve"> deve abster-se de definir preços de </w:t>
      </w:r>
      <w:r>
        <w:rPr>
          <w:lang w:val="pt-PT"/>
        </w:rPr>
        <w:t>retalho</w:t>
      </w:r>
      <w:r w:rsidRPr="00B7527A">
        <w:rPr>
          <w:lang w:val="pt-PT"/>
        </w:rPr>
        <w:t xml:space="preserve">, mesmo </w:t>
      </w:r>
      <w:r>
        <w:rPr>
          <w:lang w:val="pt-PT"/>
        </w:rPr>
        <w:t>que utilize</w:t>
      </w:r>
      <w:r w:rsidRPr="00B7527A">
        <w:rPr>
          <w:lang w:val="pt-PT"/>
        </w:rPr>
        <w:t xml:space="preserve"> os cenários d</w:t>
      </w:r>
      <w:r>
        <w:rPr>
          <w:lang w:val="pt-PT"/>
        </w:rPr>
        <w:t>e cada</w:t>
      </w:r>
      <w:r w:rsidRPr="00B7527A">
        <w:rPr>
          <w:lang w:val="pt-PT"/>
        </w:rPr>
        <w:t xml:space="preserve"> operador dentro do modelo. </w:t>
      </w:r>
      <w:r>
        <w:rPr>
          <w:lang w:val="pt-PT"/>
        </w:rPr>
        <w:t>Os</w:t>
      </w:r>
      <w:r w:rsidRPr="00B7527A">
        <w:rPr>
          <w:lang w:val="pt-PT"/>
        </w:rPr>
        <w:t xml:space="preserve"> melhores resultados econ</w:t>
      </w:r>
      <w:r>
        <w:rPr>
          <w:lang w:val="pt-PT"/>
        </w:rPr>
        <w:t>ó</w:t>
      </w:r>
      <w:r w:rsidRPr="00B7527A">
        <w:rPr>
          <w:lang w:val="pt-PT"/>
        </w:rPr>
        <w:t xml:space="preserve">micos são geralmente determinados por meio da concorrência efetiva no </w:t>
      </w:r>
      <w:r>
        <w:rPr>
          <w:lang w:val="pt-PT"/>
        </w:rPr>
        <w:t>retalho</w:t>
      </w:r>
      <w:r w:rsidRPr="00B7527A">
        <w:rPr>
          <w:lang w:val="pt-PT"/>
        </w:rPr>
        <w:t xml:space="preserve">, e não </w:t>
      </w:r>
      <w:r>
        <w:rPr>
          <w:lang w:val="pt-PT"/>
        </w:rPr>
        <w:t xml:space="preserve">os decorrentes </w:t>
      </w:r>
      <w:r w:rsidRPr="00B7527A">
        <w:rPr>
          <w:lang w:val="pt-PT"/>
        </w:rPr>
        <w:t xml:space="preserve">da regulação de preços. O papel </w:t>
      </w:r>
      <w:r>
        <w:rPr>
          <w:lang w:val="pt-PT"/>
        </w:rPr>
        <w:t xml:space="preserve">mais </w:t>
      </w:r>
      <w:r w:rsidRPr="00B7527A">
        <w:rPr>
          <w:lang w:val="pt-PT"/>
        </w:rPr>
        <w:t xml:space="preserve">apropriado para </w:t>
      </w:r>
      <w:r>
        <w:rPr>
          <w:lang w:val="pt-PT"/>
        </w:rPr>
        <w:t>a ARN</w:t>
      </w:r>
      <w:r w:rsidRPr="00B7527A">
        <w:rPr>
          <w:lang w:val="pt-PT"/>
        </w:rPr>
        <w:t xml:space="preserve">, </w:t>
      </w:r>
      <w:r>
        <w:rPr>
          <w:lang w:val="pt-PT"/>
        </w:rPr>
        <w:t xml:space="preserve">será </w:t>
      </w:r>
      <w:r w:rsidRPr="00B7527A">
        <w:rPr>
          <w:lang w:val="pt-PT"/>
        </w:rPr>
        <w:t xml:space="preserve">provavelmente a </w:t>
      </w:r>
      <w:r>
        <w:rPr>
          <w:lang w:val="pt-PT"/>
        </w:rPr>
        <w:t xml:space="preserve">avaliação e </w:t>
      </w:r>
      <w:r w:rsidRPr="00B7527A">
        <w:rPr>
          <w:lang w:val="pt-PT"/>
        </w:rPr>
        <w:t xml:space="preserve">revisão ex post dos </w:t>
      </w:r>
      <w:r>
        <w:rPr>
          <w:lang w:val="pt-PT"/>
        </w:rPr>
        <w:t xml:space="preserve">níveis de </w:t>
      </w:r>
      <w:r w:rsidRPr="00B7527A">
        <w:rPr>
          <w:lang w:val="pt-PT"/>
        </w:rPr>
        <w:t>preços, usando o modelo de cust</w:t>
      </w:r>
      <w:r>
        <w:rPr>
          <w:lang w:val="pt-PT"/>
        </w:rPr>
        <w:t>ei</w:t>
      </w:r>
      <w:r w:rsidRPr="00B7527A">
        <w:rPr>
          <w:lang w:val="pt-PT"/>
        </w:rPr>
        <w:t xml:space="preserve">o para ajudar a determinar se </w:t>
      </w:r>
      <w:r w:rsidR="008112DD">
        <w:rPr>
          <w:lang w:val="pt-PT"/>
        </w:rPr>
        <w:t xml:space="preserve">os operadores utilizam </w:t>
      </w:r>
      <w:r w:rsidRPr="00B7527A">
        <w:rPr>
          <w:lang w:val="pt-PT"/>
        </w:rPr>
        <w:t xml:space="preserve">quaisquer práticas de preços anticompetitivos, incluindo, </w:t>
      </w:r>
      <w:r>
        <w:rPr>
          <w:lang w:val="pt-PT"/>
        </w:rPr>
        <w:t xml:space="preserve">o </w:t>
      </w:r>
      <w:r w:rsidRPr="00B7527A">
        <w:rPr>
          <w:lang w:val="pt-PT"/>
        </w:rPr>
        <w:t xml:space="preserve">potencial conluio entre </w:t>
      </w:r>
      <w:r w:rsidR="008112DD">
        <w:rPr>
          <w:lang w:val="pt-PT"/>
        </w:rPr>
        <w:t>elas</w:t>
      </w:r>
      <w:r w:rsidRPr="00B7527A">
        <w:rPr>
          <w:lang w:val="pt-PT"/>
        </w:rPr>
        <w:t xml:space="preserve"> </w:t>
      </w:r>
      <w:r w:rsidR="008112DD">
        <w:rPr>
          <w:lang w:val="pt-PT"/>
        </w:rPr>
        <w:t xml:space="preserve">e </w:t>
      </w:r>
      <w:r w:rsidRPr="00B7527A">
        <w:rPr>
          <w:lang w:val="pt-PT"/>
        </w:rPr>
        <w:t>em detrimento dos clientes</w:t>
      </w:r>
      <w:r>
        <w:rPr>
          <w:lang w:val="pt-PT"/>
        </w:rPr>
        <w:t xml:space="preserve"> de retalho</w:t>
      </w:r>
      <w:r w:rsidRPr="00B7527A">
        <w:rPr>
          <w:lang w:val="pt-PT"/>
        </w:rPr>
        <w:t>.</w:t>
      </w:r>
    </w:p>
    <w:p w14:paraId="7EF3C7E5" w14:textId="3DE79628" w:rsidR="00B7527A" w:rsidRPr="00B7527A" w:rsidRDefault="00B7527A" w:rsidP="00142A4D">
      <w:pPr>
        <w:pStyle w:val="IncyteBullets"/>
        <w:jc w:val="both"/>
        <w:rPr>
          <w:lang w:val="pt-PT"/>
        </w:rPr>
      </w:pPr>
      <w:r w:rsidRPr="00B7527A">
        <w:rPr>
          <w:lang w:val="pt-PT"/>
        </w:rPr>
        <w:t>Ao usar o modelo de cust</w:t>
      </w:r>
      <w:r>
        <w:rPr>
          <w:lang w:val="pt-PT"/>
        </w:rPr>
        <w:t>ei</w:t>
      </w:r>
      <w:r w:rsidRPr="00B7527A">
        <w:rPr>
          <w:lang w:val="pt-PT"/>
        </w:rPr>
        <w:t xml:space="preserve">o (provavelmente </w:t>
      </w:r>
      <w:r>
        <w:rPr>
          <w:lang w:val="pt-PT"/>
        </w:rPr>
        <w:t>n</w:t>
      </w:r>
      <w:r w:rsidRPr="00B7527A">
        <w:rPr>
          <w:lang w:val="pt-PT"/>
        </w:rPr>
        <w:t xml:space="preserve">uma base ex-post) para </w:t>
      </w:r>
      <w:r>
        <w:rPr>
          <w:lang w:val="pt-PT"/>
        </w:rPr>
        <w:t>avaliar</w:t>
      </w:r>
      <w:r w:rsidRPr="00B7527A">
        <w:rPr>
          <w:lang w:val="pt-PT"/>
        </w:rPr>
        <w:t xml:space="preserve"> os preços de </w:t>
      </w:r>
      <w:r>
        <w:rPr>
          <w:lang w:val="pt-PT"/>
        </w:rPr>
        <w:t>retalho</w:t>
      </w:r>
      <w:r w:rsidRPr="00B7527A">
        <w:rPr>
          <w:lang w:val="pt-PT"/>
        </w:rPr>
        <w:t xml:space="preserve">, é importante lembrar que o modelo cobre apenas os custos de uma rede móvel. Assim, os custos totais das chamadas on-net estão incluídos no modelo, mas para as chamadas off-net será necessário levar em consideração também os custos de terminação da chamada </w:t>
      </w:r>
      <w:r w:rsidR="004A2111">
        <w:rPr>
          <w:lang w:val="pt-PT"/>
        </w:rPr>
        <w:t>na</w:t>
      </w:r>
      <w:r w:rsidRPr="00B7527A">
        <w:rPr>
          <w:lang w:val="pt-PT"/>
        </w:rPr>
        <w:t xml:space="preserve"> outra rede</w:t>
      </w:r>
      <w:r w:rsidR="004A2111">
        <w:rPr>
          <w:lang w:val="pt-PT"/>
        </w:rPr>
        <w:t>,</w:t>
      </w:r>
      <w:r w:rsidRPr="00B7527A">
        <w:rPr>
          <w:lang w:val="pt-PT"/>
        </w:rPr>
        <w:t xml:space="preserve"> que também fazem parte do preço </w:t>
      </w:r>
      <w:r w:rsidR="004A2111">
        <w:rPr>
          <w:lang w:val="pt-PT"/>
        </w:rPr>
        <w:t xml:space="preserve">cobrado </w:t>
      </w:r>
      <w:r w:rsidRPr="00B7527A">
        <w:rPr>
          <w:lang w:val="pt-PT"/>
        </w:rPr>
        <w:t xml:space="preserve">ao </w:t>
      </w:r>
      <w:r w:rsidR="004A2111">
        <w:rPr>
          <w:lang w:val="pt-PT"/>
        </w:rPr>
        <w:t>utilizador</w:t>
      </w:r>
      <w:r w:rsidRPr="00B7527A">
        <w:rPr>
          <w:lang w:val="pt-PT"/>
        </w:rPr>
        <w:t xml:space="preserve"> final. Da mesma forma, para chamadas internacionais e a maioria do tráfego de dados, é necessário adicionar os custos de acesso </w:t>
      </w:r>
      <w:r w:rsidR="004A2111">
        <w:rPr>
          <w:lang w:val="pt-PT"/>
        </w:rPr>
        <w:t>internacional</w:t>
      </w:r>
      <w:r w:rsidRPr="00B7527A">
        <w:rPr>
          <w:lang w:val="pt-PT"/>
        </w:rPr>
        <w:t>.</w:t>
      </w:r>
      <w:r w:rsidR="004A2111">
        <w:rPr>
          <w:lang w:val="pt-PT"/>
        </w:rPr>
        <w:t xml:space="preserve"> O modelo de custeio apenas cobre os custos até ao gateway internacional.</w:t>
      </w:r>
    </w:p>
    <w:p w14:paraId="2CFA764A" w14:textId="644F612B" w:rsidR="00EF3845" w:rsidRPr="00EF3845" w:rsidRDefault="00EF3845" w:rsidP="00EF3845">
      <w:pPr>
        <w:pStyle w:val="Heading2"/>
        <w:ind w:left="567"/>
        <w:rPr>
          <w:lang w:val="pt-PT"/>
        </w:rPr>
      </w:pPr>
      <w:bookmarkStart w:id="19" w:name="_Toc75349737"/>
      <w:r>
        <w:rPr>
          <w:lang w:val="pt-PT"/>
        </w:rPr>
        <w:t>Determinação dos preços grossistas</w:t>
      </w:r>
      <w:bookmarkEnd w:id="19"/>
    </w:p>
    <w:p w14:paraId="676F16B3" w14:textId="77777777" w:rsidR="0042572D" w:rsidRPr="00883F52" w:rsidRDefault="00EF3845" w:rsidP="00142A4D">
      <w:pPr>
        <w:jc w:val="both"/>
        <w:rPr>
          <w:color w:val="000000"/>
          <w:lang w:val="pt-PT"/>
        </w:rPr>
      </w:pPr>
      <w:r w:rsidRPr="00883F52">
        <w:rPr>
          <w:color w:val="000000"/>
          <w:lang w:val="pt-PT"/>
        </w:rPr>
        <w:t xml:space="preserve">Conforme a Análise de Mercado estabeleceu cada operador detém uma quota de 100% do tráfego de terminação na sua rede que constitui um mercado separado. Portanto cada um dos operadores possui Poder Significativo de Mercado (PSM) nos serviços de terminação de chamadas vocais nas suas redes. </w:t>
      </w:r>
    </w:p>
    <w:p w14:paraId="2BC6BE33" w14:textId="77777777" w:rsidR="0042572D" w:rsidRPr="00813263" w:rsidRDefault="0042572D" w:rsidP="00142A4D">
      <w:pPr>
        <w:jc w:val="both"/>
        <w:rPr>
          <w:color w:val="000000"/>
          <w:lang w:val="pt-PT"/>
        </w:rPr>
      </w:pPr>
      <w:r w:rsidRPr="00813263">
        <w:rPr>
          <w:color w:val="000000"/>
          <w:lang w:val="pt-PT"/>
        </w:rPr>
        <w:t>O poder de mercado detido pelos operadores de rede móvel na terminação das chamadas decorre do facto de que qualquer operador que queira terminar chamadas num utilizador final de uma outra rede móvel ter obrigatoriamente que utilizar os serviços daquele operador de rede móvel. Adicionalmente, os consumidores apresentam uma reduzida sensibilidade face ao preço das chamadas que lhe são dirigidas. Esta situação decorre da aplicação do princípio do chamador-pagador</w:t>
      </w:r>
      <w:r w:rsidRPr="00813263">
        <w:rPr>
          <w:color w:val="000000"/>
          <w:position w:val="10"/>
          <w:vertAlign w:val="superscript"/>
          <w:lang w:val="pt-PT"/>
        </w:rPr>
        <w:t xml:space="preserve"> </w:t>
      </w:r>
      <w:r w:rsidRPr="00813263">
        <w:rPr>
          <w:color w:val="000000"/>
          <w:lang w:val="pt-PT"/>
        </w:rPr>
        <w:t xml:space="preserve">– que implica uma dissociação entre a pessoa que paga as chamadas (o </w:t>
      </w:r>
      <w:r w:rsidRPr="00813263">
        <w:rPr>
          <w:color w:val="000000"/>
          <w:lang w:val="pt-PT"/>
        </w:rPr>
        <w:lastRenderedPageBreak/>
        <w:t xml:space="preserve">chamador) e a pessoa que efetua a escolha da rede de terminação - contribuindo para reforçar a ausência de incentivos para a redução dos preços de terminação. </w:t>
      </w:r>
    </w:p>
    <w:p w14:paraId="027B76F5" w14:textId="77777777" w:rsidR="0042572D" w:rsidRPr="00813263" w:rsidRDefault="0042572D" w:rsidP="00142A4D">
      <w:pPr>
        <w:autoSpaceDE w:val="0"/>
        <w:autoSpaceDN w:val="0"/>
        <w:adjustRightInd w:val="0"/>
        <w:spacing w:line="240" w:lineRule="auto"/>
        <w:jc w:val="both"/>
        <w:rPr>
          <w:color w:val="000000"/>
          <w:lang w:val="pt-PT"/>
        </w:rPr>
      </w:pPr>
      <w:r w:rsidRPr="00813263">
        <w:rPr>
          <w:color w:val="000000"/>
          <w:lang w:val="pt-PT"/>
        </w:rPr>
        <w:t xml:space="preserve">O poder de mercado que os operadores de rede móvel têm na fixação dos preços de terminação de chamadas vocais nas suas redes só poderia ser atenuado se existissem meios alternativos, suficientemente generalizados, para terminar as chamadas vocais e se existisse um importante contrapoder negocial dos compradores. </w:t>
      </w:r>
    </w:p>
    <w:p w14:paraId="558F52F8" w14:textId="4765A7E0" w:rsidR="0042572D" w:rsidRPr="00813263" w:rsidRDefault="0042572D" w:rsidP="00142A4D">
      <w:pPr>
        <w:jc w:val="both"/>
        <w:rPr>
          <w:color w:val="000000"/>
          <w:lang w:val="pt-PT"/>
        </w:rPr>
      </w:pPr>
      <w:r w:rsidRPr="00813263">
        <w:rPr>
          <w:color w:val="000000"/>
          <w:lang w:val="pt-PT"/>
        </w:rPr>
        <w:t>É também geralmente aceite que</w:t>
      </w:r>
      <w:r w:rsidR="008112DD">
        <w:rPr>
          <w:color w:val="000000"/>
          <w:lang w:val="pt-PT"/>
        </w:rPr>
        <w:t>,</w:t>
      </w:r>
      <w:r w:rsidRPr="00813263">
        <w:rPr>
          <w:color w:val="000000"/>
          <w:lang w:val="pt-PT"/>
        </w:rPr>
        <w:t xml:space="preserve"> por si só</w:t>
      </w:r>
      <w:r w:rsidR="008112DD">
        <w:rPr>
          <w:color w:val="000000"/>
          <w:lang w:val="pt-PT"/>
        </w:rPr>
        <w:t>,</w:t>
      </w:r>
      <w:r w:rsidRPr="00813263">
        <w:rPr>
          <w:color w:val="000000"/>
          <w:lang w:val="pt-PT"/>
        </w:rPr>
        <w:t xml:space="preserve"> a imposição de obrigações de dar resposta aos pedidos razoáveis de acesso, de transparência e de não discriminação, se bem que fundamental, não é suficiente para conduzir a preços eficientes nos mercados grossistas da terminação de chamadas vocais em redes móveis individuais. </w:t>
      </w:r>
    </w:p>
    <w:p w14:paraId="766ED640" w14:textId="15800FFE" w:rsidR="0042572D" w:rsidRPr="00813263" w:rsidRDefault="0042572D" w:rsidP="00142A4D">
      <w:pPr>
        <w:jc w:val="both"/>
        <w:rPr>
          <w:color w:val="000000"/>
          <w:lang w:val="pt-PT"/>
        </w:rPr>
      </w:pPr>
      <w:r w:rsidRPr="00813263">
        <w:rPr>
          <w:color w:val="000000"/>
          <w:lang w:val="pt-PT"/>
        </w:rPr>
        <w:t>Face ao problema de concorrência identificado no mercado m</w:t>
      </w:r>
      <w:r w:rsidR="008112DD">
        <w:rPr>
          <w:color w:val="000000"/>
          <w:lang w:val="pt-PT"/>
        </w:rPr>
        <w:t>ó</w:t>
      </w:r>
      <w:r w:rsidRPr="00813263">
        <w:rPr>
          <w:color w:val="000000"/>
          <w:lang w:val="pt-PT"/>
        </w:rPr>
        <w:t>vel da Guiné Bissau, só a fixação de preços de terminação</w:t>
      </w:r>
      <w:r>
        <w:rPr>
          <w:rStyle w:val="FootnoteReference"/>
          <w:color w:val="000000"/>
          <w:lang w:val="pt-PT"/>
        </w:rPr>
        <w:footnoteReference w:id="3"/>
      </w:r>
      <w:r w:rsidRPr="00813263">
        <w:rPr>
          <w:color w:val="000000"/>
          <w:lang w:val="pt-PT"/>
        </w:rPr>
        <w:t xml:space="preserve"> orientados para os custos, através duma aproximação </w:t>
      </w:r>
      <w:r w:rsidR="0089291F">
        <w:rPr>
          <w:color w:val="000000"/>
          <w:lang w:val="pt-PT"/>
        </w:rPr>
        <w:t>aos</w:t>
      </w:r>
      <w:r w:rsidRPr="00813263">
        <w:rPr>
          <w:color w:val="000000"/>
          <w:lang w:val="pt-PT"/>
        </w:rPr>
        <w:t xml:space="preserve"> preços </w:t>
      </w:r>
      <w:r w:rsidR="008112DD">
        <w:rPr>
          <w:color w:val="000000"/>
          <w:lang w:val="pt-PT"/>
        </w:rPr>
        <w:t>de</w:t>
      </w:r>
      <w:r w:rsidRPr="00813263">
        <w:rPr>
          <w:color w:val="000000"/>
          <w:lang w:val="pt-PT"/>
        </w:rPr>
        <w:t xml:space="preserve"> nível eficiente, poderá contribuir para a promoção e salvaguarda da concorrência e uma adequada defesa dos interesses dos consumidores finais das redes móveis. </w:t>
      </w:r>
    </w:p>
    <w:p w14:paraId="424E1741" w14:textId="106B6159" w:rsidR="00EF3845" w:rsidRDefault="00EF3845" w:rsidP="00142A4D">
      <w:pPr>
        <w:jc w:val="both"/>
        <w:rPr>
          <w:lang w:val="pt-PT"/>
        </w:rPr>
      </w:pPr>
      <w:r>
        <w:rPr>
          <w:sz w:val="20"/>
          <w:szCs w:val="20"/>
          <w:lang w:val="pt-PT"/>
        </w:rPr>
        <w:t>N</w:t>
      </w:r>
      <w:r w:rsidRPr="00EF3845">
        <w:rPr>
          <w:lang w:val="pt-PT"/>
        </w:rPr>
        <w:t xml:space="preserve">o caso </w:t>
      </w:r>
      <w:r>
        <w:rPr>
          <w:lang w:val="pt-PT"/>
        </w:rPr>
        <w:t>da Guiné Bissau</w:t>
      </w:r>
      <w:r w:rsidRPr="00EF3845">
        <w:rPr>
          <w:lang w:val="pt-PT"/>
        </w:rPr>
        <w:t xml:space="preserve">, </w:t>
      </w:r>
      <w:r>
        <w:rPr>
          <w:lang w:val="pt-PT"/>
        </w:rPr>
        <w:t>o preço</w:t>
      </w:r>
      <w:r w:rsidRPr="00EF3845">
        <w:rPr>
          <w:lang w:val="pt-PT"/>
        </w:rPr>
        <w:t xml:space="preserve"> máxim</w:t>
      </w:r>
      <w:r>
        <w:rPr>
          <w:lang w:val="pt-PT"/>
        </w:rPr>
        <w:t>o</w:t>
      </w:r>
      <w:r w:rsidRPr="00EF3845">
        <w:rPr>
          <w:lang w:val="pt-PT"/>
        </w:rPr>
        <w:t xml:space="preserve"> de terminação de chamadas de voz </w:t>
      </w:r>
      <w:r>
        <w:rPr>
          <w:lang w:val="pt-PT"/>
        </w:rPr>
        <w:t>em redes móveis</w:t>
      </w:r>
      <w:r w:rsidRPr="00EF3845">
        <w:rPr>
          <w:lang w:val="pt-PT"/>
        </w:rPr>
        <w:t xml:space="preserve"> deve ser definid</w:t>
      </w:r>
      <w:r>
        <w:rPr>
          <w:lang w:val="pt-PT"/>
        </w:rPr>
        <w:t>o</w:t>
      </w:r>
      <w:r w:rsidRPr="00EF3845">
        <w:rPr>
          <w:lang w:val="pt-PT"/>
        </w:rPr>
        <w:t xml:space="preserve"> com base no CIL</w:t>
      </w:r>
      <w:r>
        <w:rPr>
          <w:lang w:val="pt-PT"/>
        </w:rPr>
        <w:t xml:space="preserve">P </w:t>
      </w:r>
      <w:r w:rsidRPr="00EF3845">
        <w:rPr>
          <w:lang w:val="pt-PT"/>
        </w:rPr>
        <w:t xml:space="preserve">mais um </w:t>
      </w:r>
      <w:r>
        <w:rPr>
          <w:lang w:val="pt-PT"/>
        </w:rPr>
        <w:t>incremento</w:t>
      </w:r>
      <w:r w:rsidRPr="00EF3845">
        <w:rPr>
          <w:lang w:val="pt-PT"/>
        </w:rPr>
        <w:t xml:space="preserve"> para custos comuns</w:t>
      </w:r>
      <w:r w:rsidR="00B07529">
        <w:rPr>
          <w:lang w:val="pt-PT"/>
        </w:rPr>
        <w:t>,</w:t>
      </w:r>
      <w:r w:rsidRPr="00EF3845">
        <w:rPr>
          <w:lang w:val="pt-PT"/>
        </w:rPr>
        <w:t xml:space="preserve"> </w:t>
      </w:r>
      <w:r w:rsidR="00B07529">
        <w:rPr>
          <w:lang w:val="pt-PT"/>
        </w:rPr>
        <w:t xml:space="preserve">ou seja, o </w:t>
      </w:r>
      <w:r w:rsidRPr="00EF3845">
        <w:rPr>
          <w:lang w:val="pt-PT"/>
        </w:rPr>
        <w:t>CIL</w:t>
      </w:r>
      <w:r>
        <w:rPr>
          <w:lang w:val="pt-PT"/>
        </w:rPr>
        <w:t>P</w:t>
      </w:r>
      <w:r w:rsidRPr="00EF3845">
        <w:rPr>
          <w:lang w:val="pt-PT"/>
        </w:rPr>
        <w:t xml:space="preserve"> +. </w:t>
      </w:r>
      <w:r>
        <w:rPr>
          <w:lang w:val="pt-PT"/>
        </w:rPr>
        <w:t>O modelo de custeio elaborado tendo em consideração as características específicas do mercado e das redes na Guiné Bissau permite calcular esses valores para o horizonte temporal 2020 – 2024.</w:t>
      </w:r>
      <w:r w:rsidRPr="00EF3845">
        <w:rPr>
          <w:lang w:val="pt-PT"/>
        </w:rPr>
        <w:t xml:space="preserve"> No caso d</w:t>
      </w:r>
      <w:r w:rsidR="00B07529">
        <w:rPr>
          <w:lang w:val="pt-PT"/>
        </w:rPr>
        <w:t>o serviço de</w:t>
      </w:r>
      <w:r w:rsidRPr="00EF3845">
        <w:rPr>
          <w:lang w:val="pt-PT"/>
        </w:rPr>
        <w:t xml:space="preserve"> terminação nacional de voz</w:t>
      </w:r>
      <w:r w:rsidR="00B07529">
        <w:rPr>
          <w:lang w:val="pt-PT"/>
        </w:rPr>
        <w:t xml:space="preserve"> em redes móveis</w:t>
      </w:r>
      <w:r w:rsidRPr="00EF3845">
        <w:rPr>
          <w:lang w:val="pt-PT"/>
        </w:rPr>
        <w:t xml:space="preserve">, </w:t>
      </w:r>
      <w:r>
        <w:rPr>
          <w:lang w:val="pt-PT"/>
        </w:rPr>
        <w:t xml:space="preserve">o custo de terminação </w:t>
      </w:r>
      <w:r w:rsidR="00DB6C5E">
        <w:rPr>
          <w:lang w:val="pt-PT"/>
        </w:rPr>
        <w:t xml:space="preserve">para o standard de custo </w:t>
      </w:r>
      <w:r>
        <w:rPr>
          <w:lang w:val="pt-PT"/>
        </w:rPr>
        <w:t>CILP +</w:t>
      </w:r>
      <w:r w:rsidR="0089291F">
        <w:rPr>
          <w:lang w:val="pt-PT"/>
        </w:rPr>
        <w:t xml:space="preserve"> </w:t>
      </w:r>
      <w:r w:rsidR="00B07529">
        <w:rPr>
          <w:lang w:val="pt-PT"/>
        </w:rPr>
        <w:t xml:space="preserve">calculado pelo modelo </w:t>
      </w:r>
      <w:r w:rsidR="00DB6C5E">
        <w:rPr>
          <w:lang w:val="pt-PT"/>
        </w:rPr>
        <w:t xml:space="preserve">de custeio </w:t>
      </w:r>
      <w:r w:rsidR="00B07529">
        <w:rPr>
          <w:lang w:val="pt-PT"/>
        </w:rPr>
        <w:t xml:space="preserve">para um Operador Moderno Eficiente </w:t>
      </w:r>
      <w:r w:rsidR="00DB6C5E">
        <w:rPr>
          <w:lang w:val="pt-PT"/>
        </w:rPr>
        <w:t>na Guiné Bissau seria</w:t>
      </w:r>
      <w:r w:rsidRPr="00EF3845">
        <w:rPr>
          <w:lang w:val="pt-PT"/>
        </w:rPr>
        <w:t xml:space="preserve"> de </w:t>
      </w:r>
      <w:r w:rsidR="00DB6C5E">
        <w:rPr>
          <w:lang w:val="pt-PT"/>
        </w:rPr>
        <w:t>1,49</w:t>
      </w:r>
      <w:r w:rsidRPr="00EF3845">
        <w:rPr>
          <w:lang w:val="pt-PT"/>
        </w:rPr>
        <w:t xml:space="preserve"> </w:t>
      </w:r>
      <w:r w:rsidR="00DB6C5E">
        <w:rPr>
          <w:lang w:val="pt-PT"/>
        </w:rPr>
        <w:t xml:space="preserve">FCFA/minuto </w:t>
      </w:r>
      <w:r w:rsidR="00120DAA">
        <w:rPr>
          <w:lang w:val="pt-PT"/>
        </w:rPr>
        <w:t xml:space="preserve">(0,27 USD cêntimos) </w:t>
      </w:r>
      <w:r w:rsidRPr="00EF3845">
        <w:rPr>
          <w:lang w:val="pt-PT"/>
        </w:rPr>
        <w:t>em 202</w:t>
      </w:r>
      <w:r w:rsidR="00DB6C5E">
        <w:rPr>
          <w:lang w:val="pt-PT"/>
        </w:rPr>
        <w:t>1</w:t>
      </w:r>
      <w:r w:rsidRPr="00EF3845">
        <w:rPr>
          <w:lang w:val="pt-PT"/>
        </w:rPr>
        <w:t xml:space="preserve">, em comparação com a taxa atual de </w:t>
      </w:r>
      <w:r w:rsidR="00120DAA">
        <w:rPr>
          <w:lang w:val="pt-PT"/>
        </w:rPr>
        <w:t>40 FCFA/minuto</w:t>
      </w:r>
      <w:r w:rsidRPr="00EF3845">
        <w:rPr>
          <w:lang w:val="pt-PT"/>
        </w:rPr>
        <w:t>:</w:t>
      </w:r>
    </w:p>
    <w:p w14:paraId="4A241325" w14:textId="0CF411DC" w:rsidR="00DB6C5E" w:rsidRDefault="00DB6C5E" w:rsidP="00DB6C5E">
      <w:pPr>
        <w:jc w:val="center"/>
        <w:rPr>
          <w:lang w:val="pt-PT"/>
        </w:rPr>
      </w:pPr>
      <w:r w:rsidRPr="00DB6C5E">
        <w:rPr>
          <w:noProof/>
        </w:rPr>
        <w:drawing>
          <wp:inline distT="0" distB="0" distL="0" distR="0" wp14:anchorId="00BF44B3" wp14:editId="13414548">
            <wp:extent cx="3542400" cy="1915200"/>
            <wp:effectExtent l="0" t="0" r="1270" b="8890"/>
            <wp:docPr id="8" name="Image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2400" cy="1915200"/>
                    </a:xfrm>
                    <a:prstGeom prst="rect">
                      <a:avLst/>
                    </a:prstGeom>
                    <a:noFill/>
                    <a:ln>
                      <a:noFill/>
                    </a:ln>
                  </pic:spPr>
                </pic:pic>
              </a:graphicData>
            </a:graphic>
          </wp:inline>
        </w:drawing>
      </w:r>
    </w:p>
    <w:p w14:paraId="4AA992BE" w14:textId="666F4E2D" w:rsidR="0089291F" w:rsidRDefault="0089291F" w:rsidP="00EF3845">
      <w:pPr>
        <w:rPr>
          <w:lang w:val="pt-PT"/>
        </w:rPr>
      </w:pPr>
    </w:p>
    <w:p w14:paraId="5716F54E" w14:textId="51194572" w:rsidR="0089291F" w:rsidRDefault="0089291F" w:rsidP="00142A4D">
      <w:pPr>
        <w:jc w:val="both"/>
        <w:rPr>
          <w:lang w:val="pt-PT"/>
        </w:rPr>
      </w:pPr>
      <w:r w:rsidRPr="0089291F">
        <w:rPr>
          <w:lang w:val="pt-PT"/>
        </w:rPr>
        <w:lastRenderedPageBreak/>
        <w:t>Os resultados do modelo de cust</w:t>
      </w:r>
      <w:r w:rsidR="003B65AA">
        <w:rPr>
          <w:lang w:val="pt-PT"/>
        </w:rPr>
        <w:t>ei</w:t>
      </w:r>
      <w:r w:rsidRPr="0089291F">
        <w:rPr>
          <w:lang w:val="pt-PT"/>
        </w:rPr>
        <w:t xml:space="preserve">o da rede móvel indicam claramente que o preço de terminação de chamadas </w:t>
      </w:r>
      <w:r w:rsidR="0007353F">
        <w:rPr>
          <w:lang w:val="pt-PT"/>
        </w:rPr>
        <w:t xml:space="preserve">de voz </w:t>
      </w:r>
      <w:r>
        <w:rPr>
          <w:lang w:val="pt-PT"/>
        </w:rPr>
        <w:t>na Guiné Bissau</w:t>
      </w:r>
      <w:r w:rsidRPr="0089291F">
        <w:rPr>
          <w:lang w:val="pt-PT"/>
        </w:rPr>
        <w:t xml:space="preserve">, está </w:t>
      </w:r>
      <w:r w:rsidR="0007353F">
        <w:rPr>
          <w:lang w:val="pt-PT"/>
        </w:rPr>
        <w:t>excessivamente</w:t>
      </w:r>
      <w:r w:rsidRPr="0089291F">
        <w:rPr>
          <w:lang w:val="pt-PT"/>
        </w:rPr>
        <w:t xml:space="preserve"> acima dos níveis CIL</w:t>
      </w:r>
      <w:r w:rsidR="00B07529">
        <w:rPr>
          <w:lang w:val="pt-PT"/>
        </w:rPr>
        <w:t>P</w:t>
      </w:r>
      <w:r w:rsidRPr="0089291F">
        <w:rPr>
          <w:lang w:val="pt-PT"/>
        </w:rPr>
        <w:t xml:space="preserve"> +. Além disso, </w:t>
      </w:r>
      <w:r w:rsidR="004E636D">
        <w:rPr>
          <w:lang w:val="pt-PT"/>
        </w:rPr>
        <w:t xml:space="preserve">a tendência é para </w:t>
      </w:r>
      <w:r w:rsidRPr="0089291F">
        <w:rPr>
          <w:lang w:val="pt-PT"/>
        </w:rPr>
        <w:t>os custos continua</w:t>
      </w:r>
      <w:r w:rsidR="004E636D">
        <w:rPr>
          <w:lang w:val="pt-PT"/>
        </w:rPr>
        <w:t>re</w:t>
      </w:r>
      <w:r w:rsidRPr="0089291F">
        <w:rPr>
          <w:lang w:val="pt-PT"/>
        </w:rPr>
        <w:t xml:space="preserve">m a cair fortemente, principalmente devido ao crescimento do tráfego de dados que melhora as economias de escala, permite a introdução de tecnologias 3G e 4G mais baratas e faz com que uma grande parte dos custos seja </w:t>
      </w:r>
      <w:r w:rsidR="00B07529">
        <w:rPr>
          <w:lang w:val="pt-PT"/>
        </w:rPr>
        <w:t xml:space="preserve">causado </w:t>
      </w:r>
      <w:r w:rsidR="004E636D">
        <w:rPr>
          <w:lang w:val="pt-PT"/>
        </w:rPr>
        <w:t>por esse</w:t>
      </w:r>
      <w:r w:rsidR="00B07529">
        <w:rPr>
          <w:lang w:val="pt-PT"/>
        </w:rPr>
        <w:t xml:space="preserve"> crescimento</w:t>
      </w:r>
      <w:r w:rsidRPr="0089291F">
        <w:rPr>
          <w:lang w:val="pt-PT"/>
        </w:rPr>
        <w:t xml:space="preserve"> </w:t>
      </w:r>
      <w:r w:rsidR="00B07529">
        <w:rPr>
          <w:lang w:val="pt-PT"/>
        </w:rPr>
        <w:t xml:space="preserve">do tráfego </w:t>
      </w:r>
      <w:r w:rsidRPr="0089291F">
        <w:rPr>
          <w:lang w:val="pt-PT"/>
        </w:rPr>
        <w:t>de dados.</w:t>
      </w:r>
    </w:p>
    <w:p w14:paraId="1153A6A7" w14:textId="15E24E3B" w:rsidR="0089291F" w:rsidRPr="0089291F" w:rsidRDefault="0089291F" w:rsidP="00142A4D">
      <w:pPr>
        <w:jc w:val="both"/>
        <w:rPr>
          <w:lang w:val="pt-PT"/>
        </w:rPr>
      </w:pPr>
      <w:r w:rsidRPr="0089291F">
        <w:rPr>
          <w:lang w:val="pt-PT"/>
        </w:rPr>
        <w:t>É importante que os preços de terminação de chamadas não sejam superiores aos níveis CIL</w:t>
      </w:r>
      <w:r w:rsidR="00B07529">
        <w:rPr>
          <w:lang w:val="pt-PT"/>
        </w:rPr>
        <w:t>P</w:t>
      </w:r>
      <w:r w:rsidRPr="0089291F">
        <w:rPr>
          <w:lang w:val="pt-PT"/>
        </w:rPr>
        <w:t xml:space="preserve"> +. </w:t>
      </w:r>
      <w:r w:rsidR="00EC355B">
        <w:rPr>
          <w:lang w:val="pt-PT"/>
        </w:rPr>
        <w:t>Preços elevados</w:t>
      </w:r>
      <w:r w:rsidRPr="0089291F">
        <w:rPr>
          <w:lang w:val="pt-PT"/>
        </w:rPr>
        <w:t xml:space="preserve"> de terminação criam externalidades de rede, às vezes chamadas de “efeitos de clube”. Tarifas de terminação mais altas tendem a resultar em preços de </w:t>
      </w:r>
      <w:r w:rsidR="00EC355B">
        <w:rPr>
          <w:lang w:val="pt-PT"/>
        </w:rPr>
        <w:t xml:space="preserve">retalho </w:t>
      </w:r>
      <w:r w:rsidRPr="0089291F">
        <w:rPr>
          <w:lang w:val="pt-PT"/>
        </w:rPr>
        <w:t xml:space="preserve">mais altos, especialmente para chamadas </w:t>
      </w:r>
      <w:r w:rsidR="00EC355B">
        <w:rPr>
          <w:lang w:val="pt-PT"/>
        </w:rPr>
        <w:t xml:space="preserve">para </w:t>
      </w:r>
      <w:r w:rsidRPr="0089291F">
        <w:rPr>
          <w:lang w:val="pt-PT"/>
        </w:rPr>
        <w:t xml:space="preserve">fora da rede. </w:t>
      </w:r>
      <w:r w:rsidR="00EC355B">
        <w:rPr>
          <w:lang w:val="pt-PT"/>
        </w:rPr>
        <w:t>Geralmente obriga o</w:t>
      </w:r>
      <w:r w:rsidRPr="0089291F">
        <w:rPr>
          <w:lang w:val="pt-PT"/>
        </w:rPr>
        <w:t xml:space="preserve">s consumidores que desejam ligar para um assinante </w:t>
      </w:r>
      <w:r w:rsidR="00EC355B">
        <w:rPr>
          <w:lang w:val="pt-PT"/>
        </w:rPr>
        <w:t>n</w:t>
      </w:r>
      <w:r w:rsidRPr="0089291F">
        <w:rPr>
          <w:lang w:val="pt-PT"/>
        </w:rPr>
        <w:t xml:space="preserve">outra rede geralmente </w:t>
      </w:r>
      <w:r w:rsidR="00EC355B">
        <w:rPr>
          <w:lang w:val="pt-PT"/>
        </w:rPr>
        <w:t>a</w:t>
      </w:r>
      <w:r w:rsidRPr="0089291F">
        <w:rPr>
          <w:lang w:val="pt-PT"/>
        </w:rPr>
        <w:t xml:space="preserve"> ter dois cartões SIM. Isso, por sua vez, torna mais difícil para operadoras </w:t>
      </w:r>
      <w:r w:rsidR="00EC355B">
        <w:rPr>
          <w:lang w:val="pt-PT"/>
        </w:rPr>
        <w:t>de menor dimensão</w:t>
      </w:r>
      <w:r w:rsidRPr="0089291F">
        <w:rPr>
          <w:lang w:val="pt-PT"/>
        </w:rPr>
        <w:t>, que têm uma alta proporção d</w:t>
      </w:r>
      <w:r w:rsidR="00EC355B">
        <w:rPr>
          <w:lang w:val="pt-PT"/>
        </w:rPr>
        <w:t>o seu</w:t>
      </w:r>
      <w:r w:rsidRPr="0089291F">
        <w:rPr>
          <w:lang w:val="pt-PT"/>
        </w:rPr>
        <w:t xml:space="preserve"> tráfego </w:t>
      </w:r>
      <w:r w:rsidR="00EC355B">
        <w:rPr>
          <w:lang w:val="pt-PT"/>
        </w:rPr>
        <w:t xml:space="preserve">para </w:t>
      </w:r>
      <w:r w:rsidRPr="0089291F">
        <w:rPr>
          <w:lang w:val="pt-PT"/>
        </w:rPr>
        <w:t xml:space="preserve">fora da </w:t>
      </w:r>
      <w:r w:rsidR="00EC355B">
        <w:rPr>
          <w:lang w:val="pt-PT"/>
        </w:rPr>
        <w:t xml:space="preserve">sua </w:t>
      </w:r>
      <w:r w:rsidRPr="0089291F">
        <w:rPr>
          <w:lang w:val="pt-PT"/>
        </w:rPr>
        <w:t xml:space="preserve">rede, </w:t>
      </w:r>
      <w:r w:rsidR="00EC355B">
        <w:rPr>
          <w:lang w:val="pt-PT"/>
        </w:rPr>
        <w:t xml:space="preserve">conseguir </w:t>
      </w:r>
      <w:r w:rsidRPr="0089291F">
        <w:rPr>
          <w:lang w:val="pt-PT"/>
        </w:rPr>
        <w:t xml:space="preserve">competir com redes </w:t>
      </w:r>
      <w:r w:rsidR="00EC355B">
        <w:rPr>
          <w:lang w:val="pt-PT"/>
        </w:rPr>
        <w:t>fortemente implementadas</w:t>
      </w:r>
      <w:r w:rsidRPr="0089291F">
        <w:rPr>
          <w:lang w:val="pt-PT"/>
        </w:rPr>
        <w:t xml:space="preserve"> para as quais há uma proporção </w:t>
      </w:r>
      <w:r w:rsidR="00EC355B">
        <w:rPr>
          <w:lang w:val="pt-PT"/>
        </w:rPr>
        <w:t xml:space="preserve">muito </w:t>
      </w:r>
      <w:r w:rsidRPr="0089291F">
        <w:rPr>
          <w:lang w:val="pt-PT"/>
        </w:rPr>
        <w:t xml:space="preserve">maior de tráfego na </w:t>
      </w:r>
      <w:r w:rsidR="00EC355B">
        <w:rPr>
          <w:lang w:val="pt-PT"/>
        </w:rPr>
        <w:t xml:space="preserve">sua </w:t>
      </w:r>
      <w:r w:rsidRPr="0089291F">
        <w:rPr>
          <w:lang w:val="pt-PT"/>
        </w:rPr>
        <w:t xml:space="preserve">rede. Se a </w:t>
      </w:r>
      <w:r w:rsidR="00EC355B">
        <w:rPr>
          <w:lang w:val="pt-PT"/>
        </w:rPr>
        <w:t>ARN</w:t>
      </w:r>
      <w:r w:rsidRPr="0089291F">
        <w:rPr>
          <w:lang w:val="pt-PT"/>
        </w:rPr>
        <w:t xml:space="preserve"> considera</w:t>
      </w:r>
      <w:r w:rsidR="00EC355B">
        <w:rPr>
          <w:lang w:val="pt-PT"/>
        </w:rPr>
        <w:t>r</w:t>
      </w:r>
      <w:r w:rsidRPr="0089291F">
        <w:rPr>
          <w:lang w:val="pt-PT"/>
        </w:rPr>
        <w:t xml:space="preserve"> a oferta de uma terceira licença, seria improvável que uma terceira operadora pudesse competir efetivamente e alcançar uma escala eficiente sem que as taxas de terminação fossem reduzidas para os níveis CIL</w:t>
      </w:r>
      <w:r w:rsidR="004E636D">
        <w:rPr>
          <w:lang w:val="pt-PT"/>
        </w:rPr>
        <w:t>P</w:t>
      </w:r>
      <w:r w:rsidRPr="0089291F">
        <w:rPr>
          <w:lang w:val="pt-PT"/>
        </w:rPr>
        <w:t xml:space="preserve"> +.</w:t>
      </w:r>
    </w:p>
    <w:p w14:paraId="4F3D7DCC" w14:textId="77777777" w:rsidR="0007353F" w:rsidRDefault="0089291F" w:rsidP="00142A4D">
      <w:pPr>
        <w:jc w:val="both"/>
        <w:rPr>
          <w:lang w:val="pt-PT"/>
        </w:rPr>
      </w:pPr>
      <w:r w:rsidRPr="0089291F">
        <w:rPr>
          <w:lang w:val="pt-PT"/>
        </w:rPr>
        <w:t xml:space="preserve">A prática de tarifas de terminação simétricas está em linha com a prática internacional e incentiva a eficiência ao premiar o operador mais eficiente. Por outro lado, as duas operadoras </w:t>
      </w:r>
      <w:r w:rsidR="00EC355B">
        <w:rPr>
          <w:lang w:val="pt-PT"/>
        </w:rPr>
        <w:t>na Guiné Bissau</w:t>
      </w:r>
      <w:r w:rsidRPr="0089291F">
        <w:rPr>
          <w:lang w:val="pt-PT"/>
        </w:rPr>
        <w:t xml:space="preserve"> já têm escala suficiente e não precisam de proteção regulatória por meio de assimetria. </w:t>
      </w:r>
    </w:p>
    <w:p w14:paraId="4D42E9C9" w14:textId="77777777" w:rsidR="00F50C2C" w:rsidRDefault="00F50C2C" w:rsidP="00142A4D">
      <w:pPr>
        <w:jc w:val="both"/>
        <w:rPr>
          <w:lang w:val="pt-PT"/>
        </w:rPr>
      </w:pPr>
      <w:r>
        <w:rPr>
          <w:lang w:val="pt-PT"/>
        </w:rPr>
        <w:t>De acordo com a base de dados da Telegeography</w:t>
      </w:r>
      <w:r>
        <w:rPr>
          <w:rStyle w:val="FootnoteReference"/>
          <w:lang w:val="pt-PT"/>
        </w:rPr>
        <w:footnoteReference w:id="4"/>
      </w:r>
      <w:r w:rsidRPr="00F50C2C">
        <w:rPr>
          <w:lang w:val="pt-PT"/>
        </w:rPr>
        <w:t xml:space="preserve">, a </w:t>
      </w:r>
      <w:r>
        <w:rPr>
          <w:lang w:val="pt-PT"/>
        </w:rPr>
        <w:t>taxa média de terminação</w:t>
      </w:r>
      <w:r w:rsidRPr="00F50C2C">
        <w:rPr>
          <w:lang w:val="pt-PT"/>
        </w:rPr>
        <w:t xml:space="preserve"> mundial caiu de </w:t>
      </w:r>
      <w:r>
        <w:rPr>
          <w:lang w:val="pt-PT"/>
        </w:rPr>
        <w:t xml:space="preserve">7 </w:t>
      </w:r>
      <w:r w:rsidRPr="00F50C2C">
        <w:rPr>
          <w:lang w:val="pt-PT"/>
        </w:rPr>
        <w:t>US</w:t>
      </w:r>
      <w:r>
        <w:rPr>
          <w:lang w:val="pt-PT"/>
        </w:rPr>
        <w:t xml:space="preserve">D cêntimos </w:t>
      </w:r>
      <w:r w:rsidRPr="00F50C2C">
        <w:rPr>
          <w:lang w:val="pt-PT"/>
        </w:rPr>
        <w:t xml:space="preserve">por minuto em 2010 para menos de </w:t>
      </w:r>
      <w:r>
        <w:rPr>
          <w:lang w:val="pt-PT"/>
        </w:rPr>
        <w:t xml:space="preserve">2 </w:t>
      </w:r>
      <w:r w:rsidRPr="00F50C2C">
        <w:rPr>
          <w:lang w:val="pt-PT"/>
        </w:rPr>
        <w:t>US</w:t>
      </w:r>
      <w:r>
        <w:rPr>
          <w:lang w:val="pt-PT"/>
        </w:rPr>
        <w:t xml:space="preserve">D cêntimos </w:t>
      </w:r>
      <w:r w:rsidRPr="00F50C2C">
        <w:rPr>
          <w:lang w:val="pt-PT"/>
        </w:rPr>
        <w:t xml:space="preserve">por minuto em 2019. </w:t>
      </w:r>
    </w:p>
    <w:p w14:paraId="1CC342C9" w14:textId="120AABB7" w:rsidR="00F50C2C" w:rsidRDefault="00F50C2C" w:rsidP="00F50C2C">
      <w:pPr>
        <w:jc w:val="center"/>
        <w:rPr>
          <w:lang w:val="pt-PT"/>
        </w:rPr>
      </w:pPr>
      <w:r>
        <w:rPr>
          <w:noProof/>
        </w:rPr>
        <w:lastRenderedPageBreak/>
        <w:drawing>
          <wp:inline distT="0" distB="0" distL="0" distR="0" wp14:anchorId="60B2BDC0" wp14:editId="12C35EC1">
            <wp:extent cx="3384000" cy="2769335"/>
            <wp:effectExtent l="0" t="0" r="6985" b="0"/>
            <wp:docPr id="7" name="Imagem 7" descr="Average MTR World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rage MTR Worldwi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4000" cy="2769335"/>
                    </a:xfrm>
                    <a:prstGeom prst="rect">
                      <a:avLst/>
                    </a:prstGeom>
                    <a:noFill/>
                    <a:ln>
                      <a:noFill/>
                    </a:ln>
                  </pic:spPr>
                </pic:pic>
              </a:graphicData>
            </a:graphic>
          </wp:inline>
        </w:drawing>
      </w:r>
    </w:p>
    <w:p w14:paraId="71612391" w14:textId="1EB81E1F" w:rsidR="00F50C2C" w:rsidRPr="000546AE" w:rsidRDefault="00F50C2C" w:rsidP="00F50C2C">
      <w:pPr>
        <w:rPr>
          <w:lang w:val="pt-PT"/>
        </w:rPr>
      </w:pPr>
      <w:r w:rsidRPr="000546AE">
        <w:rPr>
          <w:lang w:val="pt-PT"/>
        </w:rPr>
        <w:t xml:space="preserve">Fonte: </w:t>
      </w:r>
      <w:r>
        <w:rPr>
          <w:lang w:val="pt-PT"/>
        </w:rPr>
        <w:t>Telegeography</w:t>
      </w:r>
    </w:p>
    <w:p w14:paraId="7F197C75" w14:textId="2E78245C" w:rsidR="006571C4" w:rsidRDefault="006571C4" w:rsidP="00142A4D">
      <w:pPr>
        <w:jc w:val="both"/>
        <w:rPr>
          <w:lang w:val="pt-PT"/>
        </w:rPr>
      </w:pPr>
      <w:r w:rsidRPr="006571C4">
        <w:rPr>
          <w:lang w:val="pt-PT"/>
        </w:rPr>
        <w:t xml:space="preserve">Em dezembro de 2017, a Autoridade Reguladora de Comunicações da Tanzânia </w:t>
      </w:r>
      <w:r>
        <w:rPr>
          <w:lang w:val="pt-PT"/>
        </w:rPr>
        <w:t>implementou</w:t>
      </w:r>
      <w:r w:rsidRPr="006571C4">
        <w:rPr>
          <w:lang w:val="pt-PT"/>
        </w:rPr>
        <w:t xml:space="preserve"> cortes acentuados nas tarifas de interconexão. O novo caminho </w:t>
      </w:r>
      <w:r>
        <w:rPr>
          <w:lang w:val="pt-PT"/>
        </w:rPr>
        <w:t xml:space="preserve">descendente </w:t>
      </w:r>
      <w:r w:rsidRPr="006571C4">
        <w:rPr>
          <w:lang w:val="pt-PT"/>
        </w:rPr>
        <w:t>propôs taxas de terminação de chamadas de voz baseadas em custos de: TZS</w:t>
      </w:r>
      <w:r>
        <w:rPr>
          <w:lang w:val="pt-PT"/>
        </w:rPr>
        <w:t xml:space="preserve"> </w:t>
      </w:r>
      <w:r w:rsidRPr="006571C4">
        <w:rPr>
          <w:lang w:val="pt-PT"/>
        </w:rPr>
        <w:t xml:space="preserve">15.6 </w:t>
      </w:r>
      <w:r>
        <w:rPr>
          <w:lang w:val="pt-PT"/>
        </w:rPr>
        <w:t>(0,69 USD cêntimos</w:t>
      </w:r>
      <w:r w:rsidRPr="006571C4">
        <w:rPr>
          <w:lang w:val="pt-PT"/>
        </w:rPr>
        <w:t xml:space="preserve"> por minuto</w:t>
      </w:r>
      <w:r>
        <w:rPr>
          <w:lang w:val="pt-PT"/>
        </w:rPr>
        <w:t>)</w:t>
      </w:r>
      <w:r w:rsidRPr="006571C4">
        <w:rPr>
          <w:lang w:val="pt-PT"/>
        </w:rPr>
        <w:t xml:space="preserve"> a partir d</w:t>
      </w:r>
      <w:r>
        <w:rPr>
          <w:lang w:val="pt-PT"/>
        </w:rPr>
        <w:t>o início de</w:t>
      </w:r>
      <w:r w:rsidRPr="006571C4">
        <w:rPr>
          <w:lang w:val="pt-PT"/>
        </w:rPr>
        <w:t xml:space="preserve"> janeiro de 2018; TZS</w:t>
      </w:r>
      <w:r>
        <w:rPr>
          <w:lang w:val="pt-PT"/>
        </w:rPr>
        <w:t xml:space="preserve"> </w:t>
      </w:r>
      <w:r w:rsidRPr="006571C4">
        <w:rPr>
          <w:lang w:val="pt-PT"/>
        </w:rPr>
        <w:t xml:space="preserve">10.4 </w:t>
      </w:r>
      <w:r>
        <w:rPr>
          <w:lang w:val="pt-PT"/>
        </w:rPr>
        <w:t xml:space="preserve">a partir </w:t>
      </w:r>
      <w:r w:rsidRPr="006571C4">
        <w:rPr>
          <w:lang w:val="pt-PT"/>
        </w:rPr>
        <w:t>de janeiro de 2019; TZS</w:t>
      </w:r>
      <w:r>
        <w:rPr>
          <w:lang w:val="pt-PT"/>
        </w:rPr>
        <w:t xml:space="preserve"> </w:t>
      </w:r>
      <w:r w:rsidRPr="006571C4">
        <w:rPr>
          <w:lang w:val="pt-PT"/>
        </w:rPr>
        <w:t xml:space="preserve">5.2 </w:t>
      </w:r>
      <w:r>
        <w:rPr>
          <w:lang w:val="pt-PT"/>
        </w:rPr>
        <w:t>em</w:t>
      </w:r>
      <w:r w:rsidRPr="006571C4">
        <w:rPr>
          <w:lang w:val="pt-PT"/>
        </w:rPr>
        <w:t xml:space="preserve"> janeiro de 2020; TZS</w:t>
      </w:r>
      <w:r>
        <w:rPr>
          <w:lang w:val="pt-PT"/>
        </w:rPr>
        <w:t xml:space="preserve"> </w:t>
      </w:r>
      <w:r w:rsidRPr="006571C4">
        <w:rPr>
          <w:lang w:val="pt-PT"/>
        </w:rPr>
        <w:t xml:space="preserve">2.6 </w:t>
      </w:r>
      <w:r>
        <w:rPr>
          <w:lang w:val="pt-PT"/>
        </w:rPr>
        <w:t>em</w:t>
      </w:r>
      <w:r w:rsidRPr="006571C4">
        <w:rPr>
          <w:lang w:val="pt-PT"/>
        </w:rPr>
        <w:t xml:space="preserve"> janeiro de 2021; e finalmente caindo para TZS</w:t>
      </w:r>
      <w:r>
        <w:rPr>
          <w:lang w:val="pt-PT"/>
        </w:rPr>
        <w:t xml:space="preserve"> </w:t>
      </w:r>
      <w:r w:rsidRPr="006571C4">
        <w:rPr>
          <w:lang w:val="pt-PT"/>
        </w:rPr>
        <w:t>2.0 em janeiro de 2022</w:t>
      </w:r>
      <w:r>
        <w:rPr>
          <w:lang w:val="pt-PT"/>
        </w:rPr>
        <w:t xml:space="preserve"> (0,08 USD cêntimos)</w:t>
      </w:r>
      <w:r w:rsidRPr="006571C4">
        <w:rPr>
          <w:lang w:val="pt-PT"/>
        </w:rPr>
        <w:t>.</w:t>
      </w:r>
      <w:r>
        <w:rPr>
          <w:lang w:val="pt-PT"/>
        </w:rPr>
        <w:t xml:space="preserve"> De forma semelhante</w:t>
      </w:r>
      <w:r w:rsidRPr="006571C4">
        <w:rPr>
          <w:lang w:val="pt-PT"/>
        </w:rPr>
        <w:t xml:space="preserve">, no Peru, o regulador de telecomunicações Osiptel conduziu uma revisão das </w:t>
      </w:r>
      <w:r>
        <w:rPr>
          <w:lang w:val="pt-PT"/>
        </w:rPr>
        <w:t>taxas de terminação móvel</w:t>
      </w:r>
      <w:r w:rsidRPr="006571C4">
        <w:rPr>
          <w:lang w:val="pt-PT"/>
        </w:rPr>
        <w:t xml:space="preserve"> em novembro de 2017 e determinou que </w:t>
      </w:r>
      <w:r>
        <w:rPr>
          <w:lang w:val="pt-PT"/>
        </w:rPr>
        <w:t>a partir de</w:t>
      </w:r>
      <w:r w:rsidRPr="006571C4">
        <w:rPr>
          <w:lang w:val="pt-PT"/>
        </w:rPr>
        <w:t xml:space="preserve"> janeiro de 2018, a </w:t>
      </w:r>
      <w:r>
        <w:rPr>
          <w:lang w:val="pt-PT"/>
        </w:rPr>
        <w:t>taxa máxima</w:t>
      </w:r>
      <w:r w:rsidRPr="006571C4">
        <w:rPr>
          <w:lang w:val="pt-PT"/>
        </w:rPr>
        <w:t xml:space="preserve"> </w:t>
      </w:r>
      <w:r>
        <w:rPr>
          <w:lang w:val="pt-PT"/>
        </w:rPr>
        <w:t>passasse para 0,661 USD cêntimos</w:t>
      </w:r>
      <w:r w:rsidRPr="006571C4">
        <w:rPr>
          <w:lang w:val="pt-PT"/>
        </w:rPr>
        <w:t xml:space="preserve"> para todas as operadoras, enquanto em janeiro de 2019 a taxa </w:t>
      </w:r>
      <w:r>
        <w:rPr>
          <w:lang w:val="pt-PT"/>
        </w:rPr>
        <w:t>seria</w:t>
      </w:r>
      <w:r w:rsidRPr="006571C4">
        <w:rPr>
          <w:lang w:val="pt-PT"/>
        </w:rPr>
        <w:t xml:space="preserve"> reduzida para </w:t>
      </w:r>
      <w:r>
        <w:rPr>
          <w:lang w:val="pt-PT"/>
        </w:rPr>
        <w:t>0,302</w:t>
      </w:r>
      <w:r w:rsidRPr="006571C4">
        <w:rPr>
          <w:lang w:val="pt-PT"/>
        </w:rPr>
        <w:t xml:space="preserve"> </w:t>
      </w:r>
      <w:r>
        <w:rPr>
          <w:lang w:val="pt-PT"/>
        </w:rPr>
        <w:t xml:space="preserve">USD cêntimos </w:t>
      </w:r>
      <w:r w:rsidRPr="006571C4">
        <w:rPr>
          <w:lang w:val="pt-PT"/>
        </w:rPr>
        <w:t>por minuto.</w:t>
      </w:r>
    </w:p>
    <w:p w14:paraId="2103C9E4" w14:textId="1CB88D8A" w:rsidR="006571C4" w:rsidRDefault="006571C4" w:rsidP="006571C4">
      <w:pPr>
        <w:rPr>
          <w:lang w:val="pt-PT"/>
        </w:rPr>
      </w:pPr>
      <w:r>
        <w:rPr>
          <w:lang w:val="pt-PT"/>
        </w:rPr>
        <w:t>Um benchmark de alguns países apresentado pela Telegeography</w:t>
      </w:r>
      <w:r w:rsidR="0045574C">
        <w:rPr>
          <w:rStyle w:val="FootnoteReference"/>
          <w:lang w:val="pt-PT"/>
        </w:rPr>
        <w:footnoteReference w:id="5"/>
      </w:r>
      <w:r>
        <w:rPr>
          <w:lang w:val="pt-PT"/>
        </w:rPr>
        <w:t xml:space="preserve"> mostra que na maioria deles os valores das taxas de terminação </w:t>
      </w:r>
      <w:r w:rsidR="00611AD5">
        <w:rPr>
          <w:lang w:val="pt-PT"/>
        </w:rPr>
        <w:t xml:space="preserve">já em </w:t>
      </w:r>
      <w:r w:rsidR="0045574C">
        <w:rPr>
          <w:lang w:val="pt-PT"/>
        </w:rPr>
        <w:t>j</w:t>
      </w:r>
      <w:r w:rsidR="00611AD5">
        <w:rPr>
          <w:lang w:val="pt-PT"/>
        </w:rPr>
        <w:t xml:space="preserve">aneiro de 2019 </w:t>
      </w:r>
      <w:r>
        <w:rPr>
          <w:lang w:val="pt-PT"/>
        </w:rPr>
        <w:t>se encontra</w:t>
      </w:r>
      <w:r w:rsidR="00611AD5">
        <w:rPr>
          <w:lang w:val="pt-PT"/>
        </w:rPr>
        <w:t>va</w:t>
      </w:r>
      <w:r>
        <w:rPr>
          <w:lang w:val="pt-PT"/>
        </w:rPr>
        <w:t xml:space="preserve">m na esmagadora maioria </w:t>
      </w:r>
      <w:r w:rsidR="0045574C">
        <w:rPr>
          <w:lang w:val="pt-PT"/>
        </w:rPr>
        <w:t xml:space="preserve">dos casos </w:t>
      </w:r>
      <w:r>
        <w:rPr>
          <w:lang w:val="pt-PT"/>
        </w:rPr>
        <w:t>abaixo dos 3 USD cêntimos</w:t>
      </w:r>
      <w:r w:rsidR="00611AD5">
        <w:rPr>
          <w:lang w:val="pt-PT"/>
        </w:rPr>
        <w:t>:</w:t>
      </w:r>
    </w:p>
    <w:p w14:paraId="4BE70C5B" w14:textId="6548285E" w:rsidR="006571C4" w:rsidRDefault="006571C4" w:rsidP="006571C4">
      <w:pPr>
        <w:jc w:val="center"/>
        <w:rPr>
          <w:lang w:val="pt-PT"/>
        </w:rPr>
      </w:pPr>
      <w:r>
        <w:rPr>
          <w:noProof/>
        </w:rPr>
        <w:lastRenderedPageBreak/>
        <w:drawing>
          <wp:inline distT="0" distB="0" distL="0" distR="0" wp14:anchorId="492A11AC" wp14:editId="5974B2C0">
            <wp:extent cx="4384800" cy="3132000"/>
            <wp:effectExtent l="0" t="0" r="0" b="0"/>
            <wp:docPr id="9" name="Imagem 9" descr="MTR in selected mar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R in selected marke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4800" cy="3132000"/>
                    </a:xfrm>
                    <a:prstGeom prst="rect">
                      <a:avLst/>
                    </a:prstGeom>
                    <a:noFill/>
                    <a:ln>
                      <a:noFill/>
                    </a:ln>
                  </pic:spPr>
                </pic:pic>
              </a:graphicData>
            </a:graphic>
          </wp:inline>
        </w:drawing>
      </w:r>
    </w:p>
    <w:p w14:paraId="7BEF2913" w14:textId="6A72815C" w:rsidR="00A019A5" w:rsidRDefault="00F50C2C" w:rsidP="00142A4D">
      <w:pPr>
        <w:jc w:val="both"/>
        <w:rPr>
          <w:lang w:val="pt-PT"/>
        </w:rPr>
      </w:pPr>
      <w:r>
        <w:rPr>
          <w:lang w:val="pt-PT"/>
        </w:rPr>
        <w:t>Em coerência com estes dados, u</w:t>
      </w:r>
      <w:r w:rsidR="0007353F" w:rsidRPr="00F50C2C">
        <w:rPr>
          <w:lang w:val="pt-PT"/>
        </w:rPr>
        <w:t>m benchmark de dados regionais</w:t>
      </w:r>
      <w:r w:rsidR="00881EE4">
        <w:rPr>
          <w:lang w:val="pt-PT"/>
        </w:rPr>
        <w:t>,</w:t>
      </w:r>
      <w:r w:rsidR="0007353F" w:rsidRPr="00F50C2C">
        <w:rPr>
          <w:lang w:val="pt-PT"/>
        </w:rPr>
        <w:t xml:space="preserve"> </w:t>
      </w:r>
      <w:r w:rsidR="00881EE4">
        <w:rPr>
          <w:lang w:val="pt-PT"/>
        </w:rPr>
        <w:t xml:space="preserve">realizado no </w:t>
      </w:r>
      <w:r w:rsidR="00A019A5">
        <w:rPr>
          <w:lang w:val="pt-PT"/>
        </w:rPr>
        <w:t>início</w:t>
      </w:r>
      <w:r w:rsidR="00881EE4">
        <w:rPr>
          <w:lang w:val="pt-PT"/>
        </w:rPr>
        <w:t xml:space="preserve"> de 20</w:t>
      </w:r>
      <w:r w:rsidR="00A019A5">
        <w:rPr>
          <w:lang w:val="pt-PT"/>
        </w:rPr>
        <w:t>20</w:t>
      </w:r>
      <w:r w:rsidR="00881EE4">
        <w:rPr>
          <w:lang w:val="pt-PT"/>
        </w:rPr>
        <w:t xml:space="preserve">, </w:t>
      </w:r>
      <w:r w:rsidR="0007353F" w:rsidRPr="00F50C2C">
        <w:rPr>
          <w:lang w:val="pt-PT"/>
        </w:rPr>
        <w:t xml:space="preserve">mostra claramente que o preço </w:t>
      </w:r>
      <w:r w:rsidR="004E636D" w:rsidRPr="00F50C2C">
        <w:rPr>
          <w:lang w:val="pt-PT"/>
        </w:rPr>
        <w:t xml:space="preserve">atual </w:t>
      </w:r>
      <w:r w:rsidR="0007353F" w:rsidRPr="00F50C2C">
        <w:rPr>
          <w:lang w:val="pt-PT"/>
        </w:rPr>
        <w:t>da terminação de voz nacional estabelecido na Guiné Bissau</w:t>
      </w:r>
      <w:r>
        <w:rPr>
          <w:lang w:val="pt-PT"/>
        </w:rPr>
        <w:t xml:space="preserve"> </w:t>
      </w:r>
      <w:r w:rsidR="0007353F" w:rsidRPr="00F50C2C">
        <w:rPr>
          <w:lang w:val="pt-PT"/>
        </w:rPr>
        <w:t>é um preço extremamente elevado e desatualizado em comparação com um número substancial de países africanos</w:t>
      </w:r>
      <w:r>
        <w:rPr>
          <w:lang w:val="pt-PT"/>
        </w:rPr>
        <w:t>. A</w:t>
      </w:r>
      <w:r w:rsidR="0007353F" w:rsidRPr="00F50C2C">
        <w:rPr>
          <w:lang w:val="pt-PT"/>
        </w:rPr>
        <w:t xml:space="preserve"> média </w:t>
      </w:r>
      <w:r>
        <w:rPr>
          <w:lang w:val="pt-PT"/>
        </w:rPr>
        <w:t xml:space="preserve">das taxas de terminação móvel </w:t>
      </w:r>
      <w:r w:rsidR="0007353F" w:rsidRPr="00F50C2C">
        <w:rPr>
          <w:lang w:val="pt-PT"/>
        </w:rPr>
        <w:t>desta amostra</w:t>
      </w:r>
      <w:r w:rsidR="0051436A">
        <w:rPr>
          <w:lang w:val="pt-PT"/>
        </w:rPr>
        <w:t xml:space="preserve"> (excluindo-se a Guiné Bissau, Cabo Verde e São Tomé e Príncipe cujas taxas de terminação não tinham ainda sido estabelecidas de acordo com os resultados de um modelo de custeio)</w:t>
      </w:r>
      <w:r>
        <w:rPr>
          <w:lang w:val="pt-PT"/>
        </w:rPr>
        <w:t xml:space="preserve">, </w:t>
      </w:r>
      <w:r w:rsidR="004E636D" w:rsidRPr="00F50C2C">
        <w:rPr>
          <w:lang w:val="pt-PT"/>
        </w:rPr>
        <w:t>seguidamente apresenta</w:t>
      </w:r>
      <w:r>
        <w:rPr>
          <w:lang w:val="pt-PT"/>
        </w:rPr>
        <w:t>da no gráfico,</w:t>
      </w:r>
      <w:r w:rsidR="004E636D" w:rsidRPr="00F50C2C">
        <w:rPr>
          <w:lang w:val="pt-PT"/>
        </w:rPr>
        <w:t xml:space="preserve"> </w:t>
      </w:r>
      <w:r w:rsidR="00881EE4">
        <w:rPr>
          <w:lang w:val="pt-PT"/>
        </w:rPr>
        <w:t xml:space="preserve">era já </w:t>
      </w:r>
      <w:r w:rsidR="00A019A5">
        <w:rPr>
          <w:lang w:val="pt-PT"/>
        </w:rPr>
        <w:t>no início de 2020</w:t>
      </w:r>
      <w:r w:rsidR="0007353F" w:rsidRPr="00F50C2C">
        <w:rPr>
          <w:lang w:val="pt-PT"/>
        </w:rPr>
        <w:t xml:space="preserve"> de aproximadamente 1,</w:t>
      </w:r>
      <w:r w:rsidR="00881EE4">
        <w:rPr>
          <w:lang w:val="pt-PT"/>
        </w:rPr>
        <w:t>6</w:t>
      </w:r>
      <w:r w:rsidR="0007353F" w:rsidRPr="00F50C2C">
        <w:rPr>
          <w:lang w:val="pt-PT"/>
        </w:rPr>
        <w:t xml:space="preserve"> </w:t>
      </w:r>
      <w:r w:rsidR="00881EE4">
        <w:rPr>
          <w:lang w:val="pt-PT"/>
        </w:rPr>
        <w:t>€</w:t>
      </w:r>
      <w:r w:rsidR="004E636D" w:rsidRPr="00F50C2C">
        <w:rPr>
          <w:lang w:val="pt-PT"/>
        </w:rPr>
        <w:t xml:space="preserve"> cêntimos</w:t>
      </w:r>
      <w:r w:rsidR="0007353F" w:rsidRPr="00F50C2C">
        <w:rPr>
          <w:lang w:val="pt-PT"/>
        </w:rPr>
        <w:t>/minuto (</w:t>
      </w:r>
      <w:r w:rsidR="00881EE4">
        <w:rPr>
          <w:lang w:val="pt-PT"/>
        </w:rPr>
        <w:t>atualmente cerca de 10,5</w:t>
      </w:r>
      <w:r w:rsidR="0007353F" w:rsidRPr="00F50C2C">
        <w:rPr>
          <w:lang w:val="pt-PT"/>
        </w:rPr>
        <w:t xml:space="preserve"> </w:t>
      </w:r>
      <w:r w:rsidR="004E636D" w:rsidRPr="00F50C2C">
        <w:rPr>
          <w:lang w:val="pt-PT"/>
        </w:rPr>
        <w:t>FCFA/minuto</w:t>
      </w:r>
      <w:r w:rsidR="0007353F" w:rsidRPr="00F50C2C">
        <w:rPr>
          <w:lang w:val="pt-PT"/>
        </w:rPr>
        <w:t>):</w:t>
      </w:r>
    </w:p>
    <w:p w14:paraId="18A75D9D" w14:textId="37D88D21" w:rsidR="004E636D" w:rsidRDefault="0051436A" w:rsidP="00C24140">
      <w:pPr>
        <w:jc w:val="center"/>
        <w:rPr>
          <w:lang w:val="pt-PT"/>
        </w:rPr>
      </w:pPr>
      <w:r w:rsidRPr="0051436A">
        <w:rPr>
          <w:noProof/>
        </w:rPr>
        <w:drawing>
          <wp:inline distT="0" distB="0" distL="0" distR="0" wp14:anchorId="5E2764D3" wp14:editId="032B86A1">
            <wp:extent cx="4586605" cy="2733675"/>
            <wp:effectExtent l="0" t="0" r="444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6605" cy="2733675"/>
                    </a:xfrm>
                    <a:prstGeom prst="rect">
                      <a:avLst/>
                    </a:prstGeom>
                    <a:noFill/>
                    <a:ln>
                      <a:noFill/>
                    </a:ln>
                  </pic:spPr>
                </pic:pic>
              </a:graphicData>
            </a:graphic>
          </wp:inline>
        </w:drawing>
      </w:r>
    </w:p>
    <w:p w14:paraId="4EDE981E" w14:textId="77777777" w:rsidR="0007353F" w:rsidRDefault="0007353F" w:rsidP="0007353F">
      <w:pPr>
        <w:rPr>
          <w:lang w:val="pt-PT"/>
        </w:rPr>
      </w:pPr>
    </w:p>
    <w:p w14:paraId="4C7E8CFE" w14:textId="12E80555" w:rsidR="0007353F" w:rsidRPr="000546AE" w:rsidRDefault="0007353F" w:rsidP="0007353F">
      <w:pPr>
        <w:rPr>
          <w:lang w:val="pt-PT"/>
        </w:rPr>
      </w:pPr>
      <w:r w:rsidRPr="000546AE">
        <w:rPr>
          <w:lang w:val="pt-PT"/>
        </w:rPr>
        <w:lastRenderedPageBreak/>
        <w:t xml:space="preserve">Fonte: Sites de autoridades regulatórias, </w:t>
      </w:r>
      <w:r w:rsidR="00A019A5">
        <w:rPr>
          <w:lang w:val="pt-PT"/>
        </w:rPr>
        <w:t xml:space="preserve">atualização de taxas em vários anos </w:t>
      </w:r>
      <w:r w:rsidRPr="000546AE">
        <w:rPr>
          <w:lang w:val="pt-PT"/>
        </w:rPr>
        <w:t>vários anos (2017-20</w:t>
      </w:r>
      <w:r w:rsidR="00A019A5">
        <w:rPr>
          <w:lang w:val="pt-PT"/>
        </w:rPr>
        <w:t>19</w:t>
      </w:r>
      <w:r w:rsidRPr="000546AE">
        <w:rPr>
          <w:lang w:val="pt-PT"/>
        </w:rPr>
        <w:t>)</w:t>
      </w:r>
      <w:r w:rsidR="00A019A5">
        <w:rPr>
          <w:lang w:val="pt-PT"/>
        </w:rPr>
        <w:t>.</w:t>
      </w:r>
    </w:p>
    <w:p w14:paraId="56AD25BA" w14:textId="32272ADC" w:rsidR="0089291F" w:rsidRDefault="0089291F" w:rsidP="0089291F">
      <w:pPr>
        <w:rPr>
          <w:lang w:val="pt-PT"/>
        </w:rPr>
      </w:pPr>
      <w:r w:rsidRPr="0089291F">
        <w:rPr>
          <w:lang w:val="pt-PT"/>
        </w:rPr>
        <w:t xml:space="preserve">Em 2021, a </w:t>
      </w:r>
      <w:r w:rsidR="00EC355B">
        <w:rPr>
          <w:lang w:val="pt-PT"/>
        </w:rPr>
        <w:t>ARN</w:t>
      </w:r>
      <w:r w:rsidRPr="0089291F">
        <w:rPr>
          <w:lang w:val="pt-PT"/>
        </w:rPr>
        <w:t xml:space="preserve"> </w:t>
      </w:r>
      <w:r w:rsidR="0045574C">
        <w:rPr>
          <w:lang w:val="pt-PT"/>
        </w:rPr>
        <w:t>considera ser</w:t>
      </w:r>
      <w:r w:rsidR="00A019A5" w:rsidRPr="0089291F">
        <w:rPr>
          <w:lang w:val="pt-PT"/>
        </w:rPr>
        <w:t xml:space="preserve"> </w:t>
      </w:r>
      <w:r w:rsidR="00A019A5">
        <w:rPr>
          <w:lang w:val="pt-PT"/>
        </w:rPr>
        <w:t xml:space="preserve">desejável e </w:t>
      </w:r>
      <w:r w:rsidR="00A019A5" w:rsidRPr="0089291F">
        <w:rPr>
          <w:lang w:val="pt-PT"/>
        </w:rPr>
        <w:t xml:space="preserve">possível </w:t>
      </w:r>
      <w:r w:rsidRPr="0089291F">
        <w:rPr>
          <w:lang w:val="pt-PT"/>
        </w:rPr>
        <w:t xml:space="preserve">uma queda </w:t>
      </w:r>
      <w:r w:rsidR="00EC355B">
        <w:rPr>
          <w:lang w:val="pt-PT"/>
        </w:rPr>
        <w:t xml:space="preserve">substancial </w:t>
      </w:r>
      <w:r w:rsidRPr="0089291F">
        <w:rPr>
          <w:lang w:val="pt-PT"/>
        </w:rPr>
        <w:t xml:space="preserve">na taxa de </w:t>
      </w:r>
      <w:r w:rsidR="00EC355B">
        <w:rPr>
          <w:lang w:val="pt-PT"/>
        </w:rPr>
        <w:t>terminação</w:t>
      </w:r>
      <w:r w:rsidR="0045574C">
        <w:rPr>
          <w:lang w:val="pt-PT"/>
        </w:rPr>
        <w:t xml:space="preserve"> móvel. Um </w:t>
      </w:r>
      <w:r w:rsidR="00C24140">
        <w:rPr>
          <w:lang w:val="pt-PT"/>
        </w:rPr>
        <w:t>ajustamento gradual do preço máximo para o nível dos custos eficientes (</w:t>
      </w:r>
      <w:r w:rsidR="0045574C">
        <w:rPr>
          <w:lang w:val="pt-PT"/>
        </w:rPr>
        <w:t>“glide path”</w:t>
      </w:r>
      <w:r w:rsidR="00C24140">
        <w:rPr>
          <w:lang w:val="pt-PT"/>
        </w:rPr>
        <w:t>)</w:t>
      </w:r>
      <w:r w:rsidR="0045574C">
        <w:rPr>
          <w:lang w:val="pt-PT"/>
        </w:rPr>
        <w:t xml:space="preserve"> seria </w:t>
      </w:r>
      <w:r w:rsidRPr="0089291F">
        <w:rPr>
          <w:lang w:val="pt-PT"/>
        </w:rPr>
        <w:t>por exemplo:</w:t>
      </w:r>
    </w:p>
    <w:p w14:paraId="55098C04" w14:textId="77777777" w:rsidR="00B4564C" w:rsidRDefault="00B4564C" w:rsidP="0089291F">
      <w:pPr>
        <w:rPr>
          <w:lang w:val="pt-PT"/>
        </w:rPr>
      </w:pPr>
    </w:p>
    <w:p w14:paraId="5B303DD8" w14:textId="5F610D80" w:rsidR="00A019A5" w:rsidRDefault="00A019A5" w:rsidP="00A019A5">
      <w:pPr>
        <w:jc w:val="center"/>
        <w:rPr>
          <w:lang w:val="pt-PT"/>
        </w:rPr>
      </w:pPr>
      <w:r w:rsidRPr="00A019A5">
        <w:rPr>
          <w:noProof/>
        </w:rPr>
        <w:drawing>
          <wp:inline distT="0" distB="0" distL="0" distR="0" wp14:anchorId="71C503FE" wp14:editId="4A6D54F5">
            <wp:extent cx="4585335" cy="2747645"/>
            <wp:effectExtent l="0" t="0" r="571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5335" cy="2747645"/>
                    </a:xfrm>
                    <a:prstGeom prst="rect">
                      <a:avLst/>
                    </a:prstGeom>
                    <a:noFill/>
                    <a:ln>
                      <a:noFill/>
                    </a:ln>
                  </pic:spPr>
                </pic:pic>
              </a:graphicData>
            </a:graphic>
          </wp:inline>
        </w:drawing>
      </w:r>
    </w:p>
    <w:p w14:paraId="18E09137" w14:textId="77777777" w:rsidR="00A019A5" w:rsidRDefault="00A019A5" w:rsidP="0089291F">
      <w:pPr>
        <w:rPr>
          <w:lang w:val="pt-PT"/>
        </w:rPr>
      </w:pPr>
    </w:p>
    <w:p w14:paraId="4A6CDF47" w14:textId="7B68295A" w:rsidR="000546AE" w:rsidRPr="000546AE" w:rsidRDefault="000546AE" w:rsidP="00142A4D">
      <w:pPr>
        <w:jc w:val="both"/>
        <w:rPr>
          <w:lang w:val="pt-PT"/>
        </w:rPr>
      </w:pPr>
      <w:r w:rsidRPr="000546AE">
        <w:rPr>
          <w:lang w:val="pt-PT"/>
        </w:rPr>
        <w:t xml:space="preserve">Fonte: </w:t>
      </w:r>
      <w:r w:rsidR="00A019A5">
        <w:rPr>
          <w:lang w:val="pt-PT"/>
        </w:rPr>
        <w:t xml:space="preserve">Proposta com base nos resultados do </w:t>
      </w:r>
      <w:r w:rsidR="00DE6F99">
        <w:rPr>
          <w:lang w:val="pt-PT"/>
        </w:rPr>
        <w:t>m</w:t>
      </w:r>
      <w:r w:rsidRPr="000546AE">
        <w:rPr>
          <w:lang w:val="pt-PT"/>
        </w:rPr>
        <w:t>odelo de cust</w:t>
      </w:r>
      <w:r w:rsidR="00132EA0">
        <w:rPr>
          <w:lang w:val="pt-PT"/>
        </w:rPr>
        <w:t>ei</w:t>
      </w:r>
      <w:r w:rsidRPr="000546AE">
        <w:rPr>
          <w:lang w:val="pt-PT"/>
        </w:rPr>
        <w:t xml:space="preserve">o desenvolvido para </w:t>
      </w:r>
      <w:r>
        <w:rPr>
          <w:lang w:val="pt-PT"/>
        </w:rPr>
        <w:t>a ARN Guiné Bissau</w:t>
      </w:r>
      <w:r w:rsidR="00DE6F99">
        <w:rPr>
          <w:lang w:val="pt-PT"/>
        </w:rPr>
        <w:t xml:space="preserve"> e benchmarks regionais</w:t>
      </w:r>
      <w:r w:rsidR="00236F87">
        <w:rPr>
          <w:lang w:val="pt-PT"/>
        </w:rPr>
        <w:t>.</w:t>
      </w:r>
    </w:p>
    <w:p w14:paraId="5C10D1E2" w14:textId="24EFE088" w:rsidR="000546AE" w:rsidRDefault="0045574C" w:rsidP="00142A4D">
      <w:pPr>
        <w:jc w:val="both"/>
        <w:rPr>
          <w:lang w:val="pt-PT"/>
        </w:rPr>
      </w:pPr>
      <w:r>
        <w:rPr>
          <w:lang w:val="pt-PT"/>
        </w:rPr>
        <w:t>Assim u</w:t>
      </w:r>
      <w:r w:rsidR="000546AE" w:rsidRPr="000546AE">
        <w:rPr>
          <w:lang w:val="pt-PT"/>
        </w:rPr>
        <w:t xml:space="preserve">ma redução para </w:t>
      </w:r>
      <w:r w:rsidR="00DE6F99">
        <w:rPr>
          <w:lang w:val="pt-PT"/>
        </w:rPr>
        <w:t>10 FCFA/minuto</w:t>
      </w:r>
      <w:r w:rsidR="000546AE" w:rsidRPr="000546AE">
        <w:rPr>
          <w:lang w:val="pt-PT"/>
        </w:rPr>
        <w:t xml:space="preserve"> </w:t>
      </w:r>
      <w:r w:rsidR="000546AE">
        <w:rPr>
          <w:lang w:val="pt-PT"/>
        </w:rPr>
        <w:t>imediatamente em</w:t>
      </w:r>
      <w:r w:rsidR="000546AE" w:rsidRPr="000546AE">
        <w:rPr>
          <w:lang w:val="pt-PT"/>
        </w:rPr>
        <w:t xml:space="preserve"> 2021 </w:t>
      </w:r>
      <w:r>
        <w:rPr>
          <w:lang w:val="pt-PT"/>
        </w:rPr>
        <w:t>(</w:t>
      </w:r>
      <w:r w:rsidR="0051436A">
        <w:rPr>
          <w:lang w:val="pt-PT"/>
        </w:rPr>
        <w:t xml:space="preserve">aproximadamente o </w:t>
      </w:r>
      <w:r>
        <w:rPr>
          <w:lang w:val="pt-PT"/>
        </w:rPr>
        <w:t xml:space="preserve">valor médio do benchmarking regional no </w:t>
      </w:r>
      <w:r w:rsidR="00132EA0">
        <w:rPr>
          <w:lang w:val="pt-PT"/>
        </w:rPr>
        <w:t>in</w:t>
      </w:r>
      <w:r w:rsidR="00713476">
        <w:rPr>
          <w:lang w:val="pt-PT"/>
        </w:rPr>
        <w:t>í</w:t>
      </w:r>
      <w:r w:rsidR="00132EA0">
        <w:rPr>
          <w:lang w:val="pt-PT"/>
        </w:rPr>
        <w:t>cio</w:t>
      </w:r>
      <w:r>
        <w:rPr>
          <w:lang w:val="pt-PT"/>
        </w:rPr>
        <w:t xml:space="preserve"> de 2020</w:t>
      </w:r>
      <w:r w:rsidR="00132EA0">
        <w:rPr>
          <w:lang w:val="pt-PT"/>
        </w:rPr>
        <w:t xml:space="preserve">, no gráfico </w:t>
      </w:r>
      <w:r w:rsidR="0051436A">
        <w:rPr>
          <w:lang w:val="pt-PT"/>
        </w:rPr>
        <w:t xml:space="preserve">acima a coluna </w:t>
      </w:r>
      <w:r w:rsidR="00132EA0">
        <w:rPr>
          <w:lang w:val="pt-PT"/>
        </w:rPr>
        <w:t>2021R</w:t>
      </w:r>
      <w:r>
        <w:rPr>
          <w:lang w:val="pt-PT"/>
        </w:rPr>
        <w:t xml:space="preserve">) </w:t>
      </w:r>
      <w:r w:rsidR="000546AE" w:rsidRPr="000546AE">
        <w:rPr>
          <w:lang w:val="pt-PT"/>
        </w:rPr>
        <w:t xml:space="preserve">e outras reduções </w:t>
      </w:r>
      <w:r w:rsidR="00DE6F99">
        <w:rPr>
          <w:lang w:val="pt-PT"/>
        </w:rPr>
        <w:t xml:space="preserve">semestrais </w:t>
      </w:r>
      <w:r w:rsidR="00B4564C">
        <w:rPr>
          <w:lang w:val="pt-PT"/>
        </w:rPr>
        <w:t>(</w:t>
      </w:r>
      <w:r w:rsidR="0051436A">
        <w:rPr>
          <w:lang w:val="pt-PT"/>
        </w:rPr>
        <w:t xml:space="preserve">nos restantes anos, </w:t>
      </w:r>
      <w:r w:rsidR="00B4564C">
        <w:rPr>
          <w:lang w:val="pt-PT"/>
        </w:rPr>
        <w:t>1S refere-se ao primeiro semestre</w:t>
      </w:r>
      <w:r w:rsidR="0051436A">
        <w:rPr>
          <w:lang w:val="pt-PT"/>
        </w:rPr>
        <w:t xml:space="preserve"> e </w:t>
      </w:r>
      <w:r w:rsidR="00B4564C">
        <w:rPr>
          <w:lang w:val="pt-PT"/>
        </w:rPr>
        <w:t xml:space="preserve">2S ao segundo semestre) </w:t>
      </w:r>
      <w:r w:rsidR="000546AE" w:rsidRPr="000546AE">
        <w:rPr>
          <w:lang w:val="pt-PT"/>
        </w:rPr>
        <w:t xml:space="preserve">nos próximos 3 anos </w:t>
      </w:r>
      <w:r w:rsidR="00DE6F99">
        <w:rPr>
          <w:lang w:val="pt-PT"/>
        </w:rPr>
        <w:t xml:space="preserve">(2022 – 2024) </w:t>
      </w:r>
      <w:r>
        <w:rPr>
          <w:lang w:val="pt-PT"/>
        </w:rPr>
        <w:t>são um cenário a considerar</w:t>
      </w:r>
      <w:r w:rsidR="000546AE" w:rsidRPr="000546AE">
        <w:rPr>
          <w:lang w:val="pt-PT"/>
        </w:rPr>
        <w:t xml:space="preserve"> pela </w:t>
      </w:r>
      <w:r w:rsidR="000546AE">
        <w:rPr>
          <w:lang w:val="pt-PT"/>
        </w:rPr>
        <w:t>ANR</w:t>
      </w:r>
      <w:r w:rsidR="000546AE" w:rsidRPr="000546AE">
        <w:rPr>
          <w:lang w:val="pt-PT"/>
        </w:rPr>
        <w:t>.</w:t>
      </w:r>
      <w:r>
        <w:rPr>
          <w:lang w:val="pt-PT"/>
        </w:rPr>
        <w:t xml:space="preserve"> </w:t>
      </w:r>
      <w:r w:rsidR="000546AE" w:rsidRPr="00DE6F99">
        <w:rPr>
          <w:lang w:val="pt-PT"/>
        </w:rPr>
        <w:t xml:space="preserve">O impacto econômico de um valor </w:t>
      </w:r>
      <w:r w:rsidR="00DE6F99" w:rsidRPr="00DE6F99">
        <w:rPr>
          <w:lang w:val="pt-PT"/>
        </w:rPr>
        <w:t xml:space="preserve">substancialmente </w:t>
      </w:r>
      <w:r w:rsidR="000546AE" w:rsidRPr="00DE6F99">
        <w:rPr>
          <w:lang w:val="pt-PT"/>
        </w:rPr>
        <w:t xml:space="preserve">mais baixo </w:t>
      </w:r>
      <w:r>
        <w:rPr>
          <w:lang w:val="pt-PT"/>
        </w:rPr>
        <w:t>não se afigura significativo</w:t>
      </w:r>
      <w:r w:rsidR="000546AE" w:rsidRPr="00DE6F99">
        <w:rPr>
          <w:lang w:val="pt-PT"/>
        </w:rPr>
        <w:t>, pois o tráfego de interconexão móvel</w:t>
      </w:r>
      <w:r>
        <w:rPr>
          <w:lang w:val="pt-PT"/>
        </w:rPr>
        <w:t xml:space="preserve"> - </w:t>
      </w:r>
      <w:r w:rsidR="000546AE" w:rsidRPr="00DE6F99">
        <w:rPr>
          <w:lang w:val="pt-PT"/>
        </w:rPr>
        <w:t>móvel é muito baixo</w:t>
      </w:r>
      <w:r w:rsidR="00DE6F99" w:rsidRPr="00DE6F99">
        <w:rPr>
          <w:lang w:val="pt-PT"/>
        </w:rPr>
        <w:t xml:space="preserve"> e relativamente balanceado</w:t>
      </w:r>
      <w:r>
        <w:rPr>
          <w:lang w:val="pt-PT"/>
        </w:rPr>
        <w:t>,</w:t>
      </w:r>
      <w:r w:rsidR="00DE6F99" w:rsidRPr="00DE6F99">
        <w:rPr>
          <w:lang w:val="pt-PT"/>
        </w:rPr>
        <w:t xml:space="preserve"> não provocando </w:t>
      </w:r>
      <w:r>
        <w:rPr>
          <w:lang w:val="pt-PT"/>
        </w:rPr>
        <w:t xml:space="preserve">o acentuado decréscimo das taxas de terminação </w:t>
      </w:r>
      <w:r w:rsidR="00DE6F99" w:rsidRPr="00DE6F99">
        <w:rPr>
          <w:lang w:val="pt-PT"/>
        </w:rPr>
        <w:t xml:space="preserve">uma forte disrupção nos proveitos </w:t>
      </w:r>
      <w:r>
        <w:rPr>
          <w:lang w:val="pt-PT"/>
        </w:rPr>
        <w:t xml:space="preserve">de qualquer um </w:t>
      </w:r>
      <w:r w:rsidR="00DE6F99" w:rsidRPr="00DE6F99">
        <w:rPr>
          <w:lang w:val="pt-PT"/>
        </w:rPr>
        <w:t>dos operadores</w:t>
      </w:r>
      <w:r w:rsidR="000546AE" w:rsidRPr="00DE6F99">
        <w:rPr>
          <w:lang w:val="pt-PT"/>
        </w:rPr>
        <w:t>.</w:t>
      </w:r>
    </w:p>
    <w:p w14:paraId="7EAE8A45" w14:textId="7F4F392C" w:rsidR="00C14556" w:rsidRDefault="00DE6F99" w:rsidP="00142A4D">
      <w:pPr>
        <w:jc w:val="both"/>
        <w:rPr>
          <w:lang w:val="pt-PT"/>
        </w:rPr>
      </w:pPr>
      <w:r w:rsidRPr="00DE6F99">
        <w:rPr>
          <w:lang w:val="pt-PT"/>
        </w:rPr>
        <w:t xml:space="preserve">Há duas razões principais pelas quais </w:t>
      </w:r>
      <w:r>
        <w:rPr>
          <w:lang w:val="pt-PT"/>
        </w:rPr>
        <w:t>a ARN deverá</w:t>
      </w:r>
      <w:r w:rsidRPr="00DE6F99">
        <w:rPr>
          <w:lang w:val="pt-PT"/>
        </w:rPr>
        <w:t xml:space="preserve"> tomar esta </w:t>
      </w:r>
      <w:r>
        <w:rPr>
          <w:lang w:val="pt-PT"/>
        </w:rPr>
        <w:t>decisão</w:t>
      </w:r>
      <w:r w:rsidRPr="00DE6F99">
        <w:rPr>
          <w:lang w:val="pt-PT"/>
        </w:rPr>
        <w:t xml:space="preserve"> imediatamente </w:t>
      </w:r>
      <w:r w:rsidR="00C24140">
        <w:rPr>
          <w:lang w:val="pt-PT"/>
        </w:rPr>
        <w:t xml:space="preserve">e </w:t>
      </w:r>
      <w:r w:rsidRPr="00DE6F99">
        <w:rPr>
          <w:lang w:val="pt-PT"/>
        </w:rPr>
        <w:t xml:space="preserve">para que </w:t>
      </w:r>
      <w:r>
        <w:rPr>
          <w:lang w:val="pt-PT"/>
        </w:rPr>
        <w:t>os novos preços máximos de terminação</w:t>
      </w:r>
      <w:r w:rsidRPr="00DE6F99">
        <w:rPr>
          <w:lang w:val="pt-PT"/>
        </w:rPr>
        <w:t xml:space="preserve"> possam </w:t>
      </w:r>
      <w:r>
        <w:rPr>
          <w:lang w:val="pt-PT"/>
        </w:rPr>
        <w:t xml:space="preserve">ainda </w:t>
      </w:r>
      <w:r w:rsidRPr="00DE6F99">
        <w:rPr>
          <w:lang w:val="pt-PT"/>
        </w:rPr>
        <w:t>ser impost</w:t>
      </w:r>
      <w:r>
        <w:rPr>
          <w:lang w:val="pt-PT"/>
        </w:rPr>
        <w:t>o</w:t>
      </w:r>
      <w:r w:rsidRPr="00DE6F99">
        <w:rPr>
          <w:lang w:val="pt-PT"/>
        </w:rPr>
        <w:t xml:space="preserve">s no </w:t>
      </w:r>
      <w:r>
        <w:rPr>
          <w:lang w:val="pt-PT"/>
        </w:rPr>
        <w:t>decorrer</w:t>
      </w:r>
      <w:r w:rsidRPr="00DE6F99">
        <w:rPr>
          <w:lang w:val="pt-PT"/>
        </w:rPr>
        <w:t xml:space="preserve"> de 20</w:t>
      </w:r>
      <w:r>
        <w:rPr>
          <w:lang w:val="pt-PT"/>
        </w:rPr>
        <w:t>21</w:t>
      </w:r>
      <w:r w:rsidRPr="00DE6F99">
        <w:rPr>
          <w:lang w:val="pt-PT"/>
        </w:rPr>
        <w:t xml:space="preserve">. Em primeiro lugar, é claro que </w:t>
      </w:r>
      <w:r>
        <w:rPr>
          <w:lang w:val="pt-PT"/>
        </w:rPr>
        <w:t>o preço de terminação</w:t>
      </w:r>
      <w:r w:rsidRPr="00DE6F99">
        <w:rPr>
          <w:lang w:val="pt-PT"/>
        </w:rPr>
        <w:t xml:space="preserve"> foi definid</w:t>
      </w:r>
      <w:r>
        <w:rPr>
          <w:lang w:val="pt-PT"/>
        </w:rPr>
        <w:t>o</w:t>
      </w:r>
      <w:r w:rsidRPr="00DE6F99">
        <w:rPr>
          <w:lang w:val="pt-PT"/>
        </w:rPr>
        <w:t xml:space="preserve"> </w:t>
      </w:r>
      <w:r>
        <w:rPr>
          <w:lang w:val="pt-PT"/>
        </w:rPr>
        <w:t xml:space="preserve">arbitrariamente muito </w:t>
      </w:r>
      <w:r w:rsidRPr="00DE6F99">
        <w:rPr>
          <w:lang w:val="pt-PT"/>
        </w:rPr>
        <w:t xml:space="preserve">acima do custo </w:t>
      </w:r>
      <w:r>
        <w:rPr>
          <w:lang w:val="pt-PT"/>
        </w:rPr>
        <w:t xml:space="preserve">desde há </w:t>
      </w:r>
      <w:r w:rsidR="0045574C">
        <w:rPr>
          <w:lang w:val="pt-PT"/>
        </w:rPr>
        <w:t xml:space="preserve">já </w:t>
      </w:r>
      <w:r w:rsidRPr="00DE6F99">
        <w:rPr>
          <w:lang w:val="pt-PT"/>
        </w:rPr>
        <w:t>vários anos</w:t>
      </w:r>
      <w:r w:rsidR="0045574C">
        <w:rPr>
          <w:lang w:val="pt-PT"/>
        </w:rPr>
        <w:t xml:space="preserve"> e sem sofrer qualquer alteração</w:t>
      </w:r>
      <w:r w:rsidRPr="00DE6F99">
        <w:rPr>
          <w:lang w:val="pt-PT"/>
        </w:rPr>
        <w:t xml:space="preserve">, com o resultado de que </w:t>
      </w:r>
      <w:r>
        <w:rPr>
          <w:lang w:val="pt-PT"/>
        </w:rPr>
        <w:t>a</w:t>
      </w:r>
      <w:r w:rsidRPr="00DE6F99">
        <w:rPr>
          <w:lang w:val="pt-PT"/>
        </w:rPr>
        <w:t xml:space="preserve">os consumidores foi cobrado </w:t>
      </w:r>
      <w:r>
        <w:rPr>
          <w:lang w:val="pt-PT"/>
        </w:rPr>
        <w:t>um preço excessivo</w:t>
      </w:r>
      <w:r w:rsidRPr="00DE6F99">
        <w:rPr>
          <w:lang w:val="pt-PT"/>
        </w:rPr>
        <w:t xml:space="preserve"> para chamadas off-net e a concorrência entre as operadoras móveis foi </w:t>
      </w:r>
      <w:r>
        <w:rPr>
          <w:lang w:val="pt-PT"/>
        </w:rPr>
        <w:t>de certa forma paralisada</w:t>
      </w:r>
      <w:r w:rsidRPr="00DE6F99">
        <w:rPr>
          <w:lang w:val="pt-PT"/>
        </w:rPr>
        <w:t xml:space="preserve">. Consequentemente, quanto mais cedo a taxa de </w:t>
      </w:r>
      <w:r>
        <w:rPr>
          <w:lang w:val="pt-PT"/>
        </w:rPr>
        <w:t>terminação</w:t>
      </w:r>
      <w:r w:rsidRPr="00DE6F99">
        <w:rPr>
          <w:lang w:val="pt-PT"/>
        </w:rPr>
        <w:t xml:space="preserve"> for reduzida, maiores serão os benefícios econômicos para </w:t>
      </w:r>
      <w:r>
        <w:rPr>
          <w:lang w:val="pt-PT"/>
        </w:rPr>
        <w:t xml:space="preserve">a Guiné </w:t>
      </w:r>
      <w:r>
        <w:rPr>
          <w:lang w:val="pt-PT"/>
        </w:rPr>
        <w:lastRenderedPageBreak/>
        <w:t>Bissau</w:t>
      </w:r>
      <w:r w:rsidRPr="00DE6F99">
        <w:rPr>
          <w:lang w:val="pt-PT"/>
        </w:rPr>
        <w:t xml:space="preserve">. Em segundo lugar, </w:t>
      </w:r>
      <w:r>
        <w:rPr>
          <w:lang w:val="pt-PT"/>
        </w:rPr>
        <w:t xml:space="preserve">conforme publicitado no </w:t>
      </w:r>
      <w:r w:rsidR="0045574C">
        <w:rPr>
          <w:lang w:val="pt-PT"/>
        </w:rPr>
        <w:t>início</w:t>
      </w:r>
      <w:r w:rsidRPr="00DE6F99">
        <w:rPr>
          <w:lang w:val="pt-PT"/>
        </w:rPr>
        <w:t xml:space="preserve"> deste projeto </w:t>
      </w:r>
      <w:r>
        <w:rPr>
          <w:lang w:val="pt-PT"/>
        </w:rPr>
        <w:t xml:space="preserve">em sessão pública, </w:t>
      </w:r>
      <w:r w:rsidRPr="00DE6F99">
        <w:rPr>
          <w:lang w:val="pt-PT"/>
        </w:rPr>
        <w:t xml:space="preserve">foi afirmado que o objetivo é fixar novas tarifas de terminação </w:t>
      </w:r>
      <w:r>
        <w:rPr>
          <w:lang w:val="pt-PT"/>
        </w:rPr>
        <w:t>a partir do momento que a ARN possua uma ferramenta como o modelo de custeio desenvolvido</w:t>
      </w:r>
      <w:r w:rsidRPr="00DE6F99">
        <w:rPr>
          <w:lang w:val="pt-PT"/>
        </w:rPr>
        <w:t xml:space="preserve">. </w:t>
      </w:r>
      <w:r w:rsidR="0076097D">
        <w:rPr>
          <w:lang w:val="pt-PT"/>
        </w:rPr>
        <w:t xml:space="preserve">Os operadores são convidados a enviar os seus comentários sobre </w:t>
      </w:r>
      <w:r w:rsidR="00C24140">
        <w:rPr>
          <w:lang w:val="pt-PT"/>
        </w:rPr>
        <w:t>o ajustamento progressivo dos</w:t>
      </w:r>
      <w:r w:rsidR="0076097D">
        <w:rPr>
          <w:lang w:val="pt-PT"/>
        </w:rPr>
        <w:t xml:space="preserve"> preços máximos de terminação móvel na Guiné Bissau</w:t>
      </w:r>
      <w:r w:rsidR="00C24140">
        <w:rPr>
          <w:lang w:val="pt-PT"/>
        </w:rPr>
        <w:t xml:space="preserve"> para o nível dos custos eficientes</w:t>
      </w:r>
      <w:r w:rsidR="0076097D">
        <w:rPr>
          <w:lang w:val="pt-PT"/>
        </w:rPr>
        <w:t>.</w:t>
      </w:r>
    </w:p>
    <w:p w14:paraId="3FDB7073" w14:textId="697CD9F3" w:rsidR="007D6CB3" w:rsidRDefault="00ED6BB9" w:rsidP="00142A4D">
      <w:pPr>
        <w:jc w:val="both"/>
        <w:rPr>
          <w:lang w:val="pt-PT"/>
        </w:rPr>
      </w:pPr>
      <w:r w:rsidRPr="00676185">
        <w:rPr>
          <w:lang w:val="pt-PT"/>
        </w:rPr>
        <w:t xml:space="preserve">O mercado </w:t>
      </w:r>
      <w:r>
        <w:rPr>
          <w:lang w:val="pt-PT"/>
        </w:rPr>
        <w:t xml:space="preserve">grossista </w:t>
      </w:r>
      <w:r w:rsidRPr="00676185">
        <w:rPr>
          <w:lang w:val="pt-PT"/>
        </w:rPr>
        <w:t>de terminação de chamadas internacionais, pelas suas características, tem sido</w:t>
      </w:r>
      <w:r w:rsidR="008E5FB7">
        <w:rPr>
          <w:lang w:val="pt-PT"/>
        </w:rPr>
        <w:t>,</w:t>
      </w:r>
      <w:r>
        <w:rPr>
          <w:lang w:val="pt-PT"/>
        </w:rPr>
        <w:t xml:space="preserve"> a nível internacional</w:t>
      </w:r>
      <w:r w:rsidRPr="00676185">
        <w:rPr>
          <w:lang w:val="pt-PT"/>
        </w:rPr>
        <w:t xml:space="preserve">, endereçado pelos </w:t>
      </w:r>
      <w:r>
        <w:rPr>
          <w:lang w:val="pt-PT"/>
        </w:rPr>
        <w:t xml:space="preserve">governos e </w:t>
      </w:r>
      <w:r w:rsidRPr="00676185">
        <w:rPr>
          <w:lang w:val="pt-PT"/>
        </w:rPr>
        <w:t xml:space="preserve">reguladores de formas distintas. </w:t>
      </w:r>
      <w:r w:rsidR="007D6CB3" w:rsidRPr="007D6CB3">
        <w:rPr>
          <w:lang w:val="pt-PT"/>
        </w:rPr>
        <w:t xml:space="preserve">Há uma diferença fundamental entre a tarifa de terminação internacional e a tarifa de terminação doméstica. Embora a tarifa de terminação nacional seja determinada com base nos custos envolvidos </w:t>
      </w:r>
      <w:r w:rsidR="007D6CB3">
        <w:rPr>
          <w:lang w:val="pt-PT"/>
        </w:rPr>
        <w:t>na terminação</w:t>
      </w:r>
      <w:r w:rsidR="007D6CB3" w:rsidRPr="007D6CB3">
        <w:rPr>
          <w:lang w:val="pt-PT"/>
        </w:rPr>
        <w:t xml:space="preserve"> da chamada e tenha grande importância para o mercado de telecomunicações doméstico, a tarifa de terminação internacional é fixada com base em várias outras considerações, além dos custos envolvidos </w:t>
      </w:r>
      <w:r w:rsidR="007D6CB3">
        <w:rPr>
          <w:lang w:val="pt-PT"/>
        </w:rPr>
        <w:t>na terminação</w:t>
      </w:r>
      <w:r w:rsidR="007D6CB3" w:rsidRPr="007D6CB3">
        <w:rPr>
          <w:lang w:val="pt-PT"/>
        </w:rPr>
        <w:t xml:space="preserve"> da chamada e têm importância para os mercados internacionais de telecomunicações.</w:t>
      </w:r>
    </w:p>
    <w:p w14:paraId="68D6A9D1" w14:textId="0F4B6515" w:rsidR="003F286B" w:rsidRDefault="00ED6BB9" w:rsidP="00142A4D">
      <w:pPr>
        <w:jc w:val="both"/>
        <w:rPr>
          <w:lang w:val="pt-PT"/>
        </w:rPr>
      </w:pPr>
      <w:r>
        <w:rPr>
          <w:lang w:val="pt-PT"/>
        </w:rPr>
        <w:t>Na Consulta Pública relativa à Análise de Mercados a ARN questionou os operadores sobre</w:t>
      </w:r>
      <w:r w:rsidRPr="00676185">
        <w:rPr>
          <w:lang w:val="pt-PT"/>
        </w:rPr>
        <w:t xml:space="preserve"> se uma obrigação de controlo de preços dever</w:t>
      </w:r>
      <w:r>
        <w:rPr>
          <w:lang w:val="pt-PT"/>
        </w:rPr>
        <w:t>ia</w:t>
      </w:r>
      <w:r w:rsidRPr="00676185">
        <w:rPr>
          <w:lang w:val="pt-PT"/>
        </w:rPr>
        <w:t xml:space="preserve"> abranger o tráfego internacional de entrada, ou seja,</w:t>
      </w:r>
      <w:r>
        <w:rPr>
          <w:lang w:val="pt-PT"/>
        </w:rPr>
        <w:t xml:space="preserve"> </w:t>
      </w:r>
      <w:r w:rsidRPr="00676185">
        <w:rPr>
          <w:lang w:val="pt-PT"/>
        </w:rPr>
        <w:t>chamadas originadas em operadores de fora da Guiné Bissau ou se, por outro lado, as chamadas que sejam entregues aos operadores nacionais e que tenham tido origem fora da Guiné Bissau não deveriam estar sujeitas à obrigação de controlo de preços nem consequentemente sujeitas à obrigação de não-discriminação e à publicação prévia dos preços dos serviços de terminação deste tipo de chamadas</w:t>
      </w:r>
      <w:r>
        <w:rPr>
          <w:lang w:val="pt-PT"/>
        </w:rPr>
        <w:t>. Contudo os operadores não endereçaram quaisquer comentários relativamente a este mercado.</w:t>
      </w:r>
      <w:r w:rsidR="009268D6">
        <w:rPr>
          <w:lang w:val="pt-PT"/>
        </w:rPr>
        <w:t xml:space="preserve"> </w:t>
      </w:r>
    </w:p>
    <w:p w14:paraId="5A7189F4" w14:textId="2BBAAC47" w:rsidR="00132EA0" w:rsidRDefault="00132EA0" w:rsidP="00142A4D">
      <w:pPr>
        <w:jc w:val="both"/>
        <w:rPr>
          <w:lang w:val="pt-PT"/>
        </w:rPr>
      </w:pPr>
      <w:r>
        <w:rPr>
          <w:lang w:val="pt-PT"/>
        </w:rPr>
        <w:t xml:space="preserve">Na generalidade dos países do ponto de vista dos custos efetivamente suportados pelas redes móveis não existem diferenças significativas entre a terminação nacional e a terminação internacional. No entanto é comum encontrar valores de terminação internacional 10 ou 15 vezes superiores ao custo. </w:t>
      </w:r>
      <w:r w:rsidR="00713476">
        <w:rPr>
          <w:lang w:val="pt-PT"/>
        </w:rPr>
        <w:t xml:space="preserve">De acordo com os resultados do modelo de custeio essa parece ser também a realidade na Guiné Bissau. Os proveitos provenientes do serviço de terminação de voz internacional são consideravelmente mais altos que o correspondente custo unitário. </w:t>
      </w:r>
      <w:r>
        <w:rPr>
          <w:lang w:val="pt-PT"/>
        </w:rPr>
        <w:t xml:space="preserve">Estas políticas de preços constituem muitas das vezes uma forma deliberada de </w:t>
      </w:r>
      <w:r w:rsidR="00713476">
        <w:rPr>
          <w:lang w:val="pt-PT"/>
        </w:rPr>
        <w:t>os governos obterem</w:t>
      </w:r>
      <w:r>
        <w:rPr>
          <w:lang w:val="pt-PT"/>
        </w:rPr>
        <w:t xml:space="preserve"> proveitos adicionais para o país. No entanto, embora não afete diretamente os consumidores na Guiné Bissau, o resultado de preços elevados de terminação internacional</w:t>
      </w:r>
      <w:r w:rsidR="00F05759">
        <w:rPr>
          <w:lang w:val="pt-PT"/>
        </w:rPr>
        <w:t>,</w:t>
      </w:r>
      <w:r>
        <w:rPr>
          <w:lang w:val="pt-PT"/>
        </w:rPr>
        <w:t xml:space="preserve"> resultam, normalmente, em preços elevados no retalho para os consumidores noutros países que necessitam por razões profissionais ou familiares ligar para a Guiné Bissau. Isso pode reduzir fortemente o tráfego e/ou também aumentar exponencialmente o uso de OTTS para comunicar com a Guiné Bissau. Também se pode traduzir numa desvantagem económica em termos de comércio e prestação de serviços a nível internacional.</w:t>
      </w:r>
      <w:r w:rsidR="00C42803">
        <w:rPr>
          <w:lang w:val="pt-PT"/>
        </w:rPr>
        <w:t xml:space="preserve"> Claramente, no caso da Guiné Bissau, a grande maioria do tráfego internacional é dentro da CEDEAO.</w:t>
      </w:r>
      <w:r w:rsidR="00F05759">
        <w:rPr>
          <w:lang w:val="pt-PT"/>
        </w:rPr>
        <w:t xml:space="preserve"> Por outro lado</w:t>
      </w:r>
      <w:r w:rsidR="00713476">
        <w:rPr>
          <w:lang w:val="pt-PT"/>
        </w:rPr>
        <w:t>,</w:t>
      </w:r>
      <w:r w:rsidR="00F05759">
        <w:rPr>
          <w:lang w:val="pt-PT"/>
        </w:rPr>
        <w:t xml:space="preserve"> também podem ser resultado das negociações comerciais entre operadores internacionais sendo que o custo total também </w:t>
      </w:r>
      <w:r w:rsidR="00713476">
        <w:rPr>
          <w:lang w:val="pt-PT"/>
        </w:rPr>
        <w:t xml:space="preserve">tem que </w:t>
      </w:r>
      <w:r w:rsidR="00F05759">
        <w:rPr>
          <w:lang w:val="pt-PT"/>
        </w:rPr>
        <w:t>inclui</w:t>
      </w:r>
      <w:r w:rsidR="00713476">
        <w:rPr>
          <w:lang w:val="pt-PT"/>
        </w:rPr>
        <w:t>r</w:t>
      </w:r>
      <w:r w:rsidR="00F05759">
        <w:rPr>
          <w:lang w:val="pt-PT"/>
        </w:rPr>
        <w:t xml:space="preserve"> uma componente de trânsito.</w:t>
      </w:r>
    </w:p>
    <w:p w14:paraId="1EC156E7" w14:textId="3535BC12" w:rsidR="00FE7849" w:rsidRDefault="00F05759" w:rsidP="00142A4D">
      <w:pPr>
        <w:jc w:val="both"/>
        <w:rPr>
          <w:lang w:val="pt-PT"/>
        </w:rPr>
      </w:pPr>
      <w:r>
        <w:rPr>
          <w:lang w:val="pt-PT"/>
        </w:rPr>
        <w:lastRenderedPageBreak/>
        <w:t>De acordo com uma pesquisa efetuada</w:t>
      </w:r>
      <w:r>
        <w:rPr>
          <w:rStyle w:val="FootnoteReference"/>
          <w:lang w:val="pt-PT"/>
        </w:rPr>
        <w:footnoteReference w:id="6"/>
      </w:r>
      <w:r>
        <w:rPr>
          <w:lang w:val="pt-PT"/>
        </w:rPr>
        <w:t>,</w:t>
      </w:r>
      <w:r w:rsidR="00C42803">
        <w:rPr>
          <w:lang w:val="pt-PT"/>
        </w:rPr>
        <w:t xml:space="preserve"> u</w:t>
      </w:r>
      <w:r w:rsidR="009268D6">
        <w:rPr>
          <w:lang w:val="pt-PT"/>
        </w:rPr>
        <w:t xml:space="preserve">ma chamada de voz via Skype para a Guiné Bissau custa </w:t>
      </w:r>
      <w:r w:rsidR="00C42803">
        <w:rPr>
          <w:lang w:val="pt-PT"/>
        </w:rPr>
        <w:t xml:space="preserve">atualmente </w:t>
      </w:r>
      <w:r w:rsidR="009268D6">
        <w:rPr>
          <w:lang w:val="pt-PT"/>
        </w:rPr>
        <w:t xml:space="preserve">1,14 €/minuto, </w:t>
      </w:r>
      <w:r w:rsidR="00C42803">
        <w:rPr>
          <w:lang w:val="pt-PT"/>
        </w:rPr>
        <w:t xml:space="preserve">para o </w:t>
      </w:r>
      <w:r w:rsidR="009268D6">
        <w:rPr>
          <w:lang w:val="pt-PT"/>
        </w:rPr>
        <w:t>Senegal 28,2 €cents</w:t>
      </w:r>
      <w:r w:rsidR="00C42803">
        <w:rPr>
          <w:lang w:val="pt-PT"/>
        </w:rPr>
        <w:t>/minuto</w:t>
      </w:r>
      <w:r w:rsidR="009268D6">
        <w:rPr>
          <w:lang w:val="pt-PT"/>
        </w:rPr>
        <w:t xml:space="preserve">, </w:t>
      </w:r>
      <w:r w:rsidR="00C42803">
        <w:rPr>
          <w:lang w:val="pt-PT"/>
        </w:rPr>
        <w:t xml:space="preserve">para a </w:t>
      </w:r>
      <w:r w:rsidR="003F286B">
        <w:rPr>
          <w:lang w:val="pt-PT"/>
        </w:rPr>
        <w:t>Guin</w:t>
      </w:r>
      <w:r w:rsidR="00C42803">
        <w:rPr>
          <w:lang w:val="pt-PT"/>
        </w:rPr>
        <w:t>é</w:t>
      </w:r>
      <w:r w:rsidR="003F286B">
        <w:rPr>
          <w:lang w:val="pt-PT"/>
        </w:rPr>
        <w:t xml:space="preserve"> 49,7 €cents</w:t>
      </w:r>
      <w:r w:rsidR="00C42803">
        <w:rPr>
          <w:lang w:val="pt-PT"/>
        </w:rPr>
        <w:t>/minuto</w:t>
      </w:r>
      <w:r w:rsidR="003F286B">
        <w:rPr>
          <w:lang w:val="pt-PT"/>
        </w:rPr>
        <w:t xml:space="preserve">, </w:t>
      </w:r>
      <w:r w:rsidR="00C42803">
        <w:rPr>
          <w:lang w:val="pt-PT"/>
        </w:rPr>
        <w:t xml:space="preserve">para o </w:t>
      </w:r>
      <w:r w:rsidR="003F286B">
        <w:rPr>
          <w:lang w:val="pt-PT"/>
        </w:rPr>
        <w:t>Togo 33,8</w:t>
      </w:r>
      <w:r w:rsidR="00C42803">
        <w:rPr>
          <w:lang w:val="pt-PT"/>
        </w:rPr>
        <w:t xml:space="preserve"> €cents/minuto</w:t>
      </w:r>
      <w:r w:rsidR="003F286B">
        <w:rPr>
          <w:lang w:val="pt-PT"/>
        </w:rPr>
        <w:t xml:space="preserve">, </w:t>
      </w:r>
      <w:r w:rsidR="00C42803">
        <w:rPr>
          <w:lang w:val="pt-PT"/>
        </w:rPr>
        <w:t xml:space="preserve">para o </w:t>
      </w:r>
      <w:r w:rsidR="003F286B">
        <w:rPr>
          <w:lang w:val="pt-PT"/>
        </w:rPr>
        <w:t>Mali 61,7</w:t>
      </w:r>
      <w:r w:rsidR="00C42803">
        <w:rPr>
          <w:lang w:val="pt-PT"/>
        </w:rPr>
        <w:t xml:space="preserve"> €cents/minuto</w:t>
      </w:r>
      <w:r w:rsidR="003F286B">
        <w:rPr>
          <w:lang w:val="pt-PT"/>
        </w:rPr>
        <w:t xml:space="preserve">, </w:t>
      </w:r>
      <w:r w:rsidR="00C42803">
        <w:rPr>
          <w:lang w:val="pt-PT"/>
        </w:rPr>
        <w:t xml:space="preserve">para o </w:t>
      </w:r>
      <w:r w:rsidR="003F286B">
        <w:rPr>
          <w:lang w:val="pt-PT"/>
        </w:rPr>
        <w:t>Niger 26,1</w:t>
      </w:r>
      <w:r w:rsidR="00C42803">
        <w:rPr>
          <w:lang w:val="pt-PT"/>
        </w:rPr>
        <w:t xml:space="preserve"> €cents/minuto</w:t>
      </w:r>
      <w:r w:rsidR="003F286B">
        <w:rPr>
          <w:lang w:val="pt-PT"/>
        </w:rPr>
        <w:t xml:space="preserve">, </w:t>
      </w:r>
      <w:r w:rsidR="00C42803">
        <w:rPr>
          <w:lang w:val="pt-PT"/>
        </w:rPr>
        <w:t xml:space="preserve">para </w:t>
      </w:r>
      <w:r w:rsidR="003F286B">
        <w:rPr>
          <w:lang w:val="pt-PT"/>
        </w:rPr>
        <w:t>Cabo Verde 32,1</w:t>
      </w:r>
      <w:r w:rsidR="00C42803">
        <w:rPr>
          <w:lang w:val="pt-PT"/>
        </w:rPr>
        <w:t xml:space="preserve"> €cents/minuto</w:t>
      </w:r>
      <w:r w:rsidR="003F286B">
        <w:rPr>
          <w:lang w:val="pt-PT"/>
        </w:rPr>
        <w:t xml:space="preserve">, </w:t>
      </w:r>
      <w:r w:rsidR="00C42803">
        <w:rPr>
          <w:lang w:val="pt-PT"/>
        </w:rPr>
        <w:t xml:space="preserve">para </w:t>
      </w:r>
      <w:r w:rsidR="001E0CFC">
        <w:rPr>
          <w:lang w:val="pt-PT"/>
        </w:rPr>
        <w:t>S</w:t>
      </w:r>
      <w:r w:rsidR="00C42803">
        <w:rPr>
          <w:lang w:val="pt-PT"/>
        </w:rPr>
        <w:t xml:space="preserve">ão </w:t>
      </w:r>
      <w:r w:rsidR="001E0CFC">
        <w:rPr>
          <w:lang w:val="pt-PT"/>
        </w:rPr>
        <w:t>T</w:t>
      </w:r>
      <w:r w:rsidR="00C42803">
        <w:rPr>
          <w:lang w:val="pt-PT"/>
        </w:rPr>
        <w:t xml:space="preserve">omé e </w:t>
      </w:r>
      <w:r w:rsidR="001E0CFC">
        <w:rPr>
          <w:lang w:val="pt-PT"/>
        </w:rPr>
        <w:t>P</w:t>
      </w:r>
      <w:r w:rsidR="00C42803">
        <w:rPr>
          <w:lang w:val="pt-PT"/>
        </w:rPr>
        <w:t>ríncipe</w:t>
      </w:r>
      <w:r w:rsidR="001E0CFC">
        <w:rPr>
          <w:lang w:val="pt-PT"/>
        </w:rPr>
        <w:t xml:space="preserve"> </w:t>
      </w:r>
      <w:r w:rsidR="003F286B">
        <w:rPr>
          <w:lang w:val="pt-PT"/>
        </w:rPr>
        <w:t xml:space="preserve">1,26 €/minuto, </w:t>
      </w:r>
      <w:r w:rsidR="00C42803">
        <w:rPr>
          <w:lang w:val="pt-PT"/>
        </w:rPr>
        <w:t xml:space="preserve">para a </w:t>
      </w:r>
      <w:r w:rsidR="003F286B">
        <w:rPr>
          <w:lang w:val="pt-PT"/>
        </w:rPr>
        <w:t>Lib</w:t>
      </w:r>
      <w:r w:rsidR="008E5FB7">
        <w:rPr>
          <w:lang w:val="pt-PT"/>
        </w:rPr>
        <w:t>é</w:t>
      </w:r>
      <w:r w:rsidR="003F286B">
        <w:rPr>
          <w:lang w:val="pt-PT"/>
        </w:rPr>
        <w:t>ria 61,7 €cents</w:t>
      </w:r>
      <w:r w:rsidR="00C42803">
        <w:rPr>
          <w:lang w:val="pt-PT"/>
        </w:rPr>
        <w:t xml:space="preserve">/minuto, para a </w:t>
      </w:r>
      <w:r w:rsidR="003F286B">
        <w:rPr>
          <w:lang w:val="pt-PT"/>
        </w:rPr>
        <w:t>Gambia 98,3</w:t>
      </w:r>
      <w:r w:rsidR="00C42803">
        <w:rPr>
          <w:lang w:val="pt-PT"/>
        </w:rPr>
        <w:t>€cents/minuto</w:t>
      </w:r>
      <w:r w:rsidR="003F286B">
        <w:rPr>
          <w:lang w:val="pt-PT"/>
        </w:rPr>
        <w:t xml:space="preserve">, </w:t>
      </w:r>
      <w:r w:rsidR="00C42803">
        <w:rPr>
          <w:lang w:val="pt-PT"/>
        </w:rPr>
        <w:t xml:space="preserve">e para a </w:t>
      </w:r>
      <w:r w:rsidR="003F286B">
        <w:rPr>
          <w:lang w:val="pt-PT"/>
        </w:rPr>
        <w:t xml:space="preserve">Serra Leoa 81,9 </w:t>
      </w:r>
      <w:r w:rsidR="00C42803">
        <w:rPr>
          <w:lang w:val="pt-PT"/>
        </w:rPr>
        <w:t xml:space="preserve">€cents/minuto. </w:t>
      </w:r>
      <w:r>
        <w:rPr>
          <w:lang w:val="pt-PT"/>
        </w:rPr>
        <w:t>Também a título de exemplo, n</w:t>
      </w:r>
      <w:r w:rsidR="00C42803">
        <w:rPr>
          <w:lang w:val="pt-PT"/>
        </w:rPr>
        <w:t xml:space="preserve">as comunicações a partir de Portugal a </w:t>
      </w:r>
      <w:r w:rsidR="003F286B">
        <w:rPr>
          <w:lang w:val="pt-PT"/>
        </w:rPr>
        <w:t>Nos</w:t>
      </w:r>
      <w:r w:rsidR="00C42803">
        <w:rPr>
          <w:lang w:val="pt-PT"/>
        </w:rPr>
        <w:t xml:space="preserve"> cobra 77,1 €cents/minuto em</w:t>
      </w:r>
      <w:r w:rsidR="003F286B">
        <w:rPr>
          <w:lang w:val="pt-PT"/>
        </w:rPr>
        <w:t xml:space="preserve"> </w:t>
      </w:r>
      <w:r w:rsidR="00FE7849">
        <w:rPr>
          <w:lang w:val="pt-PT"/>
        </w:rPr>
        <w:t>horário normal</w:t>
      </w:r>
      <w:r w:rsidR="00C42803">
        <w:rPr>
          <w:lang w:val="pt-PT"/>
        </w:rPr>
        <w:t xml:space="preserve"> e </w:t>
      </w:r>
      <w:r w:rsidR="00FE7849">
        <w:rPr>
          <w:lang w:val="pt-PT"/>
        </w:rPr>
        <w:t>57</w:t>
      </w:r>
      <w:r w:rsidR="00C42803">
        <w:rPr>
          <w:lang w:val="pt-PT"/>
        </w:rPr>
        <w:t>,</w:t>
      </w:r>
      <w:r w:rsidR="00FE7849">
        <w:rPr>
          <w:lang w:val="pt-PT"/>
        </w:rPr>
        <w:t xml:space="preserve">8 </w:t>
      </w:r>
      <w:r w:rsidR="00C42803">
        <w:rPr>
          <w:lang w:val="pt-PT"/>
        </w:rPr>
        <w:t xml:space="preserve">€cents/ minuto entre as </w:t>
      </w:r>
      <w:r w:rsidR="00FE7849">
        <w:rPr>
          <w:lang w:val="pt-PT"/>
        </w:rPr>
        <w:t>21h</w:t>
      </w:r>
      <w:r w:rsidR="00C42803">
        <w:rPr>
          <w:lang w:val="pt-PT"/>
        </w:rPr>
        <w:t xml:space="preserve"> e as </w:t>
      </w:r>
      <w:r w:rsidR="00FE7849">
        <w:rPr>
          <w:lang w:val="pt-PT"/>
        </w:rPr>
        <w:t>9h</w:t>
      </w:r>
      <w:r w:rsidR="00C42803">
        <w:rPr>
          <w:lang w:val="pt-PT"/>
        </w:rPr>
        <w:t xml:space="preserve"> da manhã. Para os assinantes da </w:t>
      </w:r>
      <w:r w:rsidR="00FE7849">
        <w:rPr>
          <w:lang w:val="pt-PT"/>
        </w:rPr>
        <w:t xml:space="preserve">Vodafone </w:t>
      </w:r>
      <w:r w:rsidR="00C42803">
        <w:rPr>
          <w:lang w:val="pt-PT"/>
        </w:rPr>
        <w:t xml:space="preserve">enquanto que para </w:t>
      </w:r>
      <w:r w:rsidR="00FE7849">
        <w:rPr>
          <w:lang w:val="pt-PT"/>
        </w:rPr>
        <w:t>Angola, Moçambique e Cabo Verde</w:t>
      </w:r>
      <w:r w:rsidR="00C42803">
        <w:rPr>
          <w:lang w:val="pt-PT"/>
        </w:rPr>
        <w:t xml:space="preserve"> o custo são </w:t>
      </w:r>
      <w:r w:rsidR="00FE7849">
        <w:rPr>
          <w:lang w:val="pt-PT"/>
        </w:rPr>
        <w:t>63,2</w:t>
      </w:r>
      <w:r w:rsidR="00C42803">
        <w:rPr>
          <w:lang w:val="pt-PT"/>
        </w:rPr>
        <w:t xml:space="preserve"> €cents/minuto a tarifa aplicada no caso da Guiné Bissau é a </w:t>
      </w:r>
      <w:r w:rsidR="008E5FB7">
        <w:rPr>
          <w:lang w:val="pt-PT"/>
        </w:rPr>
        <w:t>mesma aplicada ao designado</w:t>
      </w:r>
      <w:r w:rsidR="00C42803">
        <w:rPr>
          <w:lang w:val="pt-PT"/>
        </w:rPr>
        <w:t xml:space="preserve"> </w:t>
      </w:r>
      <w:r w:rsidR="00FE7849">
        <w:rPr>
          <w:lang w:val="pt-PT"/>
        </w:rPr>
        <w:t xml:space="preserve">Resto </w:t>
      </w:r>
      <w:r w:rsidR="00C42803">
        <w:rPr>
          <w:lang w:val="pt-PT"/>
        </w:rPr>
        <w:t xml:space="preserve">do </w:t>
      </w:r>
      <w:r w:rsidR="00FE7849">
        <w:rPr>
          <w:lang w:val="pt-PT"/>
        </w:rPr>
        <w:t>mundo</w:t>
      </w:r>
      <w:r w:rsidR="00C42803">
        <w:rPr>
          <w:lang w:val="pt-PT"/>
        </w:rPr>
        <w:t>,</w:t>
      </w:r>
      <w:r w:rsidR="00FE7849">
        <w:rPr>
          <w:lang w:val="pt-PT"/>
        </w:rPr>
        <w:t xml:space="preserve"> 1,65</w:t>
      </w:r>
      <w:r w:rsidR="00C42803">
        <w:rPr>
          <w:lang w:val="pt-PT"/>
        </w:rPr>
        <w:t xml:space="preserve">€/minuto. A </w:t>
      </w:r>
      <w:r w:rsidR="00FE7849">
        <w:rPr>
          <w:lang w:val="pt-PT"/>
        </w:rPr>
        <w:t>MEO</w:t>
      </w:r>
      <w:r w:rsidR="00C42803">
        <w:rPr>
          <w:lang w:val="pt-PT"/>
        </w:rPr>
        <w:t xml:space="preserve"> aplica a mesma tarifa aos chamados </w:t>
      </w:r>
      <w:r w:rsidR="00FE7849">
        <w:rPr>
          <w:lang w:val="pt-PT"/>
        </w:rPr>
        <w:t xml:space="preserve">Palop </w:t>
      </w:r>
      <w:r w:rsidR="00C42803">
        <w:rPr>
          <w:lang w:val="pt-PT"/>
        </w:rPr>
        <w:t xml:space="preserve">(países de língua oficial portuguesa) correspondente a </w:t>
      </w:r>
      <w:r w:rsidR="00FE7849">
        <w:rPr>
          <w:lang w:val="pt-PT"/>
        </w:rPr>
        <w:t>60</w:t>
      </w:r>
      <w:r w:rsidR="00C42803">
        <w:rPr>
          <w:lang w:val="pt-PT"/>
        </w:rPr>
        <w:t xml:space="preserve"> €cents/</w:t>
      </w:r>
      <w:r w:rsidR="00FE7849">
        <w:rPr>
          <w:lang w:val="pt-PT"/>
        </w:rPr>
        <w:t>minuto</w:t>
      </w:r>
      <w:r w:rsidR="00C42803">
        <w:rPr>
          <w:lang w:val="pt-PT"/>
        </w:rPr>
        <w:t xml:space="preserve">. Portanto também é notório um custo mais alto para ligar </w:t>
      </w:r>
      <w:r>
        <w:rPr>
          <w:lang w:val="pt-PT"/>
        </w:rPr>
        <w:t>para a Guiné Bissau.</w:t>
      </w:r>
    </w:p>
    <w:p w14:paraId="7709AAE7" w14:textId="196ABA42" w:rsidR="0051436A" w:rsidRDefault="0051436A" w:rsidP="00142A4D">
      <w:pPr>
        <w:jc w:val="both"/>
        <w:rPr>
          <w:lang w:val="pt-PT"/>
        </w:rPr>
      </w:pPr>
      <w:r>
        <w:rPr>
          <w:lang w:val="pt-PT"/>
        </w:rPr>
        <w:t>Os operadores são convidados a enviar os seus comentários sobre que politica de preços de terminação de voz internacional na Guiné Bissau lhes parece mais adequada e se uma aproximação gradual para o nível dos custos eficientes seria mais aconselhada ou não, justificando as suas razões.</w:t>
      </w:r>
    </w:p>
    <w:p w14:paraId="505A360B" w14:textId="77777777" w:rsidR="0051436A" w:rsidRDefault="0051436A" w:rsidP="000546AE">
      <w:pPr>
        <w:rPr>
          <w:lang w:val="pt-PT"/>
        </w:rPr>
      </w:pPr>
    </w:p>
    <w:p w14:paraId="4CBEA655" w14:textId="1D33EDDB" w:rsidR="009D3FC6" w:rsidRDefault="009D3FC6" w:rsidP="009D3FC6">
      <w:pPr>
        <w:pStyle w:val="Heading1"/>
        <w:numPr>
          <w:ilvl w:val="0"/>
          <w:numId w:val="0"/>
        </w:numPr>
        <w:ind w:left="432" w:hanging="432"/>
        <w:rPr>
          <w:lang w:val="pt-PT"/>
        </w:rPr>
      </w:pPr>
      <w:bookmarkStart w:id="20" w:name="_Toc31617423"/>
      <w:bookmarkStart w:id="21" w:name="_Toc75349738"/>
      <w:r w:rsidRPr="003B4226">
        <w:rPr>
          <w:lang w:val="pt-PT"/>
        </w:rPr>
        <w:lastRenderedPageBreak/>
        <w:t xml:space="preserve">Anexo A: </w:t>
      </w:r>
      <w:bookmarkEnd w:id="20"/>
      <w:r w:rsidR="0076097D">
        <w:rPr>
          <w:lang w:val="pt-PT"/>
        </w:rPr>
        <w:t>Custo médio ponderado do capital</w:t>
      </w:r>
      <w:bookmarkEnd w:id="21"/>
    </w:p>
    <w:p w14:paraId="3F1DD0E3" w14:textId="77777777" w:rsidR="0076097D" w:rsidRPr="00EE0B21" w:rsidRDefault="0076097D" w:rsidP="0076097D">
      <w:pPr>
        <w:pStyle w:val="OvumHeading3"/>
        <w:numPr>
          <w:ilvl w:val="0"/>
          <w:numId w:val="0"/>
        </w:numPr>
        <w:rPr>
          <w:lang w:val="pt-PT"/>
        </w:rPr>
      </w:pPr>
      <w:bookmarkStart w:id="22" w:name="_Toc532482099"/>
      <w:bookmarkStart w:id="23" w:name="_Toc6841757"/>
      <w:bookmarkStart w:id="24" w:name="_Toc8819891"/>
      <w:bookmarkStart w:id="25" w:name="_Toc75349739"/>
      <w:r w:rsidRPr="008F7661">
        <w:rPr>
          <w:lang w:val="pt-PT"/>
        </w:rPr>
        <w:t>1</w:t>
      </w:r>
      <w:r>
        <w:rPr>
          <w:lang w:val="pt-PT"/>
        </w:rPr>
        <w:tab/>
      </w:r>
      <w:bookmarkEnd w:id="22"/>
      <w:bookmarkEnd w:id="23"/>
      <w:bookmarkEnd w:id="24"/>
      <w:r>
        <w:rPr>
          <w:lang w:val="pt-PT"/>
        </w:rPr>
        <w:t>Introdução</w:t>
      </w:r>
      <w:bookmarkEnd w:id="25"/>
    </w:p>
    <w:p w14:paraId="75E3775E" w14:textId="77777777" w:rsidR="0076097D" w:rsidRDefault="0076097D" w:rsidP="00142A4D">
      <w:pPr>
        <w:jc w:val="both"/>
        <w:rPr>
          <w:rStyle w:val="tlid-translation"/>
          <w:rFonts w:cs="Tahoma"/>
          <w:lang w:val="pt-PT"/>
        </w:rPr>
      </w:pPr>
      <w:r w:rsidRPr="0075740B">
        <w:rPr>
          <w:rStyle w:val="tlid-translation"/>
          <w:rFonts w:cs="Tahoma"/>
          <w:lang w:val="pt-PT"/>
        </w:rPr>
        <w:t xml:space="preserve">O custo de capital é o custo de oportunidade de investir uma carteira de dívida e </w:t>
      </w:r>
      <w:r>
        <w:rPr>
          <w:rStyle w:val="tlid-translation"/>
          <w:rFonts w:cs="Tahoma"/>
          <w:lang w:val="pt-PT"/>
        </w:rPr>
        <w:t>capital próprio</w:t>
      </w:r>
      <w:r w:rsidRPr="0075740B">
        <w:rPr>
          <w:rStyle w:val="tlid-translation"/>
          <w:rFonts w:cs="Tahoma"/>
          <w:lang w:val="pt-PT"/>
        </w:rPr>
        <w:t xml:space="preserve"> </w:t>
      </w:r>
      <w:r>
        <w:rPr>
          <w:rStyle w:val="tlid-translation"/>
          <w:rFonts w:cs="Tahoma"/>
          <w:lang w:val="pt-PT"/>
        </w:rPr>
        <w:t>n</w:t>
      </w:r>
      <w:r w:rsidRPr="0075740B">
        <w:rPr>
          <w:rStyle w:val="tlid-translation"/>
          <w:rFonts w:cs="Tahoma"/>
          <w:lang w:val="pt-PT"/>
        </w:rPr>
        <w:t xml:space="preserve">uma atividade versus atividades alternativas. Assim, o custo de capital é o custo de financiamento das atividades de uma empresa e é normalmente utilizado em procedimentos regulatórios para estimar o retorno esperado </w:t>
      </w:r>
      <w:r>
        <w:rPr>
          <w:rStyle w:val="tlid-translation"/>
          <w:rFonts w:cs="Tahoma"/>
          <w:lang w:val="pt-PT"/>
        </w:rPr>
        <w:t>n</w:t>
      </w:r>
      <w:r w:rsidRPr="0075740B">
        <w:rPr>
          <w:rStyle w:val="tlid-translation"/>
          <w:rFonts w:cs="Tahoma"/>
          <w:lang w:val="pt-PT"/>
        </w:rPr>
        <w:t xml:space="preserve">um mercado de capitais </w:t>
      </w:r>
      <w:r>
        <w:rPr>
          <w:rStyle w:val="tlid-translation"/>
          <w:rFonts w:cs="Tahoma"/>
          <w:lang w:val="pt-PT"/>
        </w:rPr>
        <w:t>com adequado</w:t>
      </w:r>
      <w:r w:rsidRPr="0075740B">
        <w:rPr>
          <w:rStyle w:val="tlid-translation"/>
          <w:rFonts w:cs="Tahoma"/>
          <w:lang w:val="pt-PT"/>
        </w:rPr>
        <w:t xml:space="preserve"> funcionamento. </w:t>
      </w:r>
      <w:r w:rsidRPr="00830E58">
        <w:rPr>
          <w:rStyle w:val="tlid-translation"/>
          <w:rFonts w:cs="Tahoma"/>
          <w:lang w:val="pt-PT"/>
        </w:rPr>
        <w:t xml:space="preserve">O </w:t>
      </w:r>
      <w:r>
        <w:rPr>
          <w:rStyle w:val="tlid-translation"/>
          <w:rFonts w:cs="Tahoma"/>
          <w:lang w:val="pt-PT"/>
        </w:rPr>
        <w:t>custo de capital</w:t>
      </w:r>
      <w:r w:rsidRPr="00830E58">
        <w:rPr>
          <w:rStyle w:val="tlid-translation"/>
          <w:rFonts w:cs="Tahoma"/>
          <w:lang w:val="pt-PT"/>
        </w:rPr>
        <w:t xml:space="preserve"> desempenha um papel importante na definição de preços regulados orientados para os custos porque determina a taxa de retorno razoável sobre o capital </w:t>
      </w:r>
      <w:r>
        <w:rPr>
          <w:rStyle w:val="tlid-translation"/>
          <w:rFonts w:cs="Tahoma"/>
          <w:lang w:val="pt-PT"/>
        </w:rPr>
        <w:t>investido</w:t>
      </w:r>
      <w:r w:rsidRPr="00830E58">
        <w:rPr>
          <w:rStyle w:val="tlid-translation"/>
          <w:rFonts w:cs="Tahoma"/>
          <w:lang w:val="pt-PT"/>
        </w:rPr>
        <w:t xml:space="preserve">. Os preços regulados devem fornecer à empresa </w:t>
      </w:r>
      <w:r>
        <w:rPr>
          <w:rStyle w:val="tlid-translation"/>
          <w:rFonts w:cs="Tahoma"/>
          <w:lang w:val="pt-PT"/>
        </w:rPr>
        <w:t>(</w:t>
      </w:r>
      <w:r w:rsidRPr="00830E58">
        <w:rPr>
          <w:rStyle w:val="tlid-translation"/>
          <w:rFonts w:cs="Tahoma"/>
          <w:lang w:val="pt-PT"/>
        </w:rPr>
        <w:t>regulada</w:t>
      </w:r>
      <w:r>
        <w:rPr>
          <w:rStyle w:val="tlid-translation"/>
          <w:rFonts w:cs="Tahoma"/>
          <w:lang w:val="pt-PT"/>
        </w:rPr>
        <w:t>)</w:t>
      </w:r>
      <w:r w:rsidRPr="00830E58">
        <w:rPr>
          <w:rStyle w:val="tlid-translation"/>
          <w:rFonts w:cs="Tahoma"/>
          <w:lang w:val="pt-PT"/>
        </w:rPr>
        <w:t xml:space="preserve"> a oportunidade de financiar investimentos (eficientes) e fornecer aos </w:t>
      </w:r>
      <w:r>
        <w:rPr>
          <w:rStyle w:val="tlid-translation"/>
          <w:rFonts w:cs="Tahoma"/>
          <w:lang w:val="pt-PT"/>
        </w:rPr>
        <w:t>clientes</w:t>
      </w:r>
      <w:r w:rsidRPr="00830E58">
        <w:rPr>
          <w:rStyle w:val="tlid-translation"/>
          <w:rFonts w:cs="Tahoma"/>
          <w:lang w:val="pt-PT"/>
        </w:rPr>
        <w:t xml:space="preserve"> de acesso sinais de preço eficientes do tipo “construir v</w:t>
      </w:r>
      <w:r>
        <w:rPr>
          <w:rStyle w:val="tlid-translation"/>
          <w:rFonts w:cs="Tahoma"/>
          <w:lang w:val="pt-PT"/>
        </w:rPr>
        <w:t>s.</w:t>
      </w:r>
      <w:r w:rsidRPr="00830E58">
        <w:rPr>
          <w:rStyle w:val="tlid-translation"/>
          <w:rFonts w:cs="Tahoma"/>
          <w:lang w:val="pt-PT"/>
        </w:rPr>
        <w:t xml:space="preserve"> </w:t>
      </w:r>
      <w:r>
        <w:rPr>
          <w:rStyle w:val="tlid-translation"/>
          <w:rFonts w:cs="Tahoma"/>
          <w:lang w:val="pt-PT"/>
        </w:rPr>
        <w:t>alugar</w:t>
      </w:r>
      <w:r w:rsidRPr="00830E58">
        <w:rPr>
          <w:rStyle w:val="tlid-translation"/>
          <w:rFonts w:cs="Tahoma"/>
          <w:lang w:val="pt-PT"/>
        </w:rPr>
        <w:t xml:space="preserve">”. Um aumento (diminuição) </w:t>
      </w:r>
      <w:r>
        <w:rPr>
          <w:rStyle w:val="tlid-translation"/>
          <w:rFonts w:cs="Tahoma"/>
          <w:lang w:val="pt-PT"/>
        </w:rPr>
        <w:t>d</w:t>
      </w:r>
      <w:r w:rsidRPr="00830E58">
        <w:rPr>
          <w:rStyle w:val="tlid-translation"/>
          <w:rFonts w:cs="Tahoma"/>
          <w:lang w:val="pt-PT"/>
        </w:rPr>
        <w:t xml:space="preserve">o </w:t>
      </w:r>
      <w:r>
        <w:rPr>
          <w:rStyle w:val="tlid-translation"/>
          <w:rFonts w:cs="Tahoma"/>
          <w:lang w:val="pt-PT"/>
        </w:rPr>
        <w:t xml:space="preserve">custo do capital, </w:t>
      </w:r>
      <w:r w:rsidRPr="00830E58">
        <w:rPr>
          <w:rStyle w:val="tlid-translation"/>
          <w:rFonts w:cs="Tahoma"/>
          <w:lang w:val="pt-PT"/>
        </w:rPr>
        <w:t xml:space="preserve">mantendo-se </w:t>
      </w:r>
      <w:r>
        <w:rPr>
          <w:rStyle w:val="tlid-translation"/>
          <w:rFonts w:cs="Tahoma"/>
          <w:lang w:val="pt-PT"/>
        </w:rPr>
        <w:t xml:space="preserve">tudo o resto </w:t>
      </w:r>
      <w:r w:rsidRPr="00830E58">
        <w:rPr>
          <w:rStyle w:val="tlid-translation"/>
          <w:rFonts w:cs="Tahoma"/>
          <w:lang w:val="pt-PT"/>
        </w:rPr>
        <w:t xml:space="preserve">igual, irá diminuir (aumentar) os preços </w:t>
      </w:r>
      <w:r>
        <w:rPr>
          <w:rStyle w:val="tlid-translation"/>
          <w:rFonts w:cs="Tahoma"/>
          <w:lang w:val="pt-PT"/>
        </w:rPr>
        <w:t>regul</w:t>
      </w:r>
      <w:r w:rsidRPr="00830E58">
        <w:rPr>
          <w:rStyle w:val="tlid-translation"/>
          <w:rFonts w:cs="Tahoma"/>
          <w:lang w:val="pt-PT"/>
        </w:rPr>
        <w:t xml:space="preserve">ados. Mesmo pequenas alterações no </w:t>
      </w:r>
      <w:r>
        <w:rPr>
          <w:rStyle w:val="tlid-translation"/>
          <w:rFonts w:cs="Tahoma"/>
          <w:lang w:val="pt-PT"/>
        </w:rPr>
        <w:t>custo de capital</w:t>
      </w:r>
      <w:r w:rsidRPr="00830E58">
        <w:rPr>
          <w:rStyle w:val="tlid-translation"/>
          <w:rFonts w:cs="Tahoma"/>
          <w:lang w:val="pt-PT"/>
        </w:rPr>
        <w:t xml:space="preserve"> podem influenciar significativamente os preços </w:t>
      </w:r>
      <w:r>
        <w:rPr>
          <w:rStyle w:val="tlid-translation"/>
          <w:rFonts w:cs="Tahoma"/>
          <w:lang w:val="pt-PT"/>
        </w:rPr>
        <w:t>regul</w:t>
      </w:r>
      <w:r w:rsidRPr="00830E58">
        <w:rPr>
          <w:rStyle w:val="tlid-translation"/>
          <w:rFonts w:cs="Tahoma"/>
          <w:lang w:val="pt-PT"/>
        </w:rPr>
        <w:t xml:space="preserve">ados, visto que o setor de telecomunicações é muito </w:t>
      </w:r>
      <w:r>
        <w:rPr>
          <w:rStyle w:val="tlid-translation"/>
          <w:rFonts w:cs="Tahoma"/>
          <w:lang w:val="pt-PT"/>
        </w:rPr>
        <w:t xml:space="preserve">capital </w:t>
      </w:r>
      <w:r w:rsidRPr="00830E58">
        <w:rPr>
          <w:rStyle w:val="tlid-translation"/>
          <w:rFonts w:cs="Tahoma"/>
          <w:lang w:val="pt-PT"/>
        </w:rPr>
        <w:t>intensivo</w:t>
      </w:r>
      <w:r>
        <w:rPr>
          <w:rStyle w:val="tlid-translation"/>
          <w:rFonts w:cs="Tahoma"/>
          <w:lang w:val="pt-PT"/>
        </w:rPr>
        <w:t xml:space="preserve">. </w:t>
      </w:r>
    </w:p>
    <w:p w14:paraId="3267485C" w14:textId="77777777" w:rsidR="0076097D" w:rsidRPr="00BB6492" w:rsidRDefault="0076097D" w:rsidP="00142A4D">
      <w:pPr>
        <w:jc w:val="both"/>
        <w:rPr>
          <w:rFonts w:cs="Tahoma"/>
          <w:lang w:val="pt-PT"/>
        </w:rPr>
      </w:pPr>
      <w:r>
        <w:rPr>
          <w:rStyle w:val="tlid-translation"/>
          <w:rFonts w:cs="Tahoma"/>
          <w:lang w:val="pt-PT"/>
        </w:rPr>
        <w:t xml:space="preserve">Também </w:t>
      </w:r>
      <w:r>
        <w:rPr>
          <w:rFonts w:cs="Tahoma"/>
          <w:lang w:val="pt-PT"/>
        </w:rPr>
        <w:t>n</w:t>
      </w:r>
      <w:r w:rsidRPr="00BB6492">
        <w:rPr>
          <w:rFonts w:cs="Tahoma"/>
          <w:lang w:val="pt-PT"/>
        </w:rPr>
        <w:t xml:space="preserve">os modelos económicos </w:t>
      </w:r>
      <w:r w:rsidRPr="00BB6492">
        <w:rPr>
          <w:rStyle w:val="tlid-translation"/>
          <w:rFonts w:cs="Tahoma"/>
          <w:lang w:val="pt-PT"/>
        </w:rPr>
        <w:t xml:space="preserve">desenvolvidos </w:t>
      </w:r>
      <w:r w:rsidRPr="00BB6492">
        <w:rPr>
          <w:rFonts w:cs="Tahoma"/>
          <w:lang w:val="pt-PT"/>
        </w:rPr>
        <w:t xml:space="preserve">para calcular os custos </w:t>
      </w:r>
      <w:r w:rsidRPr="00BB6492">
        <w:rPr>
          <w:rStyle w:val="tlid-translation"/>
          <w:rFonts w:cs="Tahoma"/>
          <w:lang w:val="pt-PT"/>
        </w:rPr>
        <w:t xml:space="preserve">médios incrementais </w:t>
      </w:r>
      <w:r w:rsidRPr="00BB6492">
        <w:rPr>
          <w:rFonts w:cs="Tahoma"/>
          <w:lang w:val="pt-PT"/>
        </w:rPr>
        <w:t xml:space="preserve">a </w:t>
      </w:r>
      <w:r w:rsidRPr="00BB6492">
        <w:rPr>
          <w:rStyle w:val="tlid-translation"/>
          <w:rFonts w:cs="Tahoma"/>
          <w:lang w:val="pt-PT"/>
        </w:rPr>
        <w:t xml:space="preserve">longo prazo </w:t>
      </w:r>
      <w:r>
        <w:rPr>
          <w:rStyle w:val="tlid-translation"/>
          <w:rFonts w:cs="Tahoma"/>
          <w:lang w:val="pt-PT"/>
        </w:rPr>
        <w:t>se utiliza o</w:t>
      </w:r>
      <w:r w:rsidRPr="00BB6492">
        <w:rPr>
          <w:rStyle w:val="tlid-translation"/>
          <w:rFonts w:cs="Tahoma"/>
          <w:lang w:val="pt-PT"/>
        </w:rPr>
        <w:t xml:space="preserve"> </w:t>
      </w:r>
      <w:r>
        <w:rPr>
          <w:rStyle w:val="tlid-translation"/>
          <w:rFonts w:cs="Tahoma"/>
          <w:lang w:val="pt-PT"/>
        </w:rPr>
        <w:t xml:space="preserve">custo do capital, mais precisamente o </w:t>
      </w:r>
      <w:r w:rsidRPr="00BB6492">
        <w:rPr>
          <w:rStyle w:val="tlid-translation"/>
          <w:rFonts w:cs="Tahoma"/>
          <w:lang w:val="pt-PT"/>
        </w:rPr>
        <w:t>custo médio ponderado do capital (CMPC).</w:t>
      </w:r>
      <w:r>
        <w:rPr>
          <w:rFonts w:cs="Tahoma"/>
          <w:lang w:val="pt-PT"/>
        </w:rPr>
        <w:t xml:space="preserve"> </w:t>
      </w:r>
      <w:r w:rsidRPr="00BB6492">
        <w:rPr>
          <w:rStyle w:val="tlid-translation"/>
          <w:rFonts w:cs="Tahoma"/>
          <w:lang w:val="pt-PT"/>
        </w:rPr>
        <w:t>Representa o retorno mínimo do capital investido que um operador de telecomunicações procuraria obter nas suas atividades de prestação de serviços. Para determinar um valor adequado para o CMPC, o</w:t>
      </w:r>
      <w:r w:rsidRPr="00BB6492">
        <w:rPr>
          <w:rFonts w:cs="Tahoma"/>
          <w:lang w:val="pt-PT"/>
        </w:rPr>
        <w:t xml:space="preserve"> </w:t>
      </w:r>
      <w:r w:rsidRPr="00BB6492">
        <w:rPr>
          <w:rStyle w:val="tlid-translation"/>
          <w:rFonts w:cs="Tahoma"/>
          <w:lang w:val="pt-PT"/>
        </w:rPr>
        <w:t>regulador</w:t>
      </w:r>
      <w:r w:rsidRPr="00BB6492">
        <w:rPr>
          <w:rFonts w:cs="Tahoma"/>
          <w:lang w:val="pt-PT"/>
        </w:rPr>
        <w:t xml:space="preserve"> deve considerar o risco inerente ao investimento numa empresa</w:t>
      </w:r>
      <w:r w:rsidRPr="00BB6492">
        <w:rPr>
          <w:rStyle w:val="tlid-translation"/>
          <w:rFonts w:cs="Tahoma"/>
          <w:lang w:val="pt-PT"/>
        </w:rPr>
        <w:t xml:space="preserve"> de telecomunicações num ambiente competitivo.</w:t>
      </w:r>
    </w:p>
    <w:p w14:paraId="3F4FCAF6" w14:textId="77777777" w:rsidR="0076097D" w:rsidRPr="00BB6492" w:rsidRDefault="0076097D" w:rsidP="00142A4D">
      <w:pPr>
        <w:jc w:val="both"/>
        <w:rPr>
          <w:rStyle w:val="tlid-translation"/>
          <w:rFonts w:cs="Tahoma"/>
          <w:lang w:val="pt-PT"/>
        </w:rPr>
      </w:pPr>
      <w:r w:rsidRPr="00BB6492">
        <w:rPr>
          <w:rStyle w:val="tlid-translation"/>
          <w:rFonts w:cs="Tahoma"/>
          <w:lang w:val="pt-PT"/>
        </w:rPr>
        <w:t>Ao estabelecer um valor para o CMPC para o cálculo dos custos de interconexão, é igualmente importante que o valor reflita uma rendibilidade justa e ajustada do risco do capital utilizado pelo operador, mas não permita a este último a definição de preços monopolistas</w:t>
      </w:r>
      <w:r w:rsidRPr="00BB6492">
        <w:rPr>
          <w:rFonts w:cs="Tahoma"/>
          <w:lang w:val="pt-PT"/>
        </w:rPr>
        <w:t xml:space="preserve"> </w:t>
      </w:r>
      <w:r w:rsidRPr="00BB6492">
        <w:rPr>
          <w:rStyle w:val="tlid-translation"/>
          <w:rFonts w:cs="Tahoma"/>
          <w:lang w:val="pt-PT"/>
        </w:rPr>
        <w:t>para terminar o tráfego na sua própria rede. Assim, um valor adequado da CMPC cria</w:t>
      </w:r>
      <w:r w:rsidRPr="00BB6492">
        <w:rPr>
          <w:rFonts w:cs="Tahoma"/>
          <w:lang w:val="pt-PT"/>
        </w:rPr>
        <w:t xml:space="preserve"> </w:t>
      </w:r>
      <w:r w:rsidRPr="00BB6492">
        <w:rPr>
          <w:rStyle w:val="tlid-translation"/>
          <w:rFonts w:cs="Tahoma"/>
          <w:lang w:val="pt-PT"/>
        </w:rPr>
        <w:t>um equílibrio</w:t>
      </w:r>
      <w:r w:rsidRPr="00BB6492">
        <w:rPr>
          <w:rFonts w:cs="Tahoma"/>
          <w:lang w:val="pt-PT"/>
        </w:rPr>
        <w:t xml:space="preserve"> que permite que um operador continue a cumprir os seus</w:t>
      </w:r>
      <w:r w:rsidRPr="00BB6492">
        <w:rPr>
          <w:rStyle w:val="tlid-translation"/>
          <w:rFonts w:cs="Tahoma"/>
          <w:lang w:val="pt-PT"/>
        </w:rPr>
        <w:t xml:space="preserve"> pagamentos de juros, impostos e dividendos, continuando a atrair investimento para os seus serviços de rede.</w:t>
      </w:r>
      <w:r>
        <w:rPr>
          <w:rStyle w:val="tlid-translation"/>
          <w:rFonts w:cs="Tahoma"/>
          <w:lang w:val="pt-PT"/>
        </w:rPr>
        <w:t xml:space="preserve"> </w:t>
      </w:r>
      <w:r w:rsidRPr="00273D32">
        <w:rPr>
          <w:rStyle w:val="tlid-translation"/>
          <w:rFonts w:cs="Tahoma"/>
          <w:lang w:val="pt-PT"/>
        </w:rPr>
        <w:t xml:space="preserve">A estimativa do </w:t>
      </w:r>
      <w:r w:rsidRPr="00BB6492">
        <w:rPr>
          <w:rStyle w:val="tlid-translation"/>
          <w:rFonts w:cs="Tahoma"/>
          <w:lang w:val="pt-PT"/>
        </w:rPr>
        <w:t>CMPC</w:t>
      </w:r>
      <w:r w:rsidRPr="00273D32">
        <w:rPr>
          <w:rStyle w:val="tlid-translation"/>
          <w:rFonts w:cs="Tahoma"/>
          <w:lang w:val="pt-PT"/>
        </w:rPr>
        <w:t xml:space="preserve"> é prospetiva, mesmo quando baseada em informações históricas. Como tal, estimar o </w:t>
      </w:r>
      <w:r>
        <w:rPr>
          <w:rStyle w:val="tlid-translation"/>
          <w:rFonts w:cs="Tahoma"/>
          <w:lang w:val="pt-PT"/>
        </w:rPr>
        <w:t>CMPC</w:t>
      </w:r>
      <w:r w:rsidRPr="00273D32">
        <w:rPr>
          <w:rStyle w:val="tlid-translation"/>
          <w:rFonts w:cs="Tahoma"/>
          <w:lang w:val="pt-PT"/>
        </w:rPr>
        <w:t xml:space="preserve"> requer julgamento </w:t>
      </w:r>
      <w:r>
        <w:rPr>
          <w:rStyle w:val="tlid-translation"/>
          <w:rFonts w:cs="Tahoma"/>
          <w:lang w:val="pt-PT"/>
        </w:rPr>
        <w:t>por parte do regulador</w:t>
      </w:r>
      <w:r w:rsidRPr="00273D32">
        <w:rPr>
          <w:rStyle w:val="tlid-translation"/>
          <w:rFonts w:cs="Tahoma"/>
          <w:lang w:val="pt-PT"/>
        </w:rPr>
        <w:t xml:space="preserve"> para avaliar se a evidência atual ou histórica é mais relevante </w:t>
      </w:r>
      <w:r>
        <w:rPr>
          <w:rStyle w:val="tlid-translation"/>
          <w:rFonts w:cs="Tahoma"/>
          <w:lang w:val="pt-PT"/>
        </w:rPr>
        <w:t>n</w:t>
      </w:r>
      <w:r w:rsidRPr="00273D32">
        <w:rPr>
          <w:rStyle w:val="tlid-translation"/>
          <w:rFonts w:cs="Tahoma"/>
          <w:lang w:val="pt-PT"/>
        </w:rPr>
        <w:t>uma base prospetiva.</w:t>
      </w:r>
    </w:p>
    <w:p w14:paraId="732A1B87" w14:textId="77777777" w:rsidR="0076097D" w:rsidRDefault="0076097D" w:rsidP="00142A4D">
      <w:pPr>
        <w:jc w:val="both"/>
        <w:rPr>
          <w:rFonts w:cs="Tahoma"/>
          <w:lang w:val="pt-PT"/>
        </w:rPr>
      </w:pPr>
      <w:r w:rsidRPr="00BB6492">
        <w:rPr>
          <w:rStyle w:val="tlid-translation"/>
          <w:rFonts w:cs="Tahoma"/>
          <w:lang w:val="pt-PT"/>
        </w:rPr>
        <w:t>O CMPC de uma empresa é uma média do custo da dívida e do custo de capital, ponderad</w:t>
      </w:r>
      <w:r>
        <w:rPr>
          <w:rStyle w:val="tlid-translation"/>
          <w:rFonts w:cs="Tahoma"/>
          <w:lang w:val="pt-PT"/>
        </w:rPr>
        <w:t>a</w:t>
      </w:r>
      <w:r w:rsidRPr="00BB6492">
        <w:rPr>
          <w:rStyle w:val="tlid-translation"/>
          <w:rFonts w:cs="Tahoma"/>
          <w:lang w:val="pt-PT"/>
        </w:rPr>
        <w:t xml:space="preserve"> pela estrutura de financiamento a longo prazo da empresa:</w:t>
      </w:r>
      <w:r w:rsidRPr="00BB6492">
        <w:rPr>
          <w:rFonts w:cs="Tahoma"/>
          <w:lang w:val="pt-PT"/>
        </w:rPr>
        <w:t xml:space="preserve"> </w:t>
      </w:r>
    </w:p>
    <w:p w14:paraId="316EF3EB" w14:textId="77777777" w:rsidR="0076097D" w:rsidRPr="00BB6492" w:rsidRDefault="0076097D" w:rsidP="00142A4D">
      <w:pPr>
        <w:jc w:val="both"/>
        <w:rPr>
          <w:rFonts w:cs="Tahoma"/>
          <w:lang w:val="pt-PT"/>
        </w:rPr>
      </w:pPr>
      <w:r w:rsidRPr="004A73F1">
        <w:rPr>
          <w:rFonts w:ascii="Cambria Math" w:hAnsi="Cambria Math" w:cs="Cambria Math"/>
          <w:lang w:val="pt-PT"/>
        </w:rPr>
        <w:t>𝐶𝑀𝑃𝐶</w:t>
      </w:r>
      <w:r w:rsidRPr="004A73F1">
        <w:rPr>
          <w:rFonts w:cs="Tahoma"/>
          <w:lang w:val="pt-PT"/>
        </w:rPr>
        <w:t xml:space="preserve"> = (1 − </w:t>
      </w:r>
      <w:r w:rsidRPr="004A73F1">
        <w:rPr>
          <w:rFonts w:ascii="Cambria Math" w:hAnsi="Cambria Math" w:cs="Cambria Math"/>
          <w:lang w:val="pt-PT"/>
        </w:rPr>
        <w:t>𝑔</w:t>
      </w:r>
      <w:r w:rsidRPr="004A73F1">
        <w:rPr>
          <w:rFonts w:cs="Tahoma"/>
          <w:lang w:val="pt-PT"/>
        </w:rPr>
        <w:t xml:space="preserve">) × </w:t>
      </w:r>
      <w:r>
        <w:rPr>
          <w:rFonts w:ascii="Cambria Math" w:hAnsi="Cambria Math" w:cs="Cambria Math"/>
          <w:lang w:val="pt-PT"/>
        </w:rPr>
        <w:t>Custo dos Capitais Próprios</w:t>
      </w:r>
      <w:r w:rsidRPr="004A73F1">
        <w:rPr>
          <w:rFonts w:cs="Tahoma"/>
          <w:lang w:val="pt-PT"/>
        </w:rPr>
        <w:t xml:space="preserve"> + </w:t>
      </w:r>
      <w:r w:rsidRPr="004A73F1">
        <w:rPr>
          <w:rFonts w:ascii="Cambria Math" w:hAnsi="Cambria Math" w:cs="Cambria Math"/>
          <w:lang w:val="pt-PT"/>
        </w:rPr>
        <w:t>𝑔</w:t>
      </w:r>
      <w:r w:rsidRPr="004A73F1">
        <w:rPr>
          <w:rFonts w:cs="Tahoma"/>
          <w:lang w:val="pt-PT"/>
        </w:rPr>
        <w:t xml:space="preserve"> × </w:t>
      </w:r>
      <w:r>
        <w:rPr>
          <w:rFonts w:ascii="Cambria Math" w:hAnsi="Cambria Math" w:cs="Cambria Math"/>
          <w:lang w:val="pt-PT"/>
        </w:rPr>
        <w:t>Custo da Dívida</w:t>
      </w:r>
    </w:p>
    <w:p w14:paraId="08904B2D" w14:textId="77777777" w:rsidR="0076097D" w:rsidRDefault="0076097D" w:rsidP="00142A4D">
      <w:pPr>
        <w:jc w:val="both"/>
        <w:rPr>
          <w:rFonts w:cs="Tahoma"/>
          <w:lang w:val="pt-PT"/>
        </w:rPr>
      </w:pPr>
      <w:r w:rsidRPr="00BB6492">
        <w:rPr>
          <w:rFonts w:cs="Tahoma"/>
          <w:lang w:val="pt-PT"/>
        </w:rPr>
        <w:t>Onde</w:t>
      </w:r>
      <w:r>
        <w:rPr>
          <w:rFonts w:cs="Tahoma"/>
          <w:lang w:val="pt-PT"/>
        </w:rPr>
        <w:t xml:space="preserve"> o parâmetro g (“gearing” na terminologia inglesa) corresponde á</w:t>
      </w:r>
      <w:r w:rsidRPr="00BB6492">
        <w:rPr>
          <w:rFonts w:cs="Tahoma"/>
          <w:lang w:val="pt-PT"/>
        </w:rPr>
        <w:t xml:space="preserve"> "alavancagem" </w:t>
      </w:r>
      <w:r>
        <w:rPr>
          <w:rFonts w:cs="Tahoma"/>
          <w:lang w:val="pt-PT"/>
        </w:rPr>
        <w:t xml:space="preserve">isto </w:t>
      </w:r>
      <w:r w:rsidRPr="00BB6492">
        <w:rPr>
          <w:rFonts w:cs="Tahoma"/>
          <w:lang w:val="pt-PT"/>
        </w:rPr>
        <w:t>é</w:t>
      </w:r>
      <w:r>
        <w:rPr>
          <w:rFonts w:cs="Tahoma"/>
          <w:lang w:val="pt-PT"/>
        </w:rPr>
        <w:t>,</w:t>
      </w:r>
      <w:r w:rsidRPr="00BB6492">
        <w:rPr>
          <w:rFonts w:cs="Tahoma"/>
          <w:lang w:val="pt-PT"/>
        </w:rPr>
        <w:t xml:space="preserve"> o rácio entre o valor da dívida e o capital total (dívida mais capital próprio) utilizado</w:t>
      </w:r>
      <w:r>
        <w:rPr>
          <w:rFonts w:cs="Tahoma"/>
          <w:lang w:val="pt-PT"/>
        </w:rPr>
        <w:t xml:space="preserve"> que pode ser calculado utilizando a expressão: </w:t>
      </w:r>
      <w:r w:rsidRPr="004A73F1">
        <w:rPr>
          <w:rFonts w:ascii="Cambria Math" w:hAnsi="Cambria Math" w:cs="Cambria Math"/>
        </w:rPr>
        <w:t>𝑔</w:t>
      </w:r>
      <w:r w:rsidRPr="004A73F1">
        <w:rPr>
          <w:rFonts w:cs="Tahoma"/>
          <w:lang w:val="pt-PT"/>
        </w:rPr>
        <w:t xml:space="preserve"> = </w:t>
      </w:r>
      <w:r w:rsidRPr="004A73F1">
        <w:rPr>
          <w:rFonts w:ascii="Cambria Math" w:hAnsi="Cambria Math" w:cs="Cambria Math"/>
        </w:rPr>
        <w:t>𝐷</w:t>
      </w:r>
      <w:r w:rsidRPr="004A73F1">
        <w:rPr>
          <w:rFonts w:cs="Tahoma"/>
          <w:lang w:val="pt-PT"/>
        </w:rPr>
        <w:t>/(</w:t>
      </w:r>
      <w:r w:rsidRPr="004A73F1">
        <w:rPr>
          <w:rFonts w:ascii="Cambria Math" w:hAnsi="Cambria Math" w:cs="Cambria Math"/>
        </w:rPr>
        <w:t>𝐷</w:t>
      </w:r>
      <w:r w:rsidRPr="004A73F1">
        <w:rPr>
          <w:rFonts w:cs="Tahoma"/>
          <w:lang w:val="pt-PT"/>
        </w:rPr>
        <w:t>+</w:t>
      </w:r>
      <w:r w:rsidRPr="004A73F1">
        <w:rPr>
          <w:rFonts w:ascii="Cambria Math" w:hAnsi="Cambria Math" w:cs="Cambria Math"/>
        </w:rPr>
        <w:t>𝐸</w:t>
      </w:r>
      <w:r w:rsidRPr="004A73F1">
        <w:rPr>
          <w:rFonts w:ascii="Cambria Math" w:hAnsi="Cambria Math" w:cs="Cambria Math"/>
          <w:lang w:val="pt-PT"/>
        </w:rPr>
        <w:t>)</w:t>
      </w:r>
      <w:r>
        <w:rPr>
          <w:rFonts w:cs="Tahoma"/>
          <w:lang w:val="pt-PT"/>
        </w:rPr>
        <w:t>, em que D é o valor de mercado da Dívida e E o valor de mercado do Capital Próprio. Portanto a determinação do CMPC requer o cálculo de dois parâmetros:</w:t>
      </w:r>
    </w:p>
    <w:p w14:paraId="22A0B7CB" w14:textId="77777777" w:rsidR="0076097D" w:rsidRDefault="0076097D" w:rsidP="008B6165">
      <w:pPr>
        <w:pStyle w:val="ListParagraph"/>
        <w:numPr>
          <w:ilvl w:val="0"/>
          <w:numId w:val="15"/>
        </w:numPr>
        <w:rPr>
          <w:rFonts w:cs="Tahoma"/>
          <w:lang w:val="pt-PT"/>
        </w:rPr>
      </w:pPr>
      <w:r w:rsidRPr="004A73F1">
        <w:rPr>
          <w:rFonts w:cs="Tahoma"/>
          <w:lang w:val="pt-PT"/>
        </w:rPr>
        <w:lastRenderedPageBreak/>
        <w:t>o custo do capital próprio, correspondente à taxa de retorno solicitada pelos acionistas,</w:t>
      </w:r>
      <w:r>
        <w:rPr>
          <w:rFonts w:cs="Tahoma"/>
          <w:lang w:val="pt-PT"/>
        </w:rPr>
        <w:t xml:space="preserve"> </w:t>
      </w:r>
      <w:r w:rsidRPr="004A73F1">
        <w:rPr>
          <w:rFonts w:cs="Tahoma"/>
          <w:lang w:val="pt-PT"/>
        </w:rPr>
        <w:t>avaliado antes do imposto sobre as sociedades;</w:t>
      </w:r>
    </w:p>
    <w:p w14:paraId="0AB7B44D" w14:textId="77777777" w:rsidR="0076097D" w:rsidRDefault="0076097D" w:rsidP="008B6165">
      <w:pPr>
        <w:pStyle w:val="ListParagraph"/>
        <w:numPr>
          <w:ilvl w:val="0"/>
          <w:numId w:val="15"/>
        </w:numPr>
        <w:rPr>
          <w:rFonts w:cs="Tahoma"/>
          <w:lang w:val="pt-PT"/>
        </w:rPr>
      </w:pPr>
      <w:r w:rsidRPr="004A73F1">
        <w:rPr>
          <w:rFonts w:cs="Tahoma"/>
          <w:lang w:val="pt-PT"/>
        </w:rPr>
        <w:t>o custo da dívida do operador, calculado antes do imposto sobre as sociedades.</w:t>
      </w:r>
    </w:p>
    <w:p w14:paraId="448CA160" w14:textId="77777777" w:rsidR="0076097D" w:rsidRPr="004A73F1" w:rsidRDefault="0076097D" w:rsidP="0076097D">
      <w:pPr>
        <w:rPr>
          <w:rFonts w:cs="Tahoma"/>
          <w:lang w:val="pt-PT"/>
        </w:rPr>
      </w:pPr>
      <w:r w:rsidRPr="004A73F1">
        <w:rPr>
          <w:rFonts w:cs="Tahoma"/>
          <w:lang w:val="pt-PT"/>
        </w:rPr>
        <w:t>O custo do capital próprio é calculado utilizando a seguinte expressão:</w:t>
      </w:r>
    </w:p>
    <w:p w14:paraId="6217AA94" w14:textId="77777777" w:rsidR="0076097D" w:rsidRPr="004A73F1" w:rsidRDefault="0076097D" w:rsidP="0076097D">
      <w:pPr>
        <w:jc w:val="center"/>
        <w:rPr>
          <w:rFonts w:cs="Tahoma"/>
          <w:vertAlign w:val="subscript"/>
          <w:lang w:val="pt-PT"/>
        </w:rPr>
      </w:pPr>
      <w:r w:rsidRPr="004A73F1">
        <w:rPr>
          <w:rFonts w:cs="Tahoma"/>
          <w:lang w:val="pt-PT"/>
        </w:rPr>
        <w:t xml:space="preserve">Custo Capital Próprio </w:t>
      </w:r>
      <w:bookmarkStart w:id="26" w:name="_Hlk66265024"/>
      <w:r w:rsidRPr="004A73F1">
        <w:rPr>
          <w:rFonts w:cs="Tahoma"/>
          <w:lang w:val="pt-PT"/>
        </w:rPr>
        <w:t>= r</w:t>
      </w:r>
      <w:bookmarkEnd w:id="26"/>
      <w:r w:rsidRPr="004A73F1">
        <w:rPr>
          <w:rFonts w:cs="Tahoma"/>
          <w:vertAlign w:val="subscript"/>
          <w:lang w:val="pt-PT"/>
        </w:rPr>
        <w:t>f</w:t>
      </w:r>
      <w:r w:rsidRPr="004A73F1">
        <w:rPr>
          <w:rFonts w:cs="Tahoma"/>
          <w:lang w:val="pt-PT"/>
        </w:rPr>
        <w:t xml:space="preserve"> + β* p</w:t>
      </w:r>
      <w:r w:rsidRPr="004A73F1">
        <w:rPr>
          <w:rFonts w:cs="Tahoma"/>
          <w:vertAlign w:val="subscript"/>
          <w:lang w:val="pt-PT"/>
        </w:rPr>
        <w:t>e</w:t>
      </w:r>
    </w:p>
    <w:p w14:paraId="40F7CD47" w14:textId="77777777" w:rsidR="0076097D" w:rsidRDefault="0076097D" w:rsidP="0076097D">
      <w:pPr>
        <w:rPr>
          <w:rFonts w:cs="Tahoma"/>
          <w:lang w:val="pt-PT"/>
        </w:rPr>
      </w:pPr>
      <w:r>
        <w:rPr>
          <w:rFonts w:cs="Tahoma"/>
          <w:lang w:val="pt-PT"/>
        </w:rPr>
        <w:t>em que:</w:t>
      </w:r>
    </w:p>
    <w:p w14:paraId="7D8AEAA4" w14:textId="77777777" w:rsidR="0076097D" w:rsidRDefault="0076097D" w:rsidP="008B6165">
      <w:pPr>
        <w:pStyle w:val="ListParagraph"/>
        <w:numPr>
          <w:ilvl w:val="0"/>
          <w:numId w:val="16"/>
        </w:numPr>
        <w:rPr>
          <w:rFonts w:cs="Tahoma"/>
          <w:lang w:val="pt-PT"/>
        </w:rPr>
      </w:pPr>
      <w:r w:rsidRPr="00FB0240">
        <w:rPr>
          <w:rFonts w:cs="Tahoma"/>
          <w:lang w:val="pt-PT"/>
        </w:rPr>
        <w:t xml:space="preserve">O fator </w:t>
      </w:r>
      <m:oMath>
        <m:sSub>
          <m:sSubPr>
            <m:ctrlPr>
              <w:rPr>
                <w:rFonts w:ascii="Cambria Math" w:hAnsi="Cambria Math" w:cs="Tahoma"/>
              </w:rPr>
            </m:ctrlPr>
          </m:sSubPr>
          <m:e>
            <m:r>
              <w:rPr>
                <w:rFonts w:ascii="Cambria Math" w:hAnsi="Cambria Math" w:cs="Tahoma"/>
              </w:rPr>
              <m:t>r</m:t>
            </m:r>
          </m:e>
          <m:sub>
            <m:r>
              <w:rPr>
                <w:rFonts w:ascii="Cambria Math" w:hAnsi="Cambria Math" w:cs="Tahoma"/>
              </w:rPr>
              <m:t>f</m:t>
            </m:r>
          </m:sub>
        </m:sSub>
      </m:oMath>
      <w:r w:rsidRPr="00FB0240">
        <w:rPr>
          <w:rFonts w:cs="Tahoma"/>
          <w:lang w:val="pt-PT"/>
        </w:rPr>
        <w:t xml:space="preserve">  refere-se à taxa sem risco, que corresponde à remuneração exigida por um credor para um investimento que não representaria</w:t>
      </w:r>
      <w:r>
        <w:rPr>
          <w:rFonts w:cs="Tahoma"/>
          <w:lang w:val="pt-PT"/>
        </w:rPr>
        <w:t xml:space="preserve">, teoricamente, </w:t>
      </w:r>
      <w:r w:rsidRPr="00FB0240">
        <w:rPr>
          <w:rFonts w:cs="Tahoma"/>
          <w:lang w:val="pt-PT"/>
        </w:rPr>
        <w:t xml:space="preserve">qualquer risco. </w:t>
      </w:r>
    </w:p>
    <w:p w14:paraId="55588B37" w14:textId="77777777" w:rsidR="0076097D" w:rsidRDefault="0076097D" w:rsidP="008B6165">
      <w:pPr>
        <w:pStyle w:val="ListParagraph"/>
        <w:numPr>
          <w:ilvl w:val="0"/>
          <w:numId w:val="16"/>
        </w:numPr>
        <w:rPr>
          <w:rFonts w:cs="Tahoma"/>
          <w:lang w:val="pt-PT"/>
        </w:rPr>
      </w:pPr>
      <w:r w:rsidRPr="00FB0240">
        <w:rPr>
          <w:rFonts w:cs="Tahoma"/>
          <w:lang w:val="pt-PT"/>
        </w:rPr>
        <w:t xml:space="preserve">O coeficiente β reflete o risco sistemático de um determinado sector de atividade relativamente ao risco de mercado, ou, dito de outro modo, reflete a volatilidade da remuneração proporcionada pela empresa, face à remuneração do mercado no seu conjunto, assumindo que a empresa é totalmente financiada por capitais próprios. </w:t>
      </w:r>
    </w:p>
    <w:p w14:paraId="40E19DB7" w14:textId="77777777" w:rsidR="0076097D" w:rsidRPr="00FB0240" w:rsidRDefault="0076097D" w:rsidP="00142A4D">
      <w:pPr>
        <w:pStyle w:val="ListParagraph"/>
        <w:numPr>
          <w:ilvl w:val="0"/>
          <w:numId w:val="16"/>
        </w:numPr>
        <w:jc w:val="both"/>
        <w:rPr>
          <w:rFonts w:cs="Tahoma"/>
          <w:lang w:val="pt-PT"/>
        </w:rPr>
      </w:pPr>
      <w:r w:rsidRPr="00FB0240">
        <w:rPr>
          <w:rFonts w:cs="Tahoma"/>
          <w:lang w:val="pt-PT"/>
        </w:rPr>
        <w:t>O prémio de risco de mercado, p</w:t>
      </w:r>
      <w:r w:rsidRPr="00FB0240">
        <w:rPr>
          <w:rFonts w:cs="Tahoma"/>
          <w:vertAlign w:val="subscript"/>
          <w:lang w:val="pt-PT"/>
        </w:rPr>
        <w:t>e</w:t>
      </w:r>
      <w:r w:rsidRPr="00FB0240">
        <w:rPr>
          <w:rFonts w:cs="Tahoma"/>
          <w:lang w:val="pt-PT"/>
        </w:rPr>
        <w:t>, corresponde à diferença entre a taxa de rendimento proporcionada pelo mercado e a que é proporcionada pelos investimentos sem risco. Corresponde, basicamente, a uma previsão dos rendimentos que os investidores irão exigir no futuro para aplicarem o seu capital no mercado acionista.</w:t>
      </w:r>
    </w:p>
    <w:p w14:paraId="2A6C3C11" w14:textId="77777777" w:rsidR="0076097D" w:rsidRDefault="0076097D" w:rsidP="0076097D">
      <w:pPr>
        <w:rPr>
          <w:rFonts w:cs="Tahoma"/>
          <w:lang w:val="pt-PT"/>
        </w:rPr>
      </w:pPr>
      <w:r w:rsidRPr="004A73F1">
        <w:rPr>
          <w:rFonts w:cs="Tahoma"/>
          <w:lang w:val="pt-PT"/>
        </w:rPr>
        <w:t xml:space="preserve">O custo </w:t>
      </w:r>
      <w:r>
        <w:rPr>
          <w:rFonts w:cs="Tahoma"/>
          <w:lang w:val="pt-PT"/>
        </w:rPr>
        <w:t>da dívida</w:t>
      </w:r>
      <w:r w:rsidRPr="004A73F1">
        <w:rPr>
          <w:rFonts w:cs="Tahoma"/>
          <w:lang w:val="pt-PT"/>
        </w:rPr>
        <w:t xml:space="preserve"> é calculado utilizando a seguinte expressão</w:t>
      </w:r>
      <w:r>
        <w:rPr>
          <w:rFonts w:cs="Tahoma"/>
          <w:lang w:val="pt-PT"/>
        </w:rPr>
        <w:t>:</w:t>
      </w:r>
    </w:p>
    <w:p w14:paraId="15490FB3" w14:textId="77777777" w:rsidR="0076097D" w:rsidRDefault="0076097D" w:rsidP="0076097D">
      <w:pPr>
        <w:jc w:val="center"/>
        <w:rPr>
          <w:rFonts w:cs="Tahoma"/>
          <w:lang w:val="pt-PT"/>
        </w:rPr>
      </w:pPr>
      <w:r w:rsidRPr="00FB0240">
        <w:rPr>
          <w:rFonts w:cs="Tahoma"/>
          <w:lang w:val="pt-PT"/>
        </w:rPr>
        <w:t>Custo da Dívida = r</w:t>
      </w:r>
      <w:r w:rsidRPr="00FB0240">
        <w:rPr>
          <w:rFonts w:cs="Tahoma"/>
          <w:vertAlign w:val="subscript"/>
          <w:lang w:val="pt-PT"/>
        </w:rPr>
        <w:t>f</w:t>
      </w:r>
      <w:r w:rsidRPr="00FB0240">
        <w:rPr>
          <w:rFonts w:cs="Tahoma"/>
          <w:lang w:val="pt-PT"/>
        </w:rPr>
        <w:t xml:space="preserve"> + Prémio de Dívida</w:t>
      </w:r>
    </w:p>
    <w:p w14:paraId="2EEC105C" w14:textId="77777777" w:rsidR="0076097D" w:rsidRDefault="0076097D" w:rsidP="0076097D">
      <w:pPr>
        <w:rPr>
          <w:rStyle w:val="tlid-translation"/>
          <w:rFonts w:cs="Tahoma"/>
          <w:lang w:val="pt-PT"/>
        </w:rPr>
      </w:pPr>
      <w:r>
        <w:rPr>
          <w:rStyle w:val="tlid-translation"/>
          <w:rFonts w:cs="Tahoma"/>
          <w:lang w:val="pt-PT"/>
        </w:rPr>
        <w:t>em que:</w:t>
      </w:r>
    </w:p>
    <w:p w14:paraId="313C5418" w14:textId="77777777" w:rsidR="0076097D" w:rsidRDefault="0076097D" w:rsidP="008B6165">
      <w:pPr>
        <w:pStyle w:val="ListParagraph"/>
        <w:numPr>
          <w:ilvl w:val="0"/>
          <w:numId w:val="17"/>
        </w:numPr>
        <w:rPr>
          <w:rStyle w:val="tlid-translation"/>
          <w:rFonts w:cs="Tahoma"/>
          <w:lang w:val="pt-PT"/>
        </w:rPr>
      </w:pPr>
      <w:r w:rsidRPr="00FB0240">
        <w:rPr>
          <w:rFonts w:cs="Tahoma"/>
          <w:lang w:val="pt-PT"/>
        </w:rPr>
        <w:t xml:space="preserve">O fator </w:t>
      </w:r>
      <m:oMath>
        <m:sSub>
          <m:sSubPr>
            <m:ctrlPr>
              <w:rPr>
                <w:rFonts w:ascii="Cambria Math" w:hAnsi="Cambria Math" w:cs="Tahoma"/>
              </w:rPr>
            </m:ctrlPr>
          </m:sSubPr>
          <m:e>
            <m:r>
              <w:rPr>
                <w:rFonts w:ascii="Cambria Math" w:hAnsi="Cambria Math" w:cs="Tahoma"/>
              </w:rPr>
              <m:t>r</m:t>
            </m:r>
          </m:e>
          <m:sub>
            <m:r>
              <w:rPr>
                <w:rFonts w:ascii="Cambria Math" w:hAnsi="Cambria Math" w:cs="Tahoma"/>
              </w:rPr>
              <m:t>f</m:t>
            </m:r>
          </m:sub>
        </m:sSub>
      </m:oMath>
      <w:r w:rsidRPr="00FB0240">
        <w:rPr>
          <w:rFonts w:cs="Tahoma"/>
          <w:lang w:val="pt-PT"/>
        </w:rPr>
        <w:t xml:space="preserve">  refere-se à taxa sem risco</w:t>
      </w:r>
      <w:r w:rsidRPr="00DE1C4D">
        <w:rPr>
          <w:rStyle w:val="tlid-translation"/>
          <w:rFonts w:cs="Tahoma"/>
          <w:lang w:val="pt-PT"/>
        </w:rPr>
        <w:t xml:space="preserve"> </w:t>
      </w:r>
      <w:r>
        <w:rPr>
          <w:rStyle w:val="tlid-translation"/>
          <w:rFonts w:cs="Tahoma"/>
          <w:lang w:val="pt-PT"/>
        </w:rPr>
        <w:t>e é idêntico ao utilizado no cálculo do custo do capital próprio</w:t>
      </w:r>
    </w:p>
    <w:p w14:paraId="7272D8CF" w14:textId="77777777" w:rsidR="0076097D" w:rsidRDefault="0076097D" w:rsidP="008B6165">
      <w:pPr>
        <w:pStyle w:val="ListParagraph"/>
        <w:numPr>
          <w:ilvl w:val="0"/>
          <w:numId w:val="17"/>
        </w:numPr>
        <w:rPr>
          <w:rStyle w:val="tlid-translation"/>
          <w:rFonts w:cs="Tahoma"/>
          <w:lang w:val="pt-PT"/>
        </w:rPr>
      </w:pPr>
      <w:r>
        <w:rPr>
          <w:rStyle w:val="tlid-translation"/>
          <w:rFonts w:cs="Tahoma"/>
          <w:lang w:val="pt-PT"/>
        </w:rPr>
        <w:t xml:space="preserve">O Prémio de dívida é </w:t>
      </w:r>
      <w:r w:rsidRPr="00DE1C4D">
        <w:rPr>
          <w:rStyle w:val="tlid-translation"/>
          <w:rFonts w:cs="Tahoma"/>
          <w:lang w:val="pt-PT"/>
        </w:rPr>
        <w:t>um prémio acima da taxa sem risco para compensar o risco de falência</w:t>
      </w:r>
      <w:r>
        <w:rPr>
          <w:rStyle w:val="tlid-translation"/>
          <w:rFonts w:cs="Tahoma"/>
          <w:lang w:val="pt-PT"/>
        </w:rPr>
        <w:t xml:space="preserve"> da empresa</w:t>
      </w:r>
    </w:p>
    <w:p w14:paraId="3AF470F7" w14:textId="77777777" w:rsidR="0076097D" w:rsidRPr="00DE1C4D" w:rsidRDefault="0076097D" w:rsidP="0076097D">
      <w:pPr>
        <w:rPr>
          <w:rFonts w:cs="Tahoma"/>
          <w:lang w:val="pt-PT"/>
        </w:rPr>
      </w:pPr>
      <w:r>
        <w:rPr>
          <w:rFonts w:cs="Tahoma"/>
          <w:lang w:val="pt-PT"/>
        </w:rPr>
        <w:t xml:space="preserve">Portanto, para a determinação dos custos do capital próprio e da dívida é necessário estimar a taxa de um investimento teoricamente sem risco. Na secção seguinte apresenta-se o cálculo da taxa sem risco a utilizar na determinação do CMPC para um operador eficiente na Guiné Bissau. </w:t>
      </w:r>
    </w:p>
    <w:p w14:paraId="4E9E7FA2" w14:textId="77777777" w:rsidR="0076097D" w:rsidRPr="003C077E" w:rsidRDefault="0076097D" w:rsidP="0076097D">
      <w:pPr>
        <w:pStyle w:val="Heading2"/>
        <w:numPr>
          <w:ilvl w:val="0"/>
          <w:numId w:val="0"/>
        </w:numPr>
        <w:rPr>
          <w:lang w:val="pt-PT"/>
        </w:rPr>
      </w:pPr>
      <w:bookmarkStart w:id="27" w:name="_Toc75349740"/>
      <w:bookmarkStart w:id="28" w:name="_Hlk64996176"/>
      <w:r>
        <w:rPr>
          <w:lang w:val="pt-PT"/>
        </w:rPr>
        <w:t>2</w:t>
      </w:r>
      <w:r>
        <w:rPr>
          <w:lang w:val="pt-PT"/>
        </w:rPr>
        <w:tab/>
        <w:t>Taxa sem risco da Guiné Bissau</w:t>
      </w:r>
      <w:bookmarkEnd w:id="27"/>
      <w:r>
        <w:rPr>
          <w:lang w:val="pt-PT"/>
        </w:rPr>
        <w:t xml:space="preserve"> </w:t>
      </w:r>
      <w:bookmarkEnd w:id="28"/>
    </w:p>
    <w:p w14:paraId="319343C4" w14:textId="77777777" w:rsidR="0076097D" w:rsidRDefault="0076097D" w:rsidP="00142A4D">
      <w:pPr>
        <w:jc w:val="both"/>
        <w:rPr>
          <w:rFonts w:cs="Tahoma"/>
          <w:lang w:val="pt-PT"/>
        </w:rPr>
      </w:pPr>
      <w:r w:rsidRPr="004D21A7">
        <w:rPr>
          <w:rFonts w:cs="Tahoma"/>
          <w:lang w:val="pt-PT"/>
        </w:rPr>
        <w:t xml:space="preserve">A taxa </w:t>
      </w:r>
      <w:r>
        <w:rPr>
          <w:rFonts w:cs="Tahoma"/>
          <w:lang w:val="pt-PT"/>
        </w:rPr>
        <w:t>designada de sem</w:t>
      </w:r>
      <w:r w:rsidRPr="004D21A7">
        <w:rPr>
          <w:rFonts w:cs="Tahoma"/>
          <w:lang w:val="pt-PT"/>
        </w:rPr>
        <w:t xml:space="preserve"> risco</w:t>
      </w:r>
      <w:r>
        <w:rPr>
          <w:rFonts w:cs="Tahoma"/>
          <w:lang w:val="pt-PT"/>
        </w:rPr>
        <w:t xml:space="preserve">, </w:t>
      </w:r>
      <w:r>
        <w:rPr>
          <w:rStyle w:val="tlid-translation"/>
          <w:rFonts w:cs="Tahoma"/>
          <w:lang w:val="pt-PT"/>
        </w:rPr>
        <w:t>a</w:t>
      </w:r>
      <w:r w:rsidRPr="00BB6492">
        <w:rPr>
          <w:rStyle w:val="tlid-translation"/>
          <w:rFonts w:cs="Tahoma"/>
          <w:lang w:val="pt-PT"/>
        </w:rPr>
        <w:t xml:space="preserve"> taxa de rentabilidade de um investimento relativamente isento de risco</w:t>
      </w:r>
      <w:r>
        <w:rPr>
          <w:rStyle w:val="tlid-translation"/>
          <w:rFonts w:cs="Tahoma"/>
          <w:lang w:val="pt-PT"/>
        </w:rPr>
        <w:t>,</w:t>
      </w:r>
      <w:r w:rsidRPr="004D21A7">
        <w:rPr>
          <w:rFonts w:cs="Tahoma"/>
          <w:lang w:val="pt-PT"/>
        </w:rPr>
        <w:t xml:space="preserve"> é usada no cálculo do custo de capital</w:t>
      </w:r>
      <w:r>
        <w:rPr>
          <w:rFonts w:cs="Tahoma"/>
          <w:lang w:val="pt-PT"/>
        </w:rPr>
        <w:t xml:space="preserve">, </w:t>
      </w:r>
      <w:r w:rsidRPr="004D21A7">
        <w:rPr>
          <w:rFonts w:cs="Tahoma"/>
          <w:lang w:val="pt-PT"/>
        </w:rPr>
        <w:t xml:space="preserve">conforme calculado usando o </w:t>
      </w:r>
      <w:r w:rsidRPr="00316435">
        <w:rPr>
          <w:rStyle w:val="tlid-translation"/>
          <w:rFonts w:cs="Tahoma"/>
          <w:lang w:val="pt-PT"/>
        </w:rPr>
        <w:t>Capital Asset Pricing Model</w:t>
      </w:r>
      <w:r>
        <w:rPr>
          <w:rStyle w:val="tlid-translation"/>
          <w:rFonts w:cs="Tahoma"/>
          <w:lang w:val="pt-PT"/>
        </w:rPr>
        <w:t xml:space="preserve"> (</w:t>
      </w:r>
      <w:r w:rsidRPr="004D21A7">
        <w:rPr>
          <w:rFonts w:cs="Tahoma"/>
          <w:lang w:val="pt-PT"/>
        </w:rPr>
        <w:t xml:space="preserve">CAPM), que </w:t>
      </w:r>
      <w:r>
        <w:rPr>
          <w:rFonts w:cs="Tahoma"/>
          <w:lang w:val="pt-PT"/>
        </w:rPr>
        <w:t xml:space="preserve">por sua vez </w:t>
      </w:r>
      <w:r w:rsidRPr="004D21A7">
        <w:rPr>
          <w:rFonts w:cs="Tahoma"/>
          <w:lang w:val="pt-PT"/>
        </w:rPr>
        <w:t>influencia o custo médio ponderado de capital de uma empresa.</w:t>
      </w:r>
    </w:p>
    <w:p w14:paraId="799B8ED7" w14:textId="77777777" w:rsidR="0076097D" w:rsidRDefault="0076097D" w:rsidP="00142A4D">
      <w:pPr>
        <w:jc w:val="both"/>
        <w:rPr>
          <w:rFonts w:cs="Tahoma"/>
          <w:lang w:val="pt-PT"/>
        </w:rPr>
      </w:pPr>
      <w:r w:rsidRPr="000070CD">
        <w:rPr>
          <w:rStyle w:val="tlid-translation"/>
          <w:rFonts w:cs="Tahoma"/>
          <w:lang w:val="pt-PT"/>
        </w:rPr>
        <w:t xml:space="preserve">A taxa </w:t>
      </w:r>
      <w:r>
        <w:rPr>
          <w:rStyle w:val="tlid-translation"/>
          <w:rFonts w:cs="Tahoma"/>
          <w:lang w:val="pt-PT"/>
        </w:rPr>
        <w:t>sem</w:t>
      </w:r>
      <w:r w:rsidRPr="000070CD">
        <w:rPr>
          <w:rStyle w:val="tlid-translation"/>
          <w:rFonts w:cs="Tahoma"/>
          <w:lang w:val="pt-PT"/>
        </w:rPr>
        <w:t xml:space="preserve"> risco é o retorno que um investidor pode esperar obter de investimentos que não acarretam risco: mede o retorno esperado de um investimento livre de </w:t>
      </w:r>
      <w:r>
        <w:rPr>
          <w:rStyle w:val="tlid-translation"/>
          <w:rFonts w:cs="Tahoma"/>
          <w:lang w:val="pt-PT"/>
        </w:rPr>
        <w:t>não pagamento</w:t>
      </w:r>
      <w:r w:rsidRPr="000070CD">
        <w:rPr>
          <w:rStyle w:val="tlid-translation"/>
          <w:rFonts w:cs="Tahoma"/>
          <w:lang w:val="pt-PT"/>
        </w:rPr>
        <w:t xml:space="preserve"> e risco sistemático, reflete o valor do dinheiro no tempo entendido como a compensação </w:t>
      </w:r>
      <w:r>
        <w:rPr>
          <w:rStyle w:val="tlid-translation"/>
          <w:rFonts w:cs="Tahoma"/>
          <w:lang w:val="pt-PT"/>
        </w:rPr>
        <w:t xml:space="preserve">que </w:t>
      </w:r>
      <w:r w:rsidRPr="000070CD">
        <w:rPr>
          <w:rStyle w:val="tlid-translation"/>
          <w:rFonts w:cs="Tahoma"/>
          <w:lang w:val="pt-PT"/>
        </w:rPr>
        <w:t xml:space="preserve">os </w:t>
      </w:r>
      <w:r w:rsidRPr="000070CD">
        <w:rPr>
          <w:rStyle w:val="tlid-translation"/>
          <w:rFonts w:cs="Tahoma"/>
          <w:lang w:val="pt-PT"/>
        </w:rPr>
        <w:lastRenderedPageBreak/>
        <w:t>investidores exigem para investir hoje em prol d</w:t>
      </w:r>
      <w:r>
        <w:rPr>
          <w:rStyle w:val="tlid-translation"/>
          <w:rFonts w:cs="Tahoma"/>
          <w:lang w:val="pt-PT"/>
        </w:rPr>
        <w:t>e um</w:t>
      </w:r>
      <w:r w:rsidRPr="000070CD">
        <w:rPr>
          <w:rStyle w:val="tlid-translation"/>
          <w:rFonts w:cs="Tahoma"/>
          <w:lang w:val="pt-PT"/>
        </w:rPr>
        <w:t xml:space="preserve"> consumo </w:t>
      </w:r>
      <w:r>
        <w:rPr>
          <w:rStyle w:val="tlid-translation"/>
          <w:rFonts w:cs="Tahoma"/>
          <w:lang w:val="pt-PT"/>
        </w:rPr>
        <w:t xml:space="preserve">no </w:t>
      </w:r>
      <w:r w:rsidRPr="000070CD">
        <w:rPr>
          <w:rStyle w:val="tlid-translation"/>
          <w:rFonts w:cs="Tahoma"/>
          <w:lang w:val="pt-PT"/>
        </w:rPr>
        <w:t xml:space="preserve">futuro </w:t>
      </w:r>
      <w:r w:rsidRPr="00BB6492">
        <w:rPr>
          <w:rStyle w:val="tlid-translation"/>
          <w:rFonts w:cs="Tahoma"/>
          <w:lang w:val="pt-PT"/>
        </w:rPr>
        <w:t xml:space="preserve">O seu valor </w:t>
      </w:r>
      <w:r>
        <w:rPr>
          <w:rStyle w:val="tlid-translation"/>
          <w:rFonts w:cs="Tahoma"/>
          <w:lang w:val="pt-PT"/>
        </w:rPr>
        <w:t xml:space="preserve">é variável e </w:t>
      </w:r>
      <w:r w:rsidRPr="00BB6492">
        <w:rPr>
          <w:rStyle w:val="tlid-translation"/>
          <w:rFonts w:cs="Tahoma"/>
          <w:lang w:val="pt-PT"/>
        </w:rPr>
        <w:t xml:space="preserve">depende do nível de risco no país em </w:t>
      </w:r>
      <w:r>
        <w:rPr>
          <w:rStyle w:val="tlid-translation"/>
          <w:rFonts w:cs="Tahoma"/>
          <w:lang w:val="pt-PT"/>
        </w:rPr>
        <w:t>que é realizado o investimento</w:t>
      </w:r>
      <w:r w:rsidRPr="00BB6492">
        <w:rPr>
          <w:rStyle w:val="tlid-translation"/>
          <w:rFonts w:cs="Tahoma"/>
          <w:lang w:val="pt-PT"/>
        </w:rPr>
        <w:t>.</w:t>
      </w:r>
      <w:r w:rsidRPr="00BB6492">
        <w:rPr>
          <w:rFonts w:cs="Tahoma"/>
          <w:lang w:val="pt-PT"/>
        </w:rPr>
        <w:t xml:space="preserve"> </w:t>
      </w:r>
      <w:r w:rsidRPr="004D21A7">
        <w:rPr>
          <w:rFonts w:cs="Tahoma"/>
          <w:lang w:val="pt-PT"/>
        </w:rPr>
        <w:t xml:space="preserve">A regra geral </w:t>
      </w:r>
      <w:r>
        <w:rPr>
          <w:rFonts w:cs="Tahoma"/>
          <w:lang w:val="pt-PT"/>
        </w:rPr>
        <w:t xml:space="preserve">a seguir no cálculo </w:t>
      </w:r>
      <w:r w:rsidRPr="004D21A7">
        <w:rPr>
          <w:rFonts w:cs="Tahoma"/>
          <w:lang w:val="pt-PT"/>
        </w:rPr>
        <w:t xml:space="preserve">é considerar o órgão governamental mais estável que oferece </w:t>
      </w:r>
      <w:r>
        <w:rPr>
          <w:rFonts w:cs="Tahoma"/>
          <w:lang w:val="pt-PT"/>
        </w:rPr>
        <w:t>títulos de dívida</w:t>
      </w:r>
      <w:r w:rsidRPr="004D21A7">
        <w:rPr>
          <w:rFonts w:cs="Tahoma"/>
          <w:lang w:val="pt-PT"/>
        </w:rPr>
        <w:t xml:space="preserve"> </w:t>
      </w:r>
      <w:r>
        <w:rPr>
          <w:rFonts w:cs="Tahoma"/>
          <w:lang w:val="pt-PT"/>
        </w:rPr>
        <w:t>n</w:t>
      </w:r>
      <w:r w:rsidRPr="004D21A7">
        <w:rPr>
          <w:rFonts w:cs="Tahoma"/>
          <w:lang w:val="pt-PT"/>
        </w:rPr>
        <w:t xml:space="preserve">uma determinada moeda. Por exemplo, um investidor que investe em títulos negociados em dólares norte-americanos deve usar a taxa do Tesouro dos EUA, enquanto um investidor que investe em títulos negociados em euros ou francos deve usar </w:t>
      </w:r>
      <w:r>
        <w:rPr>
          <w:rFonts w:cs="Tahoma"/>
          <w:lang w:val="pt-PT"/>
        </w:rPr>
        <w:t>bilhetes</w:t>
      </w:r>
      <w:r w:rsidRPr="004D21A7">
        <w:rPr>
          <w:rFonts w:cs="Tahoma"/>
          <w:lang w:val="pt-PT"/>
        </w:rPr>
        <w:t xml:space="preserve"> do Tesouro suíç</w:t>
      </w:r>
      <w:r>
        <w:rPr>
          <w:rFonts w:cs="Tahoma"/>
          <w:lang w:val="pt-PT"/>
        </w:rPr>
        <w:t>os</w:t>
      </w:r>
      <w:r w:rsidRPr="004D21A7">
        <w:rPr>
          <w:rFonts w:cs="Tahoma"/>
          <w:lang w:val="pt-PT"/>
        </w:rPr>
        <w:t xml:space="preserve"> ou alem</w:t>
      </w:r>
      <w:r>
        <w:rPr>
          <w:rFonts w:cs="Tahoma"/>
          <w:lang w:val="pt-PT"/>
        </w:rPr>
        <w:t>ães</w:t>
      </w:r>
      <w:r w:rsidRPr="004D21A7">
        <w:rPr>
          <w:rFonts w:cs="Tahoma"/>
          <w:lang w:val="pt-PT"/>
        </w:rPr>
        <w:t>.</w:t>
      </w:r>
      <w:r>
        <w:rPr>
          <w:rFonts w:cs="Tahoma"/>
          <w:lang w:val="pt-PT"/>
        </w:rPr>
        <w:t xml:space="preserve"> </w:t>
      </w:r>
      <w:r>
        <w:rPr>
          <w:rStyle w:val="tlid-translation"/>
          <w:rFonts w:cs="Tahoma"/>
          <w:lang w:val="pt-PT"/>
        </w:rPr>
        <w:t>Portanto, u</w:t>
      </w:r>
      <w:r w:rsidRPr="00BB6492">
        <w:rPr>
          <w:rStyle w:val="tlid-translation"/>
          <w:rFonts w:cs="Tahoma"/>
          <w:lang w:val="pt-PT"/>
        </w:rPr>
        <w:t xml:space="preserve">m método comum para determinar a taxa sem risco de um país é avaliar o </w:t>
      </w:r>
      <w:r>
        <w:rPr>
          <w:rStyle w:val="tlid-translation"/>
          <w:rFonts w:cs="Tahoma"/>
          <w:lang w:val="pt-PT"/>
        </w:rPr>
        <w:t xml:space="preserve">seu </w:t>
      </w:r>
      <w:r w:rsidRPr="00BB6492">
        <w:rPr>
          <w:rStyle w:val="tlid-translation"/>
          <w:rFonts w:cs="Tahoma"/>
          <w:lang w:val="pt-PT"/>
        </w:rPr>
        <w:t>risco soberano, isto é, o retorno que o governo oferece sobre a sua dívida obrigacionista</w:t>
      </w:r>
      <w:r>
        <w:rPr>
          <w:rStyle w:val="tlid-translation"/>
          <w:rFonts w:cs="Tahoma"/>
          <w:lang w:val="pt-PT"/>
        </w:rPr>
        <w:t>, ou seja, emitindo títulos de dívida pública</w:t>
      </w:r>
      <w:r>
        <w:rPr>
          <w:rStyle w:val="FootnoteReference"/>
          <w:lang w:val="pt-PT"/>
        </w:rPr>
        <w:footnoteReference w:id="7"/>
      </w:r>
      <w:r w:rsidRPr="00BB6492">
        <w:rPr>
          <w:rStyle w:val="tlid-translation"/>
          <w:rFonts w:cs="Tahoma"/>
          <w:lang w:val="pt-PT"/>
        </w:rPr>
        <w:t>.</w:t>
      </w:r>
      <w:r w:rsidRPr="00BB6492">
        <w:rPr>
          <w:rFonts w:cs="Tahoma"/>
          <w:lang w:val="pt-PT"/>
        </w:rPr>
        <w:t xml:space="preserve"> </w:t>
      </w:r>
    </w:p>
    <w:p w14:paraId="5FC3C9BC" w14:textId="77777777" w:rsidR="0076097D" w:rsidRDefault="0076097D" w:rsidP="00142A4D">
      <w:pPr>
        <w:jc w:val="both"/>
        <w:rPr>
          <w:rStyle w:val="tlid-translation"/>
          <w:rFonts w:cs="Tahoma"/>
          <w:lang w:val="pt-PT"/>
        </w:rPr>
      </w:pPr>
      <w:r>
        <w:rPr>
          <w:rStyle w:val="tlid-translation"/>
          <w:rFonts w:cs="Tahoma"/>
          <w:lang w:val="pt-PT"/>
        </w:rPr>
        <w:t>Assim, quando se refere a</w:t>
      </w:r>
      <w:r w:rsidRPr="00BB6492">
        <w:rPr>
          <w:rStyle w:val="tlid-translation"/>
          <w:rFonts w:cs="Tahoma"/>
          <w:lang w:val="pt-PT"/>
        </w:rPr>
        <w:t xml:space="preserve"> taxa de juro sem risco refere-se</w:t>
      </w:r>
      <w:r w:rsidRPr="00BB6492">
        <w:rPr>
          <w:rFonts w:cs="Tahoma"/>
          <w:lang w:val="pt-PT"/>
        </w:rPr>
        <w:t xml:space="preserve"> geralmente ao rendimento das </w:t>
      </w:r>
      <w:r w:rsidRPr="00BB6492">
        <w:rPr>
          <w:rStyle w:val="tlid-translation"/>
          <w:rFonts w:cs="Tahoma"/>
          <w:lang w:val="pt-PT"/>
        </w:rPr>
        <w:t xml:space="preserve">obrigações do </w:t>
      </w:r>
      <w:r w:rsidRPr="00BB6492">
        <w:rPr>
          <w:rFonts w:cs="Tahoma"/>
          <w:lang w:val="pt-PT"/>
        </w:rPr>
        <w:t xml:space="preserve">tesouro </w:t>
      </w:r>
      <w:r w:rsidRPr="00BB6492">
        <w:rPr>
          <w:rStyle w:val="tlid-translation"/>
          <w:rFonts w:cs="Tahoma"/>
          <w:lang w:val="pt-PT"/>
        </w:rPr>
        <w:t>do</w:t>
      </w:r>
      <w:r w:rsidRPr="00BB6492">
        <w:rPr>
          <w:rFonts w:cs="Tahoma"/>
          <w:lang w:val="pt-PT"/>
        </w:rPr>
        <w:t xml:space="preserve"> país </w:t>
      </w:r>
      <w:r>
        <w:rPr>
          <w:rFonts w:cs="Tahoma"/>
          <w:lang w:val="pt-PT"/>
        </w:rPr>
        <w:t>em</w:t>
      </w:r>
      <w:r w:rsidRPr="00BB6492">
        <w:rPr>
          <w:rFonts w:cs="Tahoma"/>
          <w:lang w:val="pt-PT"/>
        </w:rPr>
        <w:t xml:space="preserve"> que a empresa </w:t>
      </w:r>
      <w:r>
        <w:rPr>
          <w:rStyle w:val="tlid-translation"/>
          <w:rFonts w:cs="Tahoma"/>
          <w:lang w:val="pt-PT"/>
        </w:rPr>
        <w:t>opera</w:t>
      </w:r>
      <w:r w:rsidRPr="00BB6492">
        <w:rPr>
          <w:rStyle w:val="tlid-translation"/>
          <w:rFonts w:cs="Tahoma"/>
          <w:lang w:val="pt-PT"/>
        </w:rPr>
        <w:t xml:space="preserve">, com uma duração que </w:t>
      </w:r>
      <w:r>
        <w:rPr>
          <w:rStyle w:val="tlid-translation"/>
          <w:rFonts w:cs="Tahoma"/>
          <w:lang w:val="pt-PT"/>
        </w:rPr>
        <w:t xml:space="preserve">desejavelmente deve </w:t>
      </w:r>
      <w:r w:rsidRPr="00BB6492">
        <w:rPr>
          <w:rStyle w:val="tlid-translation"/>
          <w:rFonts w:cs="Tahoma"/>
          <w:lang w:val="pt-PT"/>
        </w:rPr>
        <w:t>corresponde</w:t>
      </w:r>
      <w:r>
        <w:rPr>
          <w:rStyle w:val="tlid-translation"/>
          <w:rFonts w:cs="Tahoma"/>
          <w:lang w:val="pt-PT"/>
        </w:rPr>
        <w:t>r</w:t>
      </w:r>
      <w:r w:rsidRPr="00BB6492">
        <w:rPr>
          <w:rStyle w:val="tlid-translation"/>
          <w:rFonts w:cs="Tahoma"/>
          <w:lang w:val="pt-PT"/>
        </w:rPr>
        <w:t xml:space="preserve"> ao horizonte de investimento do investidor.  Dado que o investimento em capital próprio é geralmente a longo prazo, deve ser </w:t>
      </w:r>
      <w:r>
        <w:rPr>
          <w:rStyle w:val="tlid-translation"/>
          <w:rFonts w:cs="Tahoma"/>
          <w:lang w:val="pt-PT"/>
        </w:rPr>
        <w:t xml:space="preserve">preferencialmente </w:t>
      </w:r>
      <w:r w:rsidRPr="00BB6492">
        <w:rPr>
          <w:rStyle w:val="tlid-translation"/>
          <w:rFonts w:cs="Tahoma"/>
          <w:lang w:val="pt-PT"/>
        </w:rPr>
        <w:t xml:space="preserve">utilizada uma obrigação de longo prazo. </w:t>
      </w:r>
      <w:r w:rsidRPr="00BB6492">
        <w:rPr>
          <w:rFonts w:cs="Tahoma"/>
          <w:lang w:val="pt-PT"/>
        </w:rPr>
        <w:t xml:space="preserve"> </w:t>
      </w:r>
      <w:r w:rsidRPr="00BB6492">
        <w:rPr>
          <w:rStyle w:val="tlid-translation"/>
          <w:rFonts w:cs="Tahoma"/>
          <w:lang w:val="pt-PT"/>
        </w:rPr>
        <w:t>Assume-se normalmente que o governo cumprirá os seus compromissos com os seus investidores</w:t>
      </w:r>
      <w:r>
        <w:rPr>
          <w:rStyle w:val="tlid-translation"/>
          <w:rFonts w:cs="Tahoma"/>
          <w:lang w:val="pt-PT"/>
        </w:rPr>
        <w:t>, embora possam existir exceções</w:t>
      </w:r>
      <w:r w:rsidRPr="00BB6492">
        <w:rPr>
          <w:rStyle w:val="tlid-translation"/>
          <w:rFonts w:cs="Tahoma"/>
          <w:lang w:val="pt-PT"/>
        </w:rPr>
        <w:t>.</w:t>
      </w:r>
    </w:p>
    <w:p w14:paraId="751F2668" w14:textId="77777777" w:rsidR="0076097D" w:rsidRDefault="0076097D" w:rsidP="00142A4D">
      <w:pPr>
        <w:jc w:val="both"/>
        <w:rPr>
          <w:rStyle w:val="tlid-translation"/>
          <w:rFonts w:cs="Tahoma"/>
          <w:lang w:val="pt-PT"/>
        </w:rPr>
      </w:pPr>
      <w:r w:rsidRPr="00402991">
        <w:rPr>
          <w:rStyle w:val="tlid-translation"/>
          <w:rFonts w:cs="Tahoma"/>
          <w:lang w:val="pt-PT"/>
        </w:rPr>
        <w:t xml:space="preserve">Para calcular uma taxa </w:t>
      </w:r>
      <w:r>
        <w:rPr>
          <w:rStyle w:val="tlid-translation"/>
          <w:rFonts w:cs="Tahoma"/>
          <w:lang w:val="pt-PT"/>
        </w:rPr>
        <w:t>sem</w:t>
      </w:r>
      <w:r w:rsidRPr="00402991">
        <w:rPr>
          <w:rStyle w:val="tlid-translation"/>
          <w:rFonts w:cs="Tahoma"/>
          <w:lang w:val="pt-PT"/>
        </w:rPr>
        <w:t xml:space="preserve"> risco </w:t>
      </w:r>
      <w:r>
        <w:rPr>
          <w:rStyle w:val="tlid-translation"/>
          <w:rFonts w:cs="Tahoma"/>
          <w:lang w:val="pt-PT"/>
        </w:rPr>
        <w:t>normalmente é necessário</w:t>
      </w:r>
      <w:r w:rsidRPr="00402991">
        <w:rPr>
          <w:rStyle w:val="tlid-translation"/>
          <w:rFonts w:cs="Tahoma"/>
          <w:lang w:val="pt-PT"/>
        </w:rPr>
        <w:t xml:space="preserve"> considerar os seguintes fatores</w:t>
      </w:r>
      <w:r>
        <w:rPr>
          <w:rStyle w:val="FootnoteReference"/>
          <w:lang w:val="pt-PT"/>
        </w:rPr>
        <w:footnoteReference w:id="8"/>
      </w:r>
      <w:r w:rsidRPr="00402991">
        <w:rPr>
          <w:rStyle w:val="tlid-translation"/>
          <w:rFonts w:cs="Tahoma"/>
          <w:lang w:val="pt-PT"/>
        </w:rPr>
        <w:t>:</w:t>
      </w:r>
    </w:p>
    <w:p w14:paraId="47116050" w14:textId="77777777" w:rsidR="0076097D" w:rsidRDefault="0076097D" w:rsidP="00142A4D">
      <w:pPr>
        <w:pStyle w:val="ListParagraph"/>
        <w:numPr>
          <w:ilvl w:val="0"/>
          <w:numId w:val="13"/>
        </w:numPr>
        <w:jc w:val="both"/>
        <w:rPr>
          <w:rStyle w:val="tlid-translation"/>
          <w:rFonts w:cs="Tahoma"/>
          <w:lang w:val="pt-PT"/>
        </w:rPr>
      </w:pPr>
      <w:r>
        <w:rPr>
          <w:rStyle w:val="tlid-translation"/>
          <w:rFonts w:cs="Tahoma"/>
          <w:lang w:val="pt-PT"/>
        </w:rPr>
        <w:t xml:space="preserve">Qual o </w:t>
      </w:r>
      <w:r w:rsidRPr="00402991">
        <w:rPr>
          <w:rStyle w:val="tlid-translation"/>
          <w:rFonts w:cs="Tahoma"/>
          <w:lang w:val="pt-PT"/>
        </w:rPr>
        <w:t xml:space="preserve">prazo de vencimento </w:t>
      </w:r>
      <w:r>
        <w:rPr>
          <w:rStyle w:val="tlid-translation"/>
          <w:rFonts w:cs="Tahoma"/>
          <w:lang w:val="pt-PT"/>
        </w:rPr>
        <w:t>dos</w:t>
      </w:r>
      <w:r w:rsidRPr="00402991">
        <w:rPr>
          <w:rStyle w:val="tlid-translation"/>
          <w:rFonts w:cs="Tahoma"/>
          <w:lang w:val="pt-PT"/>
        </w:rPr>
        <w:t xml:space="preserve"> títulos </w:t>
      </w:r>
      <w:r>
        <w:rPr>
          <w:rStyle w:val="tlid-translation"/>
          <w:rFonts w:cs="Tahoma"/>
          <w:lang w:val="pt-PT"/>
        </w:rPr>
        <w:t>a utilizar no cálculo</w:t>
      </w:r>
      <w:r w:rsidRPr="00402991">
        <w:rPr>
          <w:rStyle w:val="tlid-translation"/>
          <w:rFonts w:cs="Tahoma"/>
          <w:lang w:val="pt-PT"/>
        </w:rPr>
        <w:t xml:space="preserve">; </w:t>
      </w:r>
      <w:r>
        <w:rPr>
          <w:rStyle w:val="tlid-translation"/>
          <w:rFonts w:cs="Tahoma"/>
          <w:lang w:val="pt-PT"/>
        </w:rPr>
        <w:t>e</w:t>
      </w:r>
    </w:p>
    <w:p w14:paraId="00A8B2B6" w14:textId="77777777" w:rsidR="0076097D" w:rsidRPr="00402991" w:rsidRDefault="0076097D" w:rsidP="00142A4D">
      <w:pPr>
        <w:pStyle w:val="ListParagraph"/>
        <w:numPr>
          <w:ilvl w:val="0"/>
          <w:numId w:val="13"/>
        </w:numPr>
        <w:jc w:val="both"/>
        <w:rPr>
          <w:rStyle w:val="tlid-translation"/>
          <w:rFonts w:cs="Tahoma"/>
          <w:lang w:val="pt-PT"/>
        </w:rPr>
      </w:pPr>
      <w:r>
        <w:rPr>
          <w:rStyle w:val="tlid-translation"/>
          <w:rFonts w:cs="Tahoma"/>
          <w:lang w:val="pt-PT"/>
        </w:rPr>
        <w:t>R</w:t>
      </w:r>
      <w:r w:rsidRPr="00402991">
        <w:rPr>
          <w:rStyle w:val="tlid-translation"/>
          <w:rFonts w:cs="Tahoma"/>
          <w:lang w:val="pt-PT"/>
        </w:rPr>
        <w:t>endi</w:t>
      </w:r>
      <w:r>
        <w:rPr>
          <w:rStyle w:val="tlid-translation"/>
          <w:rFonts w:cs="Tahoma"/>
          <w:lang w:val="pt-PT"/>
        </w:rPr>
        <w:t>bilidade</w:t>
      </w:r>
      <w:r w:rsidRPr="00402991">
        <w:rPr>
          <w:rStyle w:val="tlid-translation"/>
          <w:rFonts w:cs="Tahoma"/>
          <w:lang w:val="pt-PT"/>
        </w:rPr>
        <w:t>s históric</w:t>
      </w:r>
      <w:r>
        <w:rPr>
          <w:rStyle w:val="tlid-translation"/>
          <w:rFonts w:cs="Tahoma"/>
          <w:lang w:val="pt-PT"/>
        </w:rPr>
        <w:t>a</w:t>
      </w:r>
      <w:r w:rsidRPr="00402991">
        <w:rPr>
          <w:rStyle w:val="tlid-translation"/>
          <w:rFonts w:cs="Tahoma"/>
          <w:lang w:val="pt-PT"/>
        </w:rPr>
        <w:t xml:space="preserve">s vs. atuais como estimativas da taxa </w:t>
      </w:r>
      <w:r>
        <w:rPr>
          <w:rStyle w:val="tlid-translation"/>
          <w:rFonts w:cs="Tahoma"/>
          <w:lang w:val="pt-PT"/>
        </w:rPr>
        <w:t>sem</w:t>
      </w:r>
      <w:r w:rsidRPr="00402991">
        <w:rPr>
          <w:rStyle w:val="tlid-translation"/>
          <w:rFonts w:cs="Tahoma"/>
          <w:lang w:val="pt-PT"/>
        </w:rPr>
        <w:t xml:space="preserve"> risco prospetiva.</w:t>
      </w:r>
    </w:p>
    <w:p w14:paraId="62DC94D5" w14:textId="77777777" w:rsidR="0076097D" w:rsidRDefault="0076097D" w:rsidP="00142A4D">
      <w:pPr>
        <w:jc w:val="both"/>
        <w:rPr>
          <w:rStyle w:val="tlid-translation"/>
          <w:rFonts w:cs="Tahoma"/>
          <w:lang w:val="pt-PT"/>
        </w:rPr>
      </w:pPr>
      <w:r w:rsidRPr="00402991">
        <w:rPr>
          <w:rStyle w:val="tlid-translation"/>
          <w:rFonts w:cs="Tahoma"/>
          <w:lang w:val="pt-PT"/>
        </w:rPr>
        <w:t xml:space="preserve">No que diz respeito ao prazo de vencimento, </w:t>
      </w:r>
      <w:r>
        <w:rPr>
          <w:rStyle w:val="tlid-translation"/>
          <w:rFonts w:cs="Tahoma"/>
          <w:lang w:val="pt-PT"/>
        </w:rPr>
        <w:t>no passado alguns reguladores</w:t>
      </w:r>
      <w:r w:rsidRPr="00402991">
        <w:rPr>
          <w:rStyle w:val="tlid-translation"/>
          <w:rFonts w:cs="Tahoma"/>
          <w:lang w:val="pt-PT"/>
        </w:rPr>
        <w:t xml:space="preserve"> determina</w:t>
      </w:r>
      <w:r>
        <w:rPr>
          <w:rStyle w:val="tlid-translation"/>
          <w:rFonts w:cs="Tahoma"/>
          <w:lang w:val="pt-PT"/>
        </w:rPr>
        <w:t>ram</w:t>
      </w:r>
      <w:r w:rsidRPr="00402991">
        <w:rPr>
          <w:rStyle w:val="tlid-translation"/>
          <w:rFonts w:cs="Tahoma"/>
          <w:lang w:val="pt-PT"/>
        </w:rPr>
        <w:t xml:space="preserve"> que a taxa sem risco </w:t>
      </w:r>
      <w:r>
        <w:rPr>
          <w:rStyle w:val="tlid-translation"/>
          <w:rFonts w:cs="Tahoma"/>
          <w:lang w:val="pt-PT"/>
        </w:rPr>
        <w:t>era</w:t>
      </w:r>
      <w:r w:rsidRPr="00402991">
        <w:rPr>
          <w:rStyle w:val="tlid-translation"/>
          <w:rFonts w:cs="Tahoma"/>
          <w:lang w:val="pt-PT"/>
        </w:rPr>
        <w:t xml:space="preserve"> em referência à taxa das obrigações de dívida pública a um ano</w:t>
      </w:r>
      <w:r>
        <w:rPr>
          <w:rStyle w:val="tlid-translation"/>
          <w:rFonts w:cs="Tahoma"/>
          <w:lang w:val="pt-PT"/>
        </w:rPr>
        <w:t xml:space="preserve"> ou a três anos</w:t>
      </w:r>
      <w:r w:rsidRPr="00402991">
        <w:rPr>
          <w:rStyle w:val="tlid-translation"/>
          <w:rFonts w:cs="Tahoma"/>
          <w:lang w:val="pt-PT"/>
        </w:rPr>
        <w:t xml:space="preserve">. Esta escolha </w:t>
      </w:r>
      <w:r>
        <w:rPr>
          <w:rStyle w:val="tlid-translation"/>
          <w:rFonts w:cs="Tahoma"/>
          <w:lang w:val="pt-PT"/>
        </w:rPr>
        <w:t>era</w:t>
      </w:r>
      <w:r w:rsidRPr="00402991">
        <w:rPr>
          <w:rStyle w:val="tlid-translation"/>
          <w:rFonts w:cs="Tahoma"/>
          <w:lang w:val="pt-PT"/>
        </w:rPr>
        <w:t xml:space="preserve"> feita com referência à frequência do período de revisão regulatória, que </w:t>
      </w:r>
      <w:r>
        <w:rPr>
          <w:rStyle w:val="tlid-translation"/>
          <w:rFonts w:cs="Tahoma"/>
          <w:lang w:val="pt-PT"/>
        </w:rPr>
        <w:t>era de mais curto prazo relativamente á vida dos investimentos</w:t>
      </w:r>
      <w:r w:rsidRPr="00402991">
        <w:rPr>
          <w:rStyle w:val="tlid-translation"/>
          <w:rFonts w:cs="Tahoma"/>
          <w:lang w:val="pt-PT"/>
        </w:rPr>
        <w:t xml:space="preserve">. </w:t>
      </w:r>
      <w:r>
        <w:rPr>
          <w:rStyle w:val="tlid-translation"/>
          <w:rFonts w:cs="Tahoma"/>
          <w:lang w:val="pt-PT"/>
        </w:rPr>
        <w:t xml:space="preserve">Noutros casos os reguladores utilizam no cálculo a rendibilidade esperada de títulos do tesouro com prazos entre 10 a 20 anos. A razão é de fazer corresponder a rendibilidade esperada num período mais idêntico à vida dos ativos subjacentes. Esta última opção é provavelmente a mais utilizada por reguladores. </w:t>
      </w:r>
      <w:r w:rsidRPr="00402991">
        <w:rPr>
          <w:rStyle w:val="tlid-translation"/>
          <w:rFonts w:cs="Tahoma"/>
          <w:lang w:val="pt-PT"/>
        </w:rPr>
        <w:t xml:space="preserve">Em nossa opinião, seria, portanto, adequado selecionar um período de maturidade </w:t>
      </w:r>
      <w:r>
        <w:rPr>
          <w:rStyle w:val="tlid-translation"/>
          <w:rFonts w:cs="Tahoma"/>
          <w:lang w:val="pt-PT"/>
        </w:rPr>
        <w:t>de 10 anos</w:t>
      </w:r>
      <w:r w:rsidRPr="00402991">
        <w:rPr>
          <w:rStyle w:val="tlid-translation"/>
          <w:rFonts w:cs="Tahoma"/>
          <w:lang w:val="pt-PT"/>
        </w:rPr>
        <w:t xml:space="preserve"> de títulos do governo. </w:t>
      </w:r>
    </w:p>
    <w:p w14:paraId="4346895E" w14:textId="77777777" w:rsidR="0076097D" w:rsidRDefault="0076097D" w:rsidP="00142A4D">
      <w:pPr>
        <w:jc w:val="both"/>
        <w:rPr>
          <w:rStyle w:val="tlid-translation"/>
          <w:rFonts w:cs="Tahoma"/>
          <w:lang w:val="pt-PT"/>
        </w:rPr>
      </w:pPr>
      <w:r>
        <w:rPr>
          <w:rStyle w:val="tlid-translation"/>
          <w:rFonts w:cs="Tahoma"/>
          <w:lang w:val="pt-PT"/>
        </w:rPr>
        <w:t>Relativamente às rendibilidades</w:t>
      </w:r>
      <w:r w:rsidRPr="00402991">
        <w:rPr>
          <w:rStyle w:val="tlid-translation"/>
          <w:rFonts w:cs="Tahoma"/>
          <w:lang w:val="pt-PT"/>
        </w:rPr>
        <w:t xml:space="preserve">, a teoria prevê que os rendimentos atuais refletirão (todas) as expectativas de lucros futuros (se os mercados de capitais forem eficientes). No entanto, os rendimentos atuais podem ser significativamente afetados pelas influências do mercado no curto prazo e </w:t>
      </w:r>
      <w:r>
        <w:rPr>
          <w:rStyle w:val="tlid-translation"/>
          <w:rFonts w:cs="Tahoma"/>
          <w:lang w:val="pt-PT"/>
        </w:rPr>
        <w:t>podem estar</w:t>
      </w:r>
      <w:r w:rsidRPr="00402991">
        <w:rPr>
          <w:rStyle w:val="tlid-translation"/>
          <w:rFonts w:cs="Tahoma"/>
          <w:lang w:val="pt-PT"/>
        </w:rPr>
        <w:t xml:space="preserve"> sujeitos a variações cíclicas significativas. Portanto, vale a pena </w:t>
      </w:r>
      <w:r>
        <w:rPr>
          <w:rStyle w:val="tlid-translation"/>
          <w:rFonts w:cs="Tahoma"/>
          <w:lang w:val="pt-PT"/>
        </w:rPr>
        <w:t>considerar</w:t>
      </w:r>
      <w:r w:rsidRPr="00402991">
        <w:rPr>
          <w:rStyle w:val="tlid-translation"/>
          <w:rFonts w:cs="Tahoma"/>
          <w:lang w:val="pt-PT"/>
        </w:rPr>
        <w:t xml:space="preserve"> </w:t>
      </w:r>
      <w:r>
        <w:rPr>
          <w:rStyle w:val="tlid-translation"/>
          <w:rFonts w:cs="Tahoma"/>
          <w:lang w:val="pt-PT"/>
        </w:rPr>
        <w:t>as rendibilidades</w:t>
      </w:r>
      <w:r w:rsidRPr="00402991">
        <w:rPr>
          <w:rStyle w:val="tlid-translation"/>
          <w:rFonts w:cs="Tahoma"/>
          <w:lang w:val="pt-PT"/>
        </w:rPr>
        <w:t xml:space="preserve"> históric</w:t>
      </w:r>
      <w:r>
        <w:rPr>
          <w:rStyle w:val="tlid-translation"/>
          <w:rFonts w:cs="Tahoma"/>
          <w:lang w:val="pt-PT"/>
        </w:rPr>
        <w:t>a</w:t>
      </w:r>
      <w:r w:rsidRPr="00402991">
        <w:rPr>
          <w:rStyle w:val="tlid-translation"/>
          <w:rFonts w:cs="Tahoma"/>
          <w:lang w:val="pt-PT"/>
        </w:rPr>
        <w:t>s, pois el</w:t>
      </w:r>
      <w:r>
        <w:rPr>
          <w:rStyle w:val="tlid-translation"/>
          <w:rFonts w:cs="Tahoma"/>
          <w:lang w:val="pt-PT"/>
        </w:rPr>
        <w:t>a</w:t>
      </w:r>
      <w:r w:rsidRPr="00402991">
        <w:rPr>
          <w:rStyle w:val="tlid-translation"/>
          <w:rFonts w:cs="Tahoma"/>
          <w:lang w:val="pt-PT"/>
        </w:rPr>
        <w:t xml:space="preserve">s podem ser melhores </w:t>
      </w:r>
      <w:r>
        <w:rPr>
          <w:rStyle w:val="tlid-translation"/>
          <w:rFonts w:cs="Tahoma"/>
          <w:lang w:val="pt-PT"/>
        </w:rPr>
        <w:t>previsoras</w:t>
      </w:r>
      <w:r w:rsidRPr="00402991">
        <w:rPr>
          <w:rStyle w:val="tlid-translation"/>
          <w:rFonts w:cs="Tahoma"/>
          <w:lang w:val="pt-PT"/>
        </w:rPr>
        <w:t xml:space="preserve"> de </w:t>
      </w:r>
      <w:r w:rsidRPr="00402991">
        <w:rPr>
          <w:rStyle w:val="tlid-translation"/>
          <w:rFonts w:cs="Tahoma"/>
          <w:lang w:val="pt-PT"/>
        </w:rPr>
        <w:lastRenderedPageBreak/>
        <w:t xml:space="preserve">rendimentos futuros do que </w:t>
      </w:r>
      <w:r>
        <w:rPr>
          <w:rStyle w:val="tlid-translation"/>
          <w:rFonts w:cs="Tahoma"/>
          <w:lang w:val="pt-PT"/>
        </w:rPr>
        <w:t>as rendibilidades</w:t>
      </w:r>
      <w:r w:rsidRPr="00402991">
        <w:rPr>
          <w:rStyle w:val="tlid-translation"/>
          <w:rFonts w:cs="Tahoma"/>
          <w:lang w:val="pt-PT"/>
        </w:rPr>
        <w:t xml:space="preserve"> atuais.</w:t>
      </w:r>
      <w:r>
        <w:rPr>
          <w:rStyle w:val="tlid-translation"/>
          <w:rFonts w:cs="Tahoma"/>
          <w:lang w:val="pt-PT"/>
        </w:rPr>
        <w:t xml:space="preserve"> </w:t>
      </w:r>
      <w:r w:rsidRPr="00284226">
        <w:rPr>
          <w:rStyle w:val="tlid-translation"/>
          <w:rFonts w:cs="Tahoma"/>
          <w:lang w:val="pt-PT"/>
        </w:rPr>
        <w:t xml:space="preserve">É </w:t>
      </w:r>
      <w:r>
        <w:rPr>
          <w:rStyle w:val="tlid-translation"/>
          <w:rFonts w:cs="Tahoma"/>
          <w:lang w:val="pt-PT"/>
        </w:rPr>
        <w:t xml:space="preserve">na realidade </w:t>
      </w:r>
      <w:r w:rsidRPr="00284226">
        <w:rPr>
          <w:rStyle w:val="tlid-translation"/>
          <w:rFonts w:cs="Tahoma"/>
          <w:lang w:val="pt-PT"/>
        </w:rPr>
        <w:t>geralmente aceit</w:t>
      </w:r>
      <w:r>
        <w:rPr>
          <w:rStyle w:val="tlid-translation"/>
          <w:rFonts w:cs="Tahoma"/>
          <w:lang w:val="pt-PT"/>
        </w:rPr>
        <w:t>e</w:t>
      </w:r>
      <w:r w:rsidRPr="00284226">
        <w:rPr>
          <w:rStyle w:val="tlid-translation"/>
          <w:rFonts w:cs="Tahoma"/>
          <w:lang w:val="pt-PT"/>
        </w:rPr>
        <w:t xml:space="preserve"> que prazos mais curtos fornecem as melhores estimativas d</w:t>
      </w:r>
      <w:r>
        <w:rPr>
          <w:rStyle w:val="tlid-translation"/>
          <w:rFonts w:cs="Tahoma"/>
          <w:lang w:val="pt-PT"/>
        </w:rPr>
        <w:t>as</w:t>
      </w:r>
      <w:r w:rsidRPr="00284226">
        <w:rPr>
          <w:rStyle w:val="tlid-translation"/>
          <w:rFonts w:cs="Tahoma"/>
          <w:lang w:val="pt-PT"/>
        </w:rPr>
        <w:t xml:space="preserve"> taxas </w:t>
      </w:r>
      <w:r>
        <w:rPr>
          <w:rStyle w:val="tlid-translation"/>
          <w:rFonts w:cs="Tahoma"/>
          <w:lang w:val="pt-PT"/>
        </w:rPr>
        <w:t xml:space="preserve">de mercado, </w:t>
      </w:r>
      <w:r w:rsidRPr="00284226">
        <w:rPr>
          <w:rStyle w:val="tlid-translation"/>
          <w:rFonts w:cs="Tahoma"/>
          <w:lang w:val="pt-PT"/>
        </w:rPr>
        <w:t>atuais e futuras</w:t>
      </w:r>
      <w:r>
        <w:rPr>
          <w:rStyle w:val="tlid-translation"/>
          <w:rFonts w:cs="Tahoma"/>
          <w:lang w:val="pt-PT"/>
        </w:rPr>
        <w:t>,</w:t>
      </w:r>
      <w:r w:rsidRPr="00284226">
        <w:rPr>
          <w:rStyle w:val="tlid-translation"/>
          <w:rFonts w:cs="Tahoma"/>
          <w:lang w:val="pt-PT"/>
        </w:rPr>
        <w:t xml:space="preserve"> uma vez que incorporam os eventos mais recentes. Prazos mais curtos, portanto, são de natureza mais voltada para o futuro do que as médias históricas de longo prazo.</w:t>
      </w:r>
      <w:r w:rsidRPr="00700529">
        <w:rPr>
          <w:rStyle w:val="tlid-translation"/>
          <w:rFonts w:cs="Tahoma"/>
          <w:lang w:val="pt-PT"/>
        </w:rPr>
        <w:t xml:space="preserve"> </w:t>
      </w:r>
      <w:r w:rsidRPr="00284226">
        <w:rPr>
          <w:rStyle w:val="tlid-translation"/>
          <w:rFonts w:cs="Tahoma"/>
          <w:lang w:val="pt-PT"/>
        </w:rPr>
        <w:t xml:space="preserve">No entanto, quanto mais curto for o período de tempo escolhido, mais distorcidas serão as taxas devido aos eventos recentes. Se os mercados de capitais fossem perfeitamente eficientes, os </w:t>
      </w:r>
      <w:r>
        <w:rPr>
          <w:rStyle w:val="tlid-translation"/>
          <w:rFonts w:cs="Tahoma"/>
          <w:lang w:val="pt-PT"/>
        </w:rPr>
        <w:t>retornos</w:t>
      </w:r>
      <w:r w:rsidRPr="00284226">
        <w:rPr>
          <w:rStyle w:val="tlid-translation"/>
          <w:rFonts w:cs="Tahoma"/>
          <w:lang w:val="pt-PT"/>
        </w:rPr>
        <w:t xml:space="preserve"> atuais refletiriam todas as expectativas de ganhos futuros e a medida apropriada seria claramente </w:t>
      </w:r>
      <w:r>
        <w:rPr>
          <w:rStyle w:val="tlid-translation"/>
          <w:rFonts w:cs="Tahoma"/>
          <w:lang w:val="pt-PT"/>
        </w:rPr>
        <w:t xml:space="preserve">utilizar o valor do retorno </w:t>
      </w:r>
      <w:r w:rsidRPr="00284226">
        <w:rPr>
          <w:rStyle w:val="tlid-translation"/>
          <w:rFonts w:cs="Tahoma"/>
          <w:lang w:val="pt-PT"/>
        </w:rPr>
        <w:t>atual. No entanto, os mercados de capitais provaram não ser perfeitamente eficientes e, às vezes, fortemente distorcidos, principalmente no curto prazo. Portanto, a forte sensibilidade dos mercados a distorções de curto prazo pode enviesar significativamente os resultados</w:t>
      </w:r>
      <w:r>
        <w:rPr>
          <w:rStyle w:val="tlid-translation"/>
          <w:rFonts w:cs="Tahoma"/>
          <w:lang w:val="pt-PT"/>
        </w:rPr>
        <w:t xml:space="preserve"> obtidos</w:t>
      </w:r>
      <w:r w:rsidRPr="00284226">
        <w:rPr>
          <w:rStyle w:val="tlid-translation"/>
          <w:rFonts w:cs="Tahoma"/>
          <w:lang w:val="pt-PT"/>
        </w:rPr>
        <w:t>.</w:t>
      </w:r>
      <w:r>
        <w:rPr>
          <w:rStyle w:val="tlid-translation"/>
          <w:rFonts w:cs="Tahoma"/>
          <w:lang w:val="pt-PT"/>
        </w:rPr>
        <w:t xml:space="preserve"> A utilização da</w:t>
      </w:r>
      <w:r w:rsidRPr="00700529">
        <w:rPr>
          <w:rStyle w:val="tlid-translation"/>
          <w:rFonts w:cs="Tahoma"/>
          <w:lang w:val="pt-PT"/>
        </w:rPr>
        <w:t xml:space="preserve"> média das taxas históricas recentes tem sido uma prática padrão nas determinações regulatórias. Este método permite a minimização de quaisquer flutuações de curto prazo nas taxas, enquanto captura as informações e expectativas mais atualizadas.</w:t>
      </w:r>
    </w:p>
    <w:p w14:paraId="0410C63A" w14:textId="77777777" w:rsidR="0076097D" w:rsidRPr="00F20512" w:rsidRDefault="0076097D" w:rsidP="00142A4D">
      <w:pPr>
        <w:jc w:val="both"/>
        <w:rPr>
          <w:rFonts w:cs="Tahoma"/>
          <w:lang w:val="pt-PT"/>
        </w:rPr>
      </w:pPr>
      <w:r w:rsidRPr="00BB6492">
        <w:rPr>
          <w:rStyle w:val="tlid-translation"/>
          <w:rFonts w:cs="Tahoma"/>
          <w:lang w:val="pt-PT"/>
        </w:rPr>
        <w:t xml:space="preserve">No caso </w:t>
      </w:r>
      <w:r>
        <w:rPr>
          <w:rStyle w:val="tlid-translation"/>
          <w:rFonts w:cs="Tahoma"/>
          <w:lang w:val="pt-PT"/>
        </w:rPr>
        <w:t xml:space="preserve">específico </w:t>
      </w:r>
      <w:r w:rsidRPr="00BB6492">
        <w:rPr>
          <w:rStyle w:val="tlid-translation"/>
          <w:rFonts w:cs="Tahoma"/>
          <w:lang w:val="pt-PT"/>
        </w:rPr>
        <w:t>da Guiné Bissau, não temos detalhes sobre as emissões de obrigações do Estado</w:t>
      </w:r>
      <w:r>
        <w:rPr>
          <w:rStyle w:val="tlid-translation"/>
          <w:rFonts w:cs="Tahoma"/>
          <w:lang w:val="pt-PT"/>
        </w:rPr>
        <w:t xml:space="preserve"> de longo prazo</w:t>
      </w:r>
      <w:r w:rsidRPr="00BB6492">
        <w:rPr>
          <w:rStyle w:val="tlid-translation"/>
          <w:rFonts w:cs="Tahoma"/>
          <w:lang w:val="pt-PT"/>
        </w:rPr>
        <w:t xml:space="preserve">. </w:t>
      </w:r>
      <w:r>
        <w:rPr>
          <w:rStyle w:val="tlid-translation"/>
          <w:rFonts w:cs="Tahoma"/>
          <w:lang w:val="pt-PT"/>
        </w:rPr>
        <w:t>Em 2021 apenas existiu uma emissão de títulos, mas de muito curto prazo (3 meses, com uma taxa de juro de 3,83%</w:t>
      </w:r>
      <w:r>
        <w:rPr>
          <w:rStyle w:val="FootnoteReference"/>
          <w:lang w:val="pt-PT"/>
        </w:rPr>
        <w:footnoteReference w:id="9"/>
      </w:r>
      <w:r>
        <w:rPr>
          <w:rStyle w:val="tlid-translation"/>
          <w:rFonts w:cs="Tahoma"/>
          <w:lang w:val="pt-PT"/>
        </w:rPr>
        <w:t>). Quando não existem num país instrumentos de dívida pública que permitam avaliar a taxa sem risco alternativamente pode-se utilizar a taxa sem risco de outro país</w:t>
      </w:r>
      <w:r>
        <w:rPr>
          <w:rStyle w:val="FootnoteReference"/>
          <w:lang w:val="pt-PT"/>
        </w:rPr>
        <w:footnoteReference w:id="10"/>
      </w:r>
      <w:r>
        <w:rPr>
          <w:rStyle w:val="tlid-translation"/>
          <w:rFonts w:cs="Tahoma"/>
          <w:lang w:val="pt-PT"/>
        </w:rPr>
        <w:t>, ou uma média que inclua um conjunto de países com níveis de risco baixos e adicionar um prémio de risco de país</w:t>
      </w:r>
      <w:r>
        <w:rPr>
          <w:rStyle w:val="FootnoteReference"/>
          <w:lang w:val="pt-PT"/>
        </w:rPr>
        <w:footnoteReference w:id="11"/>
      </w:r>
      <w:r>
        <w:rPr>
          <w:rStyle w:val="tlid-translation"/>
          <w:rFonts w:cs="Tahoma"/>
          <w:lang w:val="pt-PT"/>
        </w:rPr>
        <w:t xml:space="preserve">. </w:t>
      </w:r>
      <w:r w:rsidRPr="00BB6492">
        <w:rPr>
          <w:rStyle w:val="tlid-translation"/>
          <w:rFonts w:cs="Tahoma"/>
          <w:lang w:val="pt-PT"/>
        </w:rPr>
        <w:t xml:space="preserve">Por conseguinte, </w:t>
      </w:r>
      <w:r>
        <w:rPr>
          <w:rStyle w:val="tlid-translation"/>
          <w:rFonts w:cs="Tahoma"/>
          <w:lang w:val="pt-PT"/>
        </w:rPr>
        <w:t>neste caso em que não existem instrumentos de dívida sem risco na Guiné Bissau com prazos adequados, opta-se</w:t>
      </w:r>
      <w:r w:rsidRPr="00BB6492">
        <w:rPr>
          <w:rStyle w:val="tlid-translation"/>
          <w:rFonts w:cs="Tahoma"/>
          <w:lang w:val="pt-PT"/>
        </w:rPr>
        <w:t xml:space="preserve"> por estimar a taxa sem risco </w:t>
      </w:r>
      <w:r>
        <w:rPr>
          <w:rStyle w:val="tlid-translation"/>
          <w:rFonts w:cs="Tahoma"/>
          <w:lang w:val="pt-PT"/>
        </w:rPr>
        <w:t>com base nos valores que se observam num conjunto de países da União Europeia (EU)</w:t>
      </w:r>
      <w:r w:rsidRPr="00BB6492">
        <w:rPr>
          <w:rStyle w:val="tlid-translation"/>
          <w:rFonts w:cs="Tahoma"/>
          <w:lang w:val="pt-PT"/>
        </w:rPr>
        <w:t>.</w:t>
      </w:r>
      <w:r>
        <w:rPr>
          <w:rStyle w:val="tlid-translation"/>
          <w:rFonts w:cs="Tahoma"/>
          <w:lang w:val="pt-PT"/>
        </w:rPr>
        <w:t xml:space="preserve"> Como fonte do valor das taxas de risco nestes países utiliza-se o relatório do </w:t>
      </w:r>
      <w:r w:rsidRPr="00FF235E">
        <w:rPr>
          <w:rStyle w:val="tlid-translation"/>
          <w:rFonts w:cs="Tahoma"/>
          <w:lang w:val="pt-PT"/>
        </w:rPr>
        <w:t>Organismo de Reguladores Europeus das Comunicações Eletrónicas</w:t>
      </w:r>
      <w:r>
        <w:rPr>
          <w:rStyle w:val="tlid-translation"/>
          <w:rFonts w:cs="Tahoma"/>
          <w:lang w:val="pt-PT"/>
        </w:rPr>
        <w:t>, BEREC que</w:t>
      </w:r>
      <w:r w:rsidRPr="00FF235E">
        <w:rPr>
          <w:lang w:val="pt-PT"/>
        </w:rPr>
        <w:t xml:space="preserve"> </w:t>
      </w:r>
      <w:r w:rsidRPr="008B4E91">
        <w:rPr>
          <w:rFonts w:cs="Tahoma"/>
          <w:lang w:val="pt-PT"/>
        </w:rPr>
        <w:t>foi publicado por este organismo a 29 de junho de 2020</w:t>
      </w:r>
      <w:r>
        <w:rPr>
          <w:rStyle w:val="FootnoteReference"/>
          <w:lang w:val="pt-PT"/>
        </w:rPr>
        <w:footnoteReference w:id="12"/>
      </w:r>
      <w:r w:rsidRPr="008B4E91">
        <w:rPr>
          <w:rFonts w:cs="Tahoma"/>
          <w:lang w:val="pt-PT"/>
        </w:rPr>
        <w:t xml:space="preserve">. Este documento apresenta para cada um dos parâmetros </w:t>
      </w:r>
      <w:r>
        <w:rPr>
          <w:rFonts w:cs="Tahoma"/>
          <w:lang w:val="pt-PT"/>
        </w:rPr>
        <w:t>de cálculo do CMPC</w:t>
      </w:r>
      <w:r w:rsidRPr="008B4E91">
        <w:rPr>
          <w:rFonts w:cs="Tahoma"/>
          <w:lang w:val="pt-PT"/>
        </w:rPr>
        <w:t xml:space="preserve">, os resultados </w:t>
      </w:r>
      <w:r>
        <w:rPr>
          <w:rFonts w:cs="Tahoma"/>
          <w:lang w:val="pt-PT"/>
        </w:rPr>
        <w:t>das estimativas</w:t>
      </w:r>
      <w:r w:rsidRPr="008B4E91">
        <w:rPr>
          <w:rFonts w:cs="Tahoma"/>
          <w:lang w:val="pt-PT"/>
        </w:rPr>
        <w:t xml:space="preserve"> deste organismo seguindo o mais próximo possível a metodologia </w:t>
      </w:r>
      <w:r>
        <w:rPr>
          <w:rFonts w:cs="Tahoma"/>
          <w:lang w:val="pt-PT"/>
        </w:rPr>
        <w:t>elaborada</w:t>
      </w:r>
      <w:r w:rsidRPr="008B4E91">
        <w:rPr>
          <w:rFonts w:cs="Tahoma"/>
          <w:lang w:val="pt-PT"/>
        </w:rPr>
        <w:t xml:space="preserve"> </w:t>
      </w:r>
      <w:r>
        <w:rPr>
          <w:rFonts w:cs="Tahoma"/>
          <w:lang w:val="pt-PT"/>
        </w:rPr>
        <w:t xml:space="preserve">pela </w:t>
      </w:r>
      <w:r w:rsidRPr="008B4E91">
        <w:rPr>
          <w:rFonts w:cs="Tahoma"/>
          <w:lang w:val="pt-PT"/>
        </w:rPr>
        <w:t>Comissão</w:t>
      </w:r>
      <w:r>
        <w:rPr>
          <w:rFonts w:cs="Tahoma"/>
          <w:lang w:val="pt-PT"/>
        </w:rPr>
        <w:t xml:space="preserve"> Europeia </w:t>
      </w:r>
      <w:r w:rsidRPr="008B4E91">
        <w:rPr>
          <w:rFonts w:cs="Tahoma"/>
          <w:lang w:val="pt-PT"/>
        </w:rPr>
        <w:t xml:space="preserve">na </w:t>
      </w:r>
      <w:r>
        <w:rPr>
          <w:rFonts w:cs="Tahoma"/>
          <w:lang w:val="pt-PT"/>
        </w:rPr>
        <w:t xml:space="preserve">sua </w:t>
      </w:r>
      <w:r w:rsidRPr="008B4E91">
        <w:rPr>
          <w:rFonts w:cs="Tahoma"/>
          <w:lang w:val="pt-PT"/>
        </w:rPr>
        <w:t>comunicação d</w:t>
      </w:r>
      <w:r>
        <w:rPr>
          <w:rFonts w:cs="Tahoma"/>
          <w:lang w:val="pt-PT"/>
        </w:rPr>
        <w:t xml:space="preserve">e </w:t>
      </w:r>
      <w:r w:rsidRPr="008B4E91">
        <w:rPr>
          <w:rFonts w:cs="Tahoma"/>
          <w:lang w:val="pt-PT"/>
        </w:rPr>
        <w:t>6 de novembro de 2019</w:t>
      </w:r>
      <w:r>
        <w:rPr>
          <w:rStyle w:val="FootnoteReference"/>
          <w:lang w:val="pt-PT"/>
        </w:rPr>
        <w:footnoteReference w:id="13"/>
      </w:r>
      <w:r>
        <w:rPr>
          <w:rFonts w:cs="Tahoma"/>
          <w:lang w:val="pt-PT"/>
        </w:rPr>
        <w:t xml:space="preserve">. </w:t>
      </w:r>
      <w:r w:rsidRPr="00F20512">
        <w:rPr>
          <w:rFonts w:cs="Tahoma"/>
          <w:lang w:val="pt-PT"/>
        </w:rPr>
        <w:t xml:space="preserve">A comunicação da Comissão </w:t>
      </w:r>
      <w:r>
        <w:rPr>
          <w:rFonts w:cs="Tahoma"/>
          <w:lang w:val="pt-PT"/>
        </w:rPr>
        <w:t>Europeia</w:t>
      </w:r>
      <w:r w:rsidRPr="00F20512">
        <w:rPr>
          <w:rFonts w:cs="Tahoma"/>
          <w:lang w:val="pt-PT"/>
        </w:rPr>
        <w:t xml:space="preserve"> visa promover a harmonização do cálculo da taxa de custo de capital para efeitos regulatórios no espaço comunitário e </w:t>
      </w:r>
      <w:r>
        <w:rPr>
          <w:rFonts w:cs="Tahoma"/>
          <w:lang w:val="pt-PT"/>
        </w:rPr>
        <w:t xml:space="preserve">especificamente </w:t>
      </w:r>
      <w:r w:rsidRPr="00F20512">
        <w:rPr>
          <w:rFonts w:cs="Tahoma"/>
          <w:lang w:val="pt-PT"/>
        </w:rPr>
        <w:t xml:space="preserve">para o sector das comunicações eletrónicas. Os valores dos parâmetros </w:t>
      </w:r>
      <w:r>
        <w:rPr>
          <w:rFonts w:cs="Tahoma"/>
          <w:lang w:val="pt-PT"/>
        </w:rPr>
        <w:t>utiliz</w:t>
      </w:r>
      <w:r w:rsidRPr="00F20512">
        <w:rPr>
          <w:rFonts w:cs="Tahoma"/>
          <w:lang w:val="pt-PT"/>
        </w:rPr>
        <w:t xml:space="preserve">ados no cálculo do CMPC, </w:t>
      </w:r>
      <w:r>
        <w:rPr>
          <w:rFonts w:cs="Tahoma"/>
          <w:lang w:val="pt-PT"/>
        </w:rPr>
        <w:t>passarão a ser</w:t>
      </w:r>
      <w:r w:rsidRPr="00F20512">
        <w:rPr>
          <w:rFonts w:cs="Tahoma"/>
          <w:lang w:val="pt-PT"/>
        </w:rPr>
        <w:t xml:space="preserve"> </w:t>
      </w:r>
      <w:r w:rsidRPr="00F20512">
        <w:rPr>
          <w:rFonts w:cs="Tahoma"/>
          <w:lang w:val="pt-PT"/>
        </w:rPr>
        <w:lastRenderedPageBreak/>
        <w:t>calculados e publicados anualmente pelo BEREC, com base na metodologia constante da referida comunicação.</w:t>
      </w:r>
    </w:p>
    <w:p w14:paraId="129141D7" w14:textId="77777777" w:rsidR="0076097D" w:rsidRDefault="0076097D" w:rsidP="00142A4D">
      <w:pPr>
        <w:jc w:val="both"/>
        <w:rPr>
          <w:rStyle w:val="tlid-translation"/>
          <w:rFonts w:cs="Tahoma"/>
          <w:lang w:val="pt-PT"/>
        </w:rPr>
      </w:pPr>
      <w:r w:rsidRPr="00C02109">
        <w:rPr>
          <w:rStyle w:val="tlid-translation"/>
          <w:rFonts w:cs="Tahoma"/>
          <w:lang w:val="pt-PT"/>
        </w:rPr>
        <w:t xml:space="preserve">Na determinação </w:t>
      </w:r>
      <w:r>
        <w:rPr>
          <w:rStyle w:val="tlid-translation"/>
          <w:rFonts w:cs="Tahoma"/>
          <w:lang w:val="pt-PT"/>
        </w:rPr>
        <w:t>das taxas de risco</w:t>
      </w:r>
      <w:r w:rsidRPr="00C02109">
        <w:rPr>
          <w:rStyle w:val="tlid-translation"/>
          <w:rFonts w:cs="Tahoma"/>
          <w:lang w:val="pt-PT"/>
        </w:rPr>
        <w:t xml:space="preserve"> por país</w:t>
      </w:r>
      <w:r>
        <w:rPr>
          <w:rStyle w:val="tlid-translation"/>
          <w:rFonts w:cs="Tahoma"/>
          <w:lang w:val="pt-PT"/>
        </w:rPr>
        <w:t>,</w:t>
      </w:r>
      <w:r w:rsidRPr="00C02109">
        <w:rPr>
          <w:rStyle w:val="tlid-translation"/>
          <w:rFonts w:cs="Tahoma"/>
          <w:lang w:val="pt-PT"/>
        </w:rPr>
        <w:t xml:space="preserve"> o BEREC baseou-se em dados publicados pelo Eurostat (Eurostat </w:t>
      </w:r>
      <w:r>
        <w:rPr>
          <w:rStyle w:val="tlid-translation"/>
          <w:rFonts w:cs="Tahoma"/>
          <w:lang w:val="pt-PT"/>
        </w:rPr>
        <w:t>l</w:t>
      </w:r>
      <w:r w:rsidRPr="00C02109">
        <w:rPr>
          <w:rStyle w:val="tlid-translation"/>
          <w:rFonts w:cs="Tahoma"/>
          <w:lang w:val="pt-PT"/>
        </w:rPr>
        <w:t xml:space="preserve">ong term government bond yields 2015M04 to 2020M03), de acordo com a média aritmética das taxas implícitas da dívida pública com maturidade próxima de 10 anos </w:t>
      </w:r>
      <w:r>
        <w:rPr>
          <w:rStyle w:val="tlid-translation"/>
          <w:rFonts w:cs="Tahoma"/>
          <w:lang w:val="pt-PT"/>
        </w:rPr>
        <w:t>para um período histórico de</w:t>
      </w:r>
      <w:r w:rsidRPr="00C02109">
        <w:rPr>
          <w:rStyle w:val="tlid-translation"/>
          <w:rFonts w:cs="Tahoma"/>
          <w:lang w:val="pt-PT"/>
        </w:rPr>
        <w:t xml:space="preserve"> cinco anos (1 de abril de 2015 a 31 de março de 2020) para cada Estado-Membro da UE. Os resultados para cada um dos Estados-Membros são apresentados na Tabela </w:t>
      </w:r>
      <w:r>
        <w:rPr>
          <w:rStyle w:val="tlid-translation"/>
          <w:rFonts w:cs="Tahoma"/>
          <w:lang w:val="pt-PT"/>
        </w:rPr>
        <w:t>abaixo. Como se pode observar cada país tem taxas de risco diferentes que podem variar entre 0,17, o valor mínimo, atribuído à Alemanha, que possui o rating máximo (AAA) e o valor máximo de 5,67, atribuído à Grécia, que possui o rating BB-. O valor médio da taxa sem risco dos países integrantes da EU em 2020 correspondia a 1,41%.</w:t>
      </w:r>
    </w:p>
    <w:p w14:paraId="6997935E" w14:textId="77777777" w:rsidR="0076097D" w:rsidRDefault="0076097D" w:rsidP="0076097D">
      <w:pPr>
        <w:jc w:val="center"/>
        <w:rPr>
          <w:rStyle w:val="tlid-translation"/>
          <w:rFonts w:cs="Tahoma"/>
          <w:lang w:val="pt-PT"/>
        </w:rPr>
      </w:pPr>
      <w:r w:rsidRPr="00F20512">
        <w:rPr>
          <w:rStyle w:val="tlid-translation"/>
          <w:noProof/>
        </w:rPr>
        <w:drawing>
          <wp:inline distT="0" distB="0" distL="0" distR="0" wp14:anchorId="5F714CF4" wp14:editId="18A222E1">
            <wp:extent cx="2692800" cy="45720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2800" cy="4572000"/>
                    </a:xfrm>
                    <a:prstGeom prst="rect">
                      <a:avLst/>
                    </a:prstGeom>
                    <a:noFill/>
                    <a:ln>
                      <a:noFill/>
                    </a:ln>
                  </pic:spPr>
                </pic:pic>
              </a:graphicData>
            </a:graphic>
          </wp:inline>
        </w:drawing>
      </w:r>
    </w:p>
    <w:p w14:paraId="76FD7B2D" w14:textId="77777777" w:rsidR="0076097D" w:rsidRPr="00BB6492" w:rsidRDefault="0076097D" w:rsidP="0076097D">
      <w:pPr>
        <w:pStyle w:val="OvumBullets"/>
        <w:ind w:left="0" w:firstLine="0"/>
        <w:rPr>
          <w:rFonts w:ascii="Tahoma" w:hAnsi="Tahoma" w:cs="Tahoma"/>
          <w:lang w:val="pt-PT"/>
        </w:rPr>
      </w:pPr>
    </w:p>
    <w:p w14:paraId="756B5B1D" w14:textId="77777777" w:rsidR="0076097D" w:rsidRDefault="0076097D" w:rsidP="00142A4D">
      <w:pPr>
        <w:pStyle w:val="OvumBullets"/>
        <w:ind w:left="66" w:firstLine="0"/>
        <w:jc w:val="both"/>
        <w:rPr>
          <w:rFonts w:ascii="Tahoma" w:hAnsi="Tahoma" w:cs="Tahoma"/>
          <w:lang w:val="pt-PT"/>
        </w:rPr>
      </w:pPr>
      <w:r>
        <w:rPr>
          <w:rStyle w:val="tlid-translation"/>
          <w:rFonts w:ascii="Tahoma" w:hAnsi="Tahoma" w:cs="Tahoma"/>
          <w:lang w:val="pt-PT"/>
        </w:rPr>
        <w:t>Adicionalmente é necessário calcular u</w:t>
      </w:r>
      <w:r w:rsidRPr="00BB6492">
        <w:rPr>
          <w:rStyle w:val="tlid-translation"/>
          <w:rFonts w:ascii="Tahoma" w:hAnsi="Tahoma" w:cs="Tahoma"/>
          <w:lang w:val="pt-PT"/>
        </w:rPr>
        <w:t xml:space="preserve">m prémio de risco do país para a Guiné Bissau. </w:t>
      </w:r>
      <w:r>
        <w:rPr>
          <w:rStyle w:val="tlid-translation"/>
          <w:rFonts w:ascii="Tahoma" w:hAnsi="Tahoma" w:cs="Tahoma"/>
          <w:lang w:val="pt-PT"/>
        </w:rPr>
        <w:t>A</w:t>
      </w:r>
      <w:r w:rsidRPr="00BB6492">
        <w:rPr>
          <w:rStyle w:val="tlid-translation"/>
          <w:rFonts w:ascii="Tahoma" w:hAnsi="Tahoma" w:cs="Tahoma"/>
          <w:lang w:val="pt-PT"/>
        </w:rPr>
        <w:t xml:space="preserve"> estimativa </w:t>
      </w:r>
      <w:r>
        <w:rPr>
          <w:rStyle w:val="tlid-translation"/>
          <w:rFonts w:ascii="Tahoma" w:hAnsi="Tahoma" w:cs="Tahoma"/>
          <w:lang w:val="pt-PT"/>
        </w:rPr>
        <w:t xml:space="preserve">apresentada </w:t>
      </w:r>
      <w:r w:rsidRPr="00BB6492">
        <w:rPr>
          <w:rStyle w:val="tlid-translation"/>
          <w:rFonts w:ascii="Tahoma" w:hAnsi="Tahoma" w:cs="Tahoma"/>
          <w:lang w:val="pt-PT"/>
        </w:rPr>
        <w:t>baseia-se em dados publicados pelo Professor Aswath</w:t>
      </w:r>
      <w:r w:rsidRPr="00BB6492">
        <w:rPr>
          <w:rFonts w:ascii="Tahoma" w:hAnsi="Tahoma" w:cs="Tahoma"/>
          <w:lang w:val="pt-PT"/>
        </w:rPr>
        <w:t xml:space="preserve"> </w:t>
      </w:r>
      <w:r w:rsidRPr="00BB6492">
        <w:rPr>
          <w:rStyle w:val="tlid-translation"/>
          <w:rFonts w:ascii="Tahoma" w:hAnsi="Tahoma" w:cs="Tahoma"/>
          <w:lang w:val="pt-PT"/>
        </w:rPr>
        <w:lastRenderedPageBreak/>
        <w:t>Damodaran</w:t>
      </w:r>
      <w:r w:rsidRPr="00BB6492">
        <w:rPr>
          <w:rFonts w:ascii="Tahoma" w:hAnsi="Tahoma" w:cs="Tahoma"/>
          <w:lang w:val="pt-PT"/>
        </w:rPr>
        <w:t xml:space="preserve"> </w:t>
      </w:r>
      <w:r w:rsidRPr="00BB6492">
        <w:rPr>
          <w:rStyle w:val="tlid-translation"/>
          <w:rFonts w:ascii="Tahoma" w:hAnsi="Tahoma" w:cs="Tahoma"/>
          <w:lang w:val="pt-PT"/>
        </w:rPr>
        <w:t>da Stern</w:t>
      </w:r>
      <w:r w:rsidRPr="00BB6492">
        <w:rPr>
          <w:rFonts w:ascii="Tahoma" w:hAnsi="Tahoma" w:cs="Tahoma"/>
          <w:lang w:val="pt-PT"/>
        </w:rPr>
        <w:t xml:space="preserve"> </w:t>
      </w:r>
      <w:r w:rsidRPr="00BB6492">
        <w:rPr>
          <w:rStyle w:val="tlid-translation"/>
          <w:rFonts w:ascii="Tahoma" w:hAnsi="Tahoma" w:cs="Tahoma"/>
          <w:lang w:val="pt-PT"/>
        </w:rPr>
        <w:t>School</w:t>
      </w:r>
      <w:r w:rsidRPr="00BB6492">
        <w:rPr>
          <w:rFonts w:ascii="Tahoma" w:hAnsi="Tahoma" w:cs="Tahoma"/>
          <w:lang w:val="pt-PT"/>
        </w:rPr>
        <w:t xml:space="preserve"> of Business em </w:t>
      </w:r>
      <w:r w:rsidRPr="00BB6492">
        <w:rPr>
          <w:rStyle w:val="tlid-translation"/>
          <w:rFonts w:ascii="Tahoma" w:hAnsi="Tahoma" w:cs="Tahoma"/>
          <w:lang w:val="pt-PT"/>
        </w:rPr>
        <w:t>Nova Iorque</w:t>
      </w:r>
      <w:r>
        <w:rPr>
          <w:rStyle w:val="FootnoteReference"/>
          <w:rFonts w:ascii="Tahoma" w:hAnsi="Tahoma"/>
          <w:lang w:val="pt-PT"/>
        </w:rPr>
        <w:footnoteReference w:id="14"/>
      </w:r>
      <w:r w:rsidRPr="00BB6492">
        <w:rPr>
          <w:rStyle w:val="tlid-translation"/>
          <w:rFonts w:ascii="Tahoma" w:hAnsi="Tahoma" w:cs="Tahoma"/>
          <w:lang w:val="pt-PT"/>
        </w:rPr>
        <w:t>.</w:t>
      </w:r>
      <w:r w:rsidRPr="00BB6492">
        <w:rPr>
          <w:rFonts w:ascii="Tahoma" w:hAnsi="Tahoma" w:cs="Tahoma"/>
          <w:lang w:val="pt-PT"/>
        </w:rPr>
        <w:t xml:space="preserve"> </w:t>
      </w:r>
      <w:r w:rsidRPr="00BB6492">
        <w:rPr>
          <w:rStyle w:val="tlid-translation"/>
          <w:rFonts w:ascii="Tahoma" w:hAnsi="Tahoma" w:cs="Tahoma"/>
          <w:lang w:val="pt-PT"/>
        </w:rPr>
        <w:t>Todos os anos, em janeiro, atualiza os cálculos dos prémios de risco (e outros parâmetros) para muitos países. De acordo com a última atualização a taxa de risco de país da Guiné Bissau é 7,26%.</w:t>
      </w:r>
      <w:r w:rsidRPr="00BB6492">
        <w:rPr>
          <w:rFonts w:ascii="Tahoma" w:hAnsi="Tahoma" w:cs="Tahoma"/>
          <w:lang w:val="pt-PT"/>
        </w:rPr>
        <w:t xml:space="preserve"> </w:t>
      </w:r>
      <w:r w:rsidRPr="00BB6492">
        <w:rPr>
          <w:rStyle w:val="tlid-translation"/>
          <w:rFonts w:ascii="Tahoma" w:hAnsi="Tahoma" w:cs="Tahoma"/>
          <w:lang w:val="pt-PT"/>
        </w:rPr>
        <w:t xml:space="preserve"> Os últimos</w:t>
      </w:r>
      <w:r w:rsidRPr="00BB6492">
        <w:rPr>
          <w:rFonts w:ascii="Tahoma" w:hAnsi="Tahoma" w:cs="Tahoma"/>
          <w:lang w:val="pt-PT"/>
        </w:rPr>
        <w:t xml:space="preserve"> números de risco do </w:t>
      </w:r>
      <w:r w:rsidRPr="00BB6492">
        <w:rPr>
          <w:rStyle w:val="tlid-translation"/>
          <w:rFonts w:ascii="Tahoma" w:hAnsi="Tahoma" w:cs="Tahoma"/>
          <w:lang w:val="pt-PT"/>
        </w:rPr>
        <w:t xml:space="preserve">país </w:t>
      </w:r>
      <w:r w:rsidRPr="00BB6492">
        <w:rPr>
          <w:rFonts w:ascii="Tahoma" w:hAnsi="Tahoma" w:cs="Tahoma"/>
          <w:lang w:val="pt-PT"/>
        </w:rPr>
        <w:t xml:space="preserve">datam de janeiro de </w:t>
      </w:r>
      <w:r w:rsidRPr="00BB6492">
        <w:rPr>
          <w:rStyle w:val="tlid-translation"/>
          <w:rFonts w:ascii="Tahoma" w:hAnsi="Tahoma" w:cs="Tahoma"/>
          <w:lang w:val="pt-PT"/>
        </w:rPr>
        <w:t>2021.</w:t>
      </w:r>
      <w:r w:rsidRPr="00BB6492">
        <w:rPr>
          <w:rFonts w:ascii="Tahoma" w:hAnsi="Tahoma" w:cs="Tahoma"/>
          <w:lang w:val="pt-PT"/>
        </w:rPr>
        <w:t xml:space="preserve">  </w:t>
      </w:r>
    </w:p>
    <w:p w14:paraId="32936BC9" w14:textId="77777777" w:rsidR="0076097D" w:rsidRDefault="0076097D" w:rsidP="0076097D">
      <w:pPr>
        <w:pStyle w:val="OvumBullets"/>
        <w:ind w:left="66" w:firstLine="0"/>
        <w:rPr>
          <w:rFonts w:ascii="Tahoma" w:hAnsi="Tahoma" w:cs="Tahoma"/>
          <w:lang w:val="pt-PT"/>
        </w:rPr>
      </w:pPr>
    </w:p>
    <w:p w14:paraId="5C9AC86C" w14:textId="77777777" w:rsidR="0076097D" w:rsidRPr="00BB6492" w:rsidRDefault="0076097D" w:rsidP="00142A4D">
      <w:pPr>
        <w:pStyle w:val="OvumBullets"/>
        <w:ind w:left="66" w:firstLine="0"/>
        <w:jc w:val="both"/>
        <w:rPr>
          <w:rFonts w:ascii="Tahoma" w:hAnsi="Tahoma" w:cs="Tahoma"/>
          <w:lang w:val="pt-PT"/>
        </w:rPr>
      </w:pPr>
      <w:r>
        <w:rPr>
          <w:rFonts w:ascii="Tahoma" w:hAnsi="Tahoma" w:cs="Tahoma"/>
          <w:lang w:val="pt-PT"/>
        </w:rPr>
        <w:t>Outra questão que normalmente se coloca é sobre a necessidade de introduzir (ou não) uma correção no cálculo, devido às diferenças esperadas entre a inflação</w:t>
      </w:r>
      <w:r>
        <w:rPr>
          <w:rStyle w:val="FootnoteReference"/>
          <w:rFonts w:ascii="Tahoma" w:hAnsi="Tahoma"/>
          <w:lang w:val="pt-PT"/>
        </w:rPr>
        <w:footnoteReference w:id="15"/>
      </w:r>
      <w:r>
        <w:rPr>
          <w:rFonts w:ascii="Tahoma" w:hAnsi="Tahoma" w:cs="Tahoma"/>
          <w:lang w:val="pt-PT"/>
        </w:rPr>
        <w:t xml:space="preserve"> na jurisdição em relação à qual se determina a taxa sem risco e a economia local.  Na perspetiva de muitos especialistas internacionais</w:t>
      </w:r>
      <w:r>
        <w:rPr>
          <w:rStyle w:val="FootnoteReference"/>
          <w:rFonts w:ascii="Tahoma" w:hAnsi="Tahoma"/>
          <w:lang w:val="pt-PT"/>
        </w:rPr>
        <w:footnoteReference w:id="16"/>
      </w:r>
      <w:r>
        <w:rPr>
          <w:rFonts w:ascii="Tahoma" w:hAnsi="Tahoma" w:cs="Tahoma"/>
          <w:lang w:val="pt-PT"/>
        </w:rPr>
        <w:t xml:space="preserve"> u</w:t>
      </w:r>
      <w:r w:rsidRPr="005D273E">
        <w:rPr>
          <w:rFonts w:ascii="Tahoma" w:hAnsi="Tahoma" w:cs="Tahoma"/>
          <w:lang w:val="pt-PT"/>
        </w:rPr>
        <w:t xml:space="preserve">m ajuste de inflação não está alinhado com a perspetiva do </w:t>
      </w:r>
      <w:r>
        <w:rPr>
          <w:rFonts w:ascii="Tahoma" w:hAnsi="Tahoma" w:cs="Tahoma"/>
          <w:lang w:val="pt-PT"/>
        </w:rPr>
        <w:t>“</w:t>
      </w:r>
      <w:r w:rsidRPr="005D273E">
        <w:rPr>
          <w:rFonts w:ascii="Tahoma" w:hAnsi="Tahoma" w:cs="Tahoma"/>
          <w:lang w:val="pt-PT"/>
        </w:rPr>
        <w:t>investidor internacional</w:t>
      </w:r>
      <w:r>
        <w:rPr>
          <w:rFonts w:ascii="Tahoma" w:hAnsi="Tahoma" w:cs="Tahoma"/>
          <w:lang w:val="pt-PT"/>
        </w:rPr>
        <w:t>” (ambas as empresas regulamentadas são investidoras internacionais)</w:t>
      </w:r>
      <w:r w:rsidRPr="005D273E">
        <w:rPr>
          <w:rFonts w:ascii="Tahoma" w:hAnsi="Tahoma" w:cs="Tahoma"/>
          <w:lang w:val="pt-PT"/>
        </w:rPr>
        <w:t>, uma vez que as empresas regulamentadas não devem ser compensadas pelos riscos locais específicos do país, mas apenas pelo risco que não pode ser eliminado pela diversificação internacional.</w:t>
      </w:r>
      <w:r>
        <w:rPr>
          <w:rFonts w:ascii="Tahoma" w:hAnsi="Tahoma" w:cs="Tahoma"/>
          <w:lang w:val="pt-PT"/>
        </w:rPr>
        <w:t xml:space="preserve"> </w:t>
      </w:r>
      <w:r>
        <w:rPr>
          <w:rStyle w:val="tlid-translation"/>
          <w:rFonts w:ascii="Tahoma" w:hAnsi="Tahoma" w:cs="Tahoma"/>
          <w:lang w:val="pt-PT"/>
        </w:rPr>
        <w:t>Utilizando estes valores, a</w:t>
      </w:r>
      <w:r w:rsidRPr="00BB6492">
        <w:rPr>
          <w:rStyle w:val="tlid-translation"/>
          <w:rFonts w:ascii="Tahoma" w:hAnsi="Tahoma" w:cs="Tahoma"/>
          <w:lang w:val="pt-PT"/>
        </w:rPr>
        <w:t xml:space="preserve"> taxa sem risco </w:t>
      </w:r>
      <w:r w:rsidRPr="00BB6492">
        <w:rPr>
          <w:rFonts w:ascii="Tahoma" w:hAnsi="Tahoma" w:cs="Tahoma"/>
          <w:lang w:val="pt-PT"/>
        </w:rPr>
        <w:t xml:space="preserve">da Guiné Bissau </w:t>
      </w:r>
      <w:r>
        <w:rPr>
          <w:rFonts w:ascii="Tahoma" w:hAnsi="Tahoma" w:cs="Tahoma"/>
          <w:lang w:val="pt-PT"/>
        </w:rPr>
        <w:t>corresponde a</w:t>
      </w:r>
      <w:r w:rsidRPr="00BB6492">
        <w:rPr>
          <w:rFonts w:ascii="Tahoma" w:hAnsi="Tahoma" w:cs="Tahoma"/>
          <w:lang w:val="pt-PT"/>
        </w:rPr>
        <w:t xml:space="preserve"> </w:t>
      </w:r>
      <w:r>
        <w:rPr>
          <w:rStyle w:val="tlid-translation"/>
          <w:rFonts w:ascii="Tahoma" w:hAnsi="Tahoma" w:cs="Tahoma"/>
          <w:lang w:val="pt-PT"/>
        </w:rPr>
        <w:t xml:space="preserve">8,67 </w:t>
      </w:r>
      <w:r w:rsidRPr="00BB6492">
        <w:rPr>
          <w:rStyle w:val="tlid-translation"/>
          <w:rFonts w:ascii="Tahoma" w:hAnsi="Tahoma" w:cs="Tahoma"/>
          <w:lang w:val="pt-PT"/>
        </w:rPr>
        <w:t>%</w:t>
      </w:r>
      <w:r>
        <w:rPr>
          <w:rStyle w:val="tlid-translation"/>
          <w:rFonts w:ascii="Tahoma" w:hAnsi="Tahoma" w:cs="Tahoma"/>
          <w:lang w:val="pt-PT"/>
        </w:rPr>
        <w:t>, conforme apresentado</w:t>
      </w:r>
      <w:r w:rsidRPr="00BB6492">
        <w:rPr>
          <w:rStyle w:val="tlid-translation"/>
          <w:rFonts w:ascii="Tahoma" w:hAnsi="Tahoma" w:cs="Tahoma"/>
          <w:lang w:val="pt-PT"/>
        </w:rPr>
        <w:t xml:space="preserve"> </w:t>
      </w:r>
      <w:r>
        <w:rPr>
          <w:rFonts w:ascii="Tahoma" w:hAnsi="Tahoma" w:cs="Tahoma"/>
          <w:lang w:val="pt-PT"/>
        </w:rPr>
        <w:t>na tabela seguinte:</w:t>
      </w:r>
    </w:p>
    <w:p w14:paraId="3907BF3C" w14:textId="77777777" w:rsidR="0076097D" w:rsidRPr="00A23781" w:rsidRDefault="0076097D" w:rsidP="0076097D">
      <w:pPr>
        <w:jc w:val="center"/>
      </w:pPr>
      <w:r w:rsidRPr="00DE1C4D">
        <w:rPr>
          <w:noProof/>
        </w:rPr>
        <w:drawing>
          <wp:inline distT="0" distB="0" distL="0" distR="0" wp14:anchorId="1F20DD58" wp14:editId="4AD83702">
            <wp:extent cx="5461000" cy="742950"/>
            <wp:effectExtent l="0" t="0" r="635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61000" cy="742950"/>
                    </a:xfrm>
                    <a:prstGeom prst="rect">
                      <a:avLst/>
                    </a:prstGeom>
                    <a:noFill/>
                    <a:ln>
                      <a:noFill/>
                    </a:ln>
                  </pic:spPr>
                </pic:pic>
              </a:graphicData>
            </a:graphic>
          </wp:inline>
        </w:drawing>
      </w:r>
    </w:p>
    <w:p w14:paraId="79403F21" w14:textId="77777777" w:rsidR="0076097D" w:rsidRPr="00EE0B21" w:rsidRDefault="0076097D" w:rsidP="0076097D">
      <w:pPr>
        <w:pStyle w:val="Heading2"/>
        <w:numPr>
          <w:ilvl w:val="0"/>
          <w:numId w:val="0"/>
        </w:numPr>
        <w:rPr>
          <w:lang w:val="pt-PT"/>
        </w:rPr>
      </w:pPr>
      <w:bookmarkStart w:id="30" w:name="_Toc75349741"/>
      <w:bookmarkStart w:id="31" w:name="_Toc532482101"/>
      <w:bookmarkStart w:id="32" w:name="_Toc6841759"/>
      <w:bookmarkStart w:id="33" w:name="_Toc8819893"/>
      <w:r w:rsidRPr="002A21F6">
        <w:rPr>
          <w:lang w:val="pt-PT"/>
        </w:rPr>
        <w:t>3</w:t>
      </w:r>
      <w:r>
        <w:rPr>
          <w:lang w:val="pt-PT"/>
        </w:rPr>
        <w:tab/>
        <w:t>C</w:t>
      </w:r>
      <w:r w:rsidRPr="002A21F6">
        <w:rPr>
          <w:lang w:val="pt-PT"/>
        </w:rPr>
        <w:t>usto da dívida</w:t>
      </w:r>
      <w:bookmarkEnd w:id="30"/>
      <w:r w:rsidRPr="002A21F6">
        <w:rPr>
          <w:lang w:val="pt-PT"/>
        </w:rPr>
        <w:tab/>
      </w:r>
      <w:bookmarkEnd w:id="31"/>
      <w:bookmarkEnd w:id="32"/>
      <w:bookmarkEnd w:id="33"/>
    </w:p>
    <w:p w14:paraId="30C2C921" w14:textId="77777777" w:rsidR="0076097D" w:rsidRDefault="0076097D" w:rsidP="00142A4D">
      <w:pPr>
        <w:jc w:val="both"/>
        <w:rPr>
          <w:rStyle w:val="tlid-translation"/>
          <w:rFonts w:cs="Tahoma"/>
          <w:lang w:val="pt-PT"/>
        </w:rPr>
      </w:pPr>
      <w:r w:rsidRPr="002D4243">
        <w:rPr>
          <w:rStyle w:val="tlid-translation"/>
          <w:rFonts w:cs="Tahoma"/>
          <w:lang w:val="pt-PT"/>
        </w:rPr>
        <w:t xml:space="preserve">Os proprietários de </w:t>
      </w:r>
      <w:r>
        <w:rPr>
          <w:rStyle w:val="tlid-translation"/>
          <w:rFonts w:cs="Tahoma"/>
          <w:lang w:val="pt-PT"/>
        </w:rPr>
        <w:t>empréstimos a</w:t>
      </w:r>
      <w:r w:rsidRPr="002D4243">
        <w:rPr>
          <w:rStyle w:val="tlid-translation"/>
          <w:rFonts w:cs="Tahoma"/>
          <w:lang w:val="pt-PT"/>
        </w:rPr>
        <w:t xml:space="preserve"> empresas, como </w:t>
      </w:r>
      <w:r>
        <w:rPr>
          <w:rStyle w:val="tlid-translation"/>
          <w:rFonts w:cs="Tahoma"/>
          <w:lang w:val="pt-PT"/>
        </w:rPr>
        <w:t>por exemplo obrigações ou empréstimos bancários (as duas formas mais comuns de financiamento com capital alheio)</w:t>
      </w:r>
      <w:r w:rsidRPr="002D4243">
        <w:rPr>
          <w:rStyle w:val="tlid-translation"/>
          <w:rFonts w:cs="Tahoma"/>
          <w:lang w:val="pt-PT"/>
        </w:rPr>
        <w:t>, normalmente exigem um pr</w:t>
      </w:r>
      <w:r>
        <w:rPr>
          <w:rStyle w:val="tlid-translation"/>
          <w:rFonts w:cs="Tahoma"/>
          <w:lang w:val="pt-PT"/>
        </w:rPr>
        <w:t>é</w:t>
      </w:r>
      <w:r w:rsidRPr="002D4243">
        <w:rPr>
          <w:rStyle w:val="tlid-translation"/>
          <w:rFonts w:cs="Tahoma"/>
          <w:lang w:val="pt-PT"/>
        </w:rPr>
        <w:t xml:space="preserve">mio acima da taxa </w:t>
      </w:r>
      <w:r>
        <w:rPr>
          <w:rStyle w:val="tlid-translation"/>
          <w:rFonts w:cs="Tahoma"/>
          <w:lang w:val="pt-PT"/>
        </w:rPr>
        <w:t>sem</w:t>
      </w:r>
      <w:r w:rsidRPr="002D4243">
        <w:rPr>
          <w:rStyle w:val="tlid-translation"/>
          <w:rFonts w:cs="Tahoma"/>
          <w:lang w:val="pt-PT"/>
        </w:rPr>
        <w:t xml:space="preserve"> risco para compensar o risco de falência. Este </w:t>
      </w:r>
      <w:r>
        <w:rPr>
          <w:rStyle w:val="tlid-translation"/>
          <w:rFonts w:cs="Tahoma"/>
          <w:lang w:val="pt-PT"/>
        </w:rPr>
        <w:t>prémio designa-se por prémio de risco da dívida (</w:t>
      </w:r>
      <w:r w:rsidRPr="002D4243">
        <w:rPr>
          <w:rStyle w:val="tlid-translation"/>
          <w:rFonts w:cs="Tahoma"/>
          <w:lang w:val="pt-PT"/>
        </w:rPr>
        <w:t>D</w:t>
      </w:r>
      <w:r>
        <w:rPr>
          <w:rStyle w:val="tlid-translation"/>
          <w:rFonts w:cs="Tahoma"/>
          <w:lang w:val="pt-PT"/>
        </w:rPr>
        <w:t>ebt Risk Premium na terminologia inglesa, DRP)</w:t>
      </w:r>
      <w:r w:rsidRPr="002D4243">
        <w:rPr>
          <w:rStyle w:val="tlid-translation"/>
          <w:rFonts w:cs="Tahoma"/>
          <w:lang w:val="pt-PT"/>
        </w:rPr>
        <w:t xml:space="preserve">. Um </w:t>
      </w:r>
      <w:r>
        <w:rPr>
          <w:rStyle w:val="tlid-translation"/>
          <w:rFonts w:cs="Tahoma"/>
          <w:lang w:val="pt-PT"/>
        </w:rPr>
        <w:t xml:space="preserve">nível elevado de </w:t>
      </w:r>
      <w:r w:rsidRPr="002D4243">
        <w:rPr>
          <w:rStyle w:val="tlid-translation"/>
          <w:rFonts w:cs="Tahoma"/>
          <w:lang w:val="pt-PT"/>
        </w:rPr>
        <w:t>alavancagem está frequentemente associad</w:t>
      </w:r>
      <w:r>
        <w:rPr>
          <w:rStyle w:val="tlid-translation"/>
          <w:rFonts w:cs="Tahoma"/>
          <w:lang w:val="pt-PT"/>
        </w:rPr>
        <w:t>o</w:t>
      </w:r>
      <w:r w:rsidRPr="002D4243">
        <w:rPr>
          <w:rStyle w:val="tlid-translation"/>
          <w:rFonts w:cs="Tahoma"/>
          <w:lang w:val="pt-PT"/>
        </w:rPr>
        <w:t xml:space="preserve"> a um maior risco de </w:t>
      </w:r>
      <w:r>
        <w:rPr>
          <w:rStyle w:val="tlid-translation"/>
          <w:rFonts w:cs="Tahoma"/>
          <w:lang w:val="pt-PT"/>
        </w:rPr>
        <w:t>não cumprimento (pagamento de juros e capital em dívida)</w:t>
      </w:r>
      <w:r w:rsidRPr="002D4243">
        <w:rPr>
          <w:rStyle w:val="tlid-translation"/>
          <w:rFonts w:cs="Tahoma"/>
          <w:lang w:val="pt-PT"/>
        </w:rPr>
        <w:t xml:space="preserve"> e, consequentemente, acarreta um maior </w:t>
      </w:r>
      <w:r>
        <w:rPr>
          <w:rStyle w:val="tlid-translation"/>
          <w:rFonts w:cs="Tahoma"/>
          <w:lang w:val="pt-PT"/>
        </w:rPr>
        <w:t>prémio de risco da dívida</w:t>
      </w:r>
      <w:r w:rsidRPr="002D4243">
        <w:rPr>
          <w:rStyle w:val="tlid-translation"/>
          <w:rFonts w:cs="Tahoma"/>
          <w:lang w:val="pt-PT"/>
        </w:rPr>
        <w:t xml:space="preserve">. </w:t>
      </w:r>
    </w:p>
    <w:p w14:paraId="3BAABF72" w14:textId="77777777" w:rsidR="0076097D" w:rsidRDefault="0076097D" w:rsidP="00142A4D">
      <w:pPr>
        <w:jc w:val="both"/>
        <w:rPr>
          <w:rStyle w:val="tlid-translation"/>
          <w:rFonts w:cs="Tahoma"/>
          <w:lang w:val="pt-PT"/>
        </w:rPr>
      </w:pPr>
      <w:r w:rsidRPr="00405269">
        <w:rPr>
          <w:rStyle w:val="tlid-translation"/>
          <w:rFonts w:cs="Tahoma"/>
          <w:lang w:val="pt-PT"/>
        </w:rPr>
        <w:t xml:space="preserve">A estimativa </w:t>
      </w:r>
      <w:r>
        <w:rPr>
          <w:rStyle w:val="tlid-translation"/>
          <w:rFonts w:cs="Tahoma"/>
          <w:lang w:val="pt-PT"/>
        </w:rPr>
        <w:t xml:space="preserve">do valor do prémio de risco da dívida, caso a empresa emita obrigações, </w:t>
      </w:r>
      <w:r w:rsidRPr="00405269">
        <w:rPr>
          <w:rStyle w:val="tlid-translation"/>
          <w:rFonts w:cs="Tahoma"/>
          <w:lang w:val="pt-PT"/>
        </w:rPr>
        <w:t xml:space="preserve">geralmente envolve o </w:t>
      </w:r>
      <w:r>
        <w:rPr>
          <w:rStyle w:val="tlid-translation"/>
          <w:rFonts w:cs="Tahoma"/>
          <w:lang w:val="pt-PT"/>
        </w:rPr>
        <w:t>cálculo da diferença (“spread”)</w:t>
      </w:r>
      <w:r w:rsidRPr="00405269">
        <w:rPr>
          <w:rStyle w:val="tlid-translation"/>
          <w:rFonts w:cs="Tahoma"/>
          <w:lang w:val="pt-PT"/>
        </w:rPr>
        <w:t xml:space="preserve"> </w:t>
      </w:r>
      <w:r>
        <w:rPr>
          <w:rStyle w:val="tlid-translation"/>
          <w:rFonts w:cs="Tahoma"/>
          <w:lang w:val="pt-PT"/>
        </w:rPr>
        <w:t>entre a taxa da obrigação da empresa</w:t>
      </w:r>
      <w:r w:rsidRPr="00405269">
        <w:rPr>
          <w:rStyle w:val="tlid-translation"/>
          <w:rFonts w:cs="Tahoma"/>
          <w:lang w:val="pt-PT"/>
        </w:rPr>
        <w:t xml:space="preserve"> </w:t>
      </w:r>
      <w:r>
        <w:rPr>
          <w:rStyle w:val="tlid-translation"/>
          <w:rFonts w:cs="Tahoma"/>
          <w:lang w:val="pt-PT"/>
        </w:rPr>
        <w:t>e</w:t>
      </w:r>
      <w:r w:rsidRPr="00405269">
        <w:rPr>
          <w:rStyle w:val="tlid-translation"/>
          <w:rFonts w:cs="Tahoma"/>
          <w:lang w:val="pt-PT"/>
        </w:rPr>
        <w:t xml:space="preserve"> a taxa </w:t>
      </w:r>
      <w:r>
        <w:rPr>
          <w:rStyle w:val="tlid-translation"/>
          <w:rFonts w:cs="Tahoma"/>
          <w:lang w:val="pt-PT"/>
        </w:rPr>
        <w:t>sem</w:t>
      </w:r>
      <w:r w:rsidRPr="00405269">
        <w:rPr>
          <w:rStyle w:val="tlid-translation"/>
          <w:rFonts w:cs="Tahoma"/>
          <w:lang w:val="pt-PT"/>
        </w:rPr>
        <w:t xml:space="preserve"> risco</w:t>
      </w:r>
      <w:r>
        <w:rPr>
          <w:rStyle w:val="tlid-translation"/>
          <w:rFonts w:cs="Tahoma"/>
          <w:lang w:val="pt-PT"/>
        </w:rPr>
        <w:t xml:space="preserve">. Caso a empresa não emita obrigações uma forma alternativa é a de analisar o valor </w:t>
      </w:r>
      <w:r w:rsidRPr="00405269">
        <w:rPr>
          <w:rStyle w:val="tlid-translation"/>
          <w:rFonts w:cs="Tahoma"/>
          <w:lang w:val="pt-PT"/>
        </w:rPr>
        <w:t xml:space="preserve">para um grupo de </w:t>
      </w:r>
      <w:r>
        <w:rPr>
          <w:rStyle w:val="tlid-translation"/>
          <w:rFonts w:cs="Tahoma"/>
          <w:lang w:val="pt-PT"/>
        </w:rPr>
        <w:t>empresas semelhantes</w:t>
      </w:r>
      <w:r w:rsidRPr="00405269">
        <w:rPr>
          <w:rStyle w:val="tlid-translation"/>
          <w:rFonts w:cs="Tahoma"/>
          <w:lang w:val="pt-PT"/>
        </w:rPr>
        <w:t xml:space="preserve">. O </w:t>
      </w:r>
      <w:r>
        <w:rPr>
          <w:rStyle w:val="tlid-translation"/>
          <w:rFonts w:cs="Tahoma"/>
          <w:lang w:val="pt-PT"/>
        </w:rPr>
        <w:t>“</w:t>
      </w:r>
      <w:r w:rsidRPr="00405269">
        <w:rPr>
          <w:rStyle w:val="tlid-translation"/>
          <w:rFonts w:cs="Tahoma"/>
          <w:lang w:val="pt-PT"/>
        </w:rPr>
        <w:t>spread</w:t>
      </w:r>
      <w:r>
        <w:rPr>
          <w:rStyle w:val="tlid-translation"/>
          <w:rFonts w:cs="Tahoma"/>
          <w:lang w:val="pt-PT"/>
        </w:rPr>
        <w:t>”</w:t>
      </w:r>
      <w:r w:rsidRPr="00405269">
        <w:rPr>
          <w:rStyle w:val="tlid-translation"/>
          <w:rFonts w:cs="Tahoma"/>
          <w:lang w:val="pt-PT"/>
        </w:rPr>
        <w:t xml:space="preserve"> é uma medida direta </w:t>
      </w:r>
      <w:r w:rsidRPr="00405269">
        <w:rPr>
          <w:rStyle w:val="tlid-translation"/>
          <w:rFonts w:cs="Tahoma"/>
          <w:lang w:val="pt-PT"/>
        </w:rPr>
        <w:lastRenderedPageBreak/>
        <w:t xml:space="preserve">do </w:t>
      </w:r>
      <w:r>
        <w:rPr>
          <w:rStyle w:val="tlid-translation"/>
          <w:rFonts w:cs="Tahoma"/>
          <w:lang w:val="pt-PT"/>
        </w:rPr>
        <w:t>PRD</w:t>
      </w:r>
      <w:r w:rsidRPr="00405269">
        <w:rPr>
          <w:rStyle w:val="tlid-translation"/>
          <w:rFonts w:cs="Tahoma"/>
          <w:lang w:val="pt-PT"/>
        </w:rPr>
        <w:t xml:space="preserve"> exigido pelo mercado e representa a compensação sobre a taxa </w:t>
      </w:r>
      <w:r>
        <w:rPr>
          <w:rStyle w:val="tlid-translation"/>
          <w:rFonts w:cs="Tahoma"/>
          <w:lang w:val="pt-PT"/>
        </w:rPr>
        <w:t>sem</w:t>
      </w:r>
      <w:r w:rsidRPr="00405269">
        <w:rPr>
          <w:rStyle w:val="tlid-translation"/>
          <w:rFonts w:cs="Tahoma"/>
          <w:lang w:val="pt-PT"/>
        </w:rPr>
        <w:t xml:space="preserve"> risco que um investidor exige. Um importante determinante do </w:t>
      </w:r>
      <w:r>
        <w:rPr>
          <w:rStyle w:val="tlid-translation"/>
          <w:rFonts w:cs="Tahoma"/>
          <w:lang w:val="pt-PT"/>
        </w:rPr>
        <w:t>“</w:t>
      </w:r>
      <w:r w:rsidRPr="00405269">
        <w:rPr>
          <w:rStyle w:val="tlid-translation"/>
          <w:rFonts w:cs="Tahoma"/>
          <w:lang w:val="pt-PT"/>
        </w:rPr>
        <w:t>spread</w:t>
      </w:r>
      <w:r>
        <w:rPr>
          <w:rStyle w:val="tlid-translation"/>
          <w:rFonts w:cs="Tahoma"/>
          <w:lang w:val="pt-PT"/>
        </w:rPr>
        <w:t>”</w:t>
      </w:r>
      <w:r w:rsidRPr="00405269">
        <w:rPr>
          <w:rStyle w:val="tlid-translation"/>
          <w:rFonts w:cs="Tahoma"/>
          <w:lang w:val="pt-PT"/>
        </w:rPr>
        <w:t xml:space="preserve"> é o período restante antes do resgate. No resgate, o </w:t>
      </w:r>
      <w:r>
        <w:rPr>
          <w:rStyle w:val="tlid-translation"/>
          <w:rFonts w:cs="Tahoma"/>
          <w:lang w:val="pt-PT"/>
        </w:rPr>
        <w:t>“</w:t>
      </w:r>
      <w:r w:rsidRPr="00405269">
        <w:rPr>
          <w:rStyle w:val="tlid-translation"/>
          <w:rFonts w:cs="Tahoma"/>
          <w:lang w:val="pt-PT"/>
        </w:rPr>
        <w:t>spread</w:t>
      </w:r>
      <w:r>
        <w:rPr>
          <w:rStyle w:val="tlid-translation"/>
          <w:rFonts w:cs="Tahoma"/>
          <w:lang w:val="pt-PT"/>
        </w:rPr>
        <w:t>”</w:t>
      </w:r>
      <w:r w:rsidRPr="00405269">
        <w:rPr>
          <w:rStyle w:val="tlid-translation"/>
          <w:rFonts w:cs="Tahoma"/>
          <w:lang w:val="pt-PT"/>
        </w:rPr>
        <w:t xml:space="preserve"> é, por definição, zero. A escolha do </w:t>
      </w:r>
      <w:r>
        <w:rPr>
          <w:rStyle w:val="tlid-translation"/>
          <w:rFonts w:cs="Tahoma"/>
          <w:lang w:val="pt-PT"/>
        </w:rPr>
        <w:t xml:space="preserve">momento do </w:t>
      </w:r>
      <w:r w:rsidRPr="00405269">
        <w:rPr>
          <w:rStyle w:val="tlid-translation"/>
          <w:rFonts w:cs="Tahoma"/>
          <w:lang w:val="pt-PT"/>
        </w:rPr>
        <w:t xml:space="preserve">vencimento dos títulos de referência usados para determinar o </w:t>
      </w:r>
      <w:r>
        <w:rPr>
          <w:rStyle w:val="tlid-translation"/>
          <w:rFonts w:cs="Tahoma"/>
          <w:lang w:val="pt-PT"/>
        </w:rPr>
        <w:t>PRD</w:t>
      </w:r>
      <w:r w:rsidRPr="00405269">
        <w:rPr>
          <w:rStyle w:val="tlid-translation"/>
          <w:rFonts w:cs="Tahoma"/>
          <w:lang w:val="pt-PT"/>
        </w:rPr>
        <w:t xml:space="preserve"> é, portanto, importante. Idealmente, o vencimento desses títulos corporativos deve ser semelhante aos títulos do governo usados para estimar a taxa </w:t>
      </w:r>
      <w:r>
        <w:rPr>
          <w:rStyle w:val="tlid-translation"/>
          <w:rFonts w:cs="Tahoma"/>
          <w:lang w:val="pt-PT"/>
        </w:rPr>
        <w:t>sem</w:t>
      </w:r>
      <w:r w:rsidRPr="00405269">
        <w:rPr>
          <w:rStyle w:val="tlid-translation"/>
          <w:rFonts w:cs="Tahoma"/>
          <w:lang w:val="pt-PT"/>
        </w:rPr>
        <w:t xml:space="preserve"> risco. Uma vez que usamos título</w:t>
      </w:r>
      <w:r>
        <w:rPr>
          <w:rStyle w:val="tlid-translation"/>
          <w:rFonts w:cs="Tahoma"/>
          <w:lang w:val="pt-PT"/>
        </w:rPr>
        <w:t>s</w:t>
      </w:r>
      <w:r w:rsidRPr="00405269">
        <w:rPr>
          <w:rStyle w:val="tlid-translation"/>
          <w:rFonts w:cs="Tahoma"/>
          <w:lang w:val="pt-PT"/>
        </w:rPr>
        <w:t xml:space="preserve"> do governo </w:t>
      </w:r>
      <w:r>
        <w:rPr>
          <w:rStyle w:val="tlid-translation"/>
          <w:rFonts w:cs="Tahoma"/>
          <w:lang w:val="pt-PT"/>
        </w:rPr>
        <w:t>a</w:t>
      </w:r>
      <w:r w:rsidRPr="00405269">
        <w:rPr>
          <w:rStyle w:val="tlid-translation"/>
          <w:rFonts w:cs="Tahoma"/>
          <w:lang w:val="pt-PT"/>
        </w:rPr>
        <w:t xml:space="preserve"> 10 anos para estimar a taxa </w:t>
      </w:r>
      <w:r>
        <w:rPr>
          <w:rStyle w:val="tlid-translation"/>
          <w:rFonts w:cs="Tahoma"/>
          <w:lang w:val="pt-PT"/>
        </w:rPr>
        <w:t>sem</w:t>
      </w:r>
      <w:r w:rsidRPr="00405269">
        <w:rPr>
          <w:rStyle w:val="tlid-translation"/>
          <w:rFonts w:cs="Tahoma"/>
          <w:lang w:val="pt-PT"/>
        </w:rPr>
        <w:t xml:space="preserve"> risco, também devemos procurar usar títulos corporativos com duração semelhante. Além disso, as classificações de crédito dentro do grupo de pares não </w:t>
      </w:r>
      <w:r>
        <w:rPr>
          <w:rStyle w:val="tlid-translation"/>
          <w:rFonts w:cs="Tahoma"/>
          <w:lang w:val="pt-PT"/>
        </w:rPr>
        <w:t xml:space="preserve">se </w:t>
      </w:r>
      <w:r w:rsidRPr="00405269">
        <w:rPr>
          <w:rStyle w:val="tlid-translation"/>
          <w:rFonts w:cs="Tahoma"/>
          <w:lang w:val="pt-PT"/>
        </w:rPr>
        <w:t xml:space="preserve">devem se desviar muito das classificações normalmente observadas no mercado de telecomunicações. </w:t>
      </w:r>
    </w:p>
    <w:p w14:paraId="207F44B1" w14:textId="77777777" w:rsidR="0076097D" w:rsidRPr="00B178E2" w:rsidRDefault="0076097D" w:rsidP="00142A4D">
      <w:pPr>
        <w:jc w:val="both"/>
        <w:rPr>
          <w:rStyle w:val="tlid-translation"/>
          <w:rFonts w:cs="Tahoma"/>
          <w:lang w:val="pt-PT"/>
        </w:rPr>
      </w:pPr>
      <w:r w:rsidRPr="00B178E2">
        <w:rPr>
          <w:rStyle w:val="tlid-translation"/>
          <w:rFonts w:cs="Tahoma"/>
          <w:lang w:val="pt-PT"/>
        </w:rPr>
        <w:t xml:space="preserve">O custo da dívida </w:t>
      </w:r>
      <w:r>
        <w:rPr>
          <w:rStyle w:val="tlid-translation"/>
          <w:rFonts w:cs="Tahoma"/>
          <w:lang w:val="pt-PT"/>
        </w:rPr>
        <w:t>de uma</w:t>
      </w:r>
      <w:r w:rsidRPr="00B178E2">
        <w:rPr>
          <w:rStyle w:val="tlid-translation"/>
          <w:rFonts w:cs="Tahoma"/>
          <w:lang w:val="pt-PT"/>
        </w:rPr>
        <w:t xml:space="preserve"> empresa </w:t>
      </w:r>
      <w:r>
        <w:rPr>
          <w:rStyle w:val="tlid-translation"/>
          <w:rFonts w:cs="Tahoma"/>
          <w:lang w:val="pt-PT"/>
        </w:rPr>
        <w:t>também pode ser</w:t>
      </w:r>
      <w:r w:rsidRPr="00B178E2">
        <w:rPr>
          <w:rStyle w:val="tlid-translation"/>
          <w:rFonts w:cs="Tahoma"/>
          <w:lang w:val="pt-PT"/>
        </w:rPr>
        <w:t xml:space="preserve"> identificado por referência ao custo médio do</w:t>
      </w:r>
      <w:r>
        <w:rPr>
          <w:rStyle w:val="tlid-translation"/>
          <w:rFonts w:cs="Tahoma"/>
          <w:lang w:val="pt-PT"/>
        </w:rPr>
        <w:t>s</w:t>
      </w:r>
      <w:r w:rsidRPr="00B178E2">
        <w:rPr>
          <w:rStyle w:val="tlid-translation"/>
          <w:rFonts w:cs="Tahoma"/>
          <w:lang w:val="pt-PT"/>
        </w:rPr>
        <w:t xml:space="preserve"> empréstimo</w:t>
      </w:r>
      <w:r>
        <w:rPr>
          <w:rStyle w:val="tlid-translation"/>
          <w:rFonts w:cs="Tahoma"/>
          <w:lang w:val="pt-PT"/>
        </w:rPr>
        <w:t>s</w:t>
      </w:r>
      <w:r w:rsidRPr="00B178E2">
        <w:rPr>
          <w:rStyle w:val="tlid-translation"/>
          <w:rFonts w:cs="Tahoma"/>
          <w:lang w:val="pt-PT"/>
        </w:rPr>
        <w:t xml:space="preserve"> com base nos valores de mercado. No entanto, onde as informações de mercado não estão disponíveis ou onde é improvável que uma empresa continue a </w:t>
      </w:r>
      <w:r>
        <w:rPr>
          <w:rStyle w:val="tlid-translation"/>
          <w:rFonts w:cs="Tahoma"/>
          <w:lang w:val="pt-PT"/>
        </w:rPr>
        <w:t>financiar-se</w:t>
      </w:r>
      <w:r w:rsidRPr="00B178E2">
        <w:rPr>
          <w:rStyle w:val="tlid-translation"/>
          <w:rFonts w:cs="Tahoma"/>
          <w:lang w:val="pt-PT"/>
        </w:rPr>
        <w:t xml:space="preserve"> ao custo atual </w:t>
      </w:r>
      <w:r>
        <w:rPr>
          <w:rStyle w:val="tlid-translation"/>
          <w:rFonts w:cs="Tahoma"/>
          <w:lang w:val="pt-PT"/>
        </w:rPr>
        <w:t>da dívida</w:t>
      </w:r>
      <w:r w:rsidRPr="00B178E2">
        <w:rPr>
          <w:rStyle w:val="tlid-translation"/>
          <w:rFonts w:cs="Tahoma"/>
          <w:lang w:val="pt-PT"/>
        </w:rPr>
        <w:t>, pode ser necessário fazer estimativas.</w:t>
      </w:r>
    </w:p>
    <w:p w14:paraId="4D7B10B1" w14:textId="77777777" w:rsidR="0076097D" w:rsidRDefault="0076097D" w:rsidP="00142A4D">
      <w:pPr>
        <w:jc w:val="both"/>
        <w:rPr>
          <w:rStyle w:val="tlid-translation"/>
          <w:rFonts w:cs="Tahoma"/>
          <w:lang w:val="pt-PT"/>
        </w:rPr>
      </w:pPr>
      <w:r w:rsidRPr="00B178E2">
        <w:rPr>
          <w:rStyle w:val="tlid-translation"/>
          <w:rFonts w:cs="Tahoma"/>
          <w:lang w:val="pt-PT"/>
        </w:rPr>
        <w:t xml:space="preserve">A dívida </w:t>
      </w:r>
      <w:r>
        <w:rPr>
          <w:rStyle w:val="tlid-translation"/>
          <w:rFonts w:cs="Tahoma"/>
          <w:lang w:val="pt-PT"/>
        </w:rPr>
        <w:t>de uma empresa comporta-se</w:t>
      </w:r>
      <w:r w:rsidRPr="00B178E2">
        <w:rPr>
          <w:rStyle w:val="tlid-translation"/>
          <w:rFonts w:cs="Tahoma"/>
          <w:lang w:val="pt-PT"/>
        </w:rPr>
        <w:t xml:space="preserve"> essencialmente da mesma maneira que a dívida pública, porém os investimentos em empresas são mais arriscados do que investir em </w:t>
      </w:r>
      <w:r>
        <w:rPr>
          <w:rStyle w:val="tlid-translation"/>
          <w:rFonts w:cs="Tahoma"/>
          <w:lang w:val="pt-PT"/>
        </w:rPr>
        <w:t>títulos do tesouro</w:t>
      </w:r>
      <w:r w:rsidRPr="00B178E2">
        <w:rPr>
          <w:rStyle w:val="tlid-translation"/>
          <w:rFonts w:cs="Tahoma"/>
          <w:lang w:val="pt-PT"/>
        </w:rPr>
        <w:t xml:space="preserve"> do governo, o que implica que uma taxa de juro mais alta deve ser oferecida aos investidores. Na prática, esse prêmio de dívida é </w:t>
      </w:r>
      <w:r>
        <w:rPr>
          <w:rStyle w:val="tlid-translation"/>
          <w:rFonts w:cs="Tahoma"/>
          <w:lang w:val="pt-PT"/>
        </w:rPr>
        <w:t>determin</w:t>
      </w:r>
      <w:r w:rsidRPr="00B178E2">
        <w:rPr>
          <w:rStyle w:val="tlid-translation"/>
          <w:rFonts w:cs="Tahoma"/>
          <w:lang w:val="pt-PT"/>
        </w:rPr>
        <w:t xml:space="preserve">ado por classificações de crédito baseadas </w:t>
      </w:r>
      <w:r>
        <w:rPr>
          <w:rStyle w:val="tlid-translation"/>
          <w:rFonts w:cs="Tahoma"/>
          <w:lang w:val="pt-PT"/>
        </w:rPr>
        <w:t>nas</w:t>
      </w:r>
      <w:r w:rsidRPr="00B178E2">
        <w:rPr>
          <w:rStyle w:val="tlid-translation"/>
          <w:rFonts w:cs="Tahoma"/>
          <w:lang w:val="pt-PT"/>
        </w:rPr>
        <w:t xml:space="preserve"> características financeiras, como capitalização de mercado, volatilidade dos </w:t>
      </w:r>
      <w:r>
        <w:rPr>
          <w:rStyle w:val="tlid-translation"/>
          <w:rFonts w:cs="Tahoma"/>
          <w:lang w:val="pt-PT"/>
        </w:rPr>
        <w:t>resultado</w:t>
      </w:r>
      <w:r w:rsidRPr="00B178E2">
        <w:rPr>
          <w:rStyle w:val="tlid-translation"/>
          <w:rFonts w:cs="Tahoma"/>
          <w:lang w:val="pt-PT"/>
        </w:rPr>
        <w:t>s, alavancagem e riscos de negócio específicos para a empresa e/ou setor</w:t>
      </w:r>
      <w:r>
        <w:rPr>
          <w:rStyle w:val="tlid-translation"/>
          <w:rFonts w:cs="Tahoma"/>
          <w:lang w:val="pt-PT"/>
        </w:rPr>
        <w:t xml:space="preserve"> onde atua</w:t>
      </w:r>
      <w:r w:rsidRPr="00B178E2">
        <w:rPr>
          <w:rStyle w:val="tlid-translation"/>
          <w:rFonts w:cs="Tahoma"/>
          <w:lang w:val="pt-PT"/>
        </w:rPr>
        <w:t xml:space="preserve">. </w:t>
      </w:r>
    </w:p>
    <w:p w14:paraId="053C40B4" w14:textId="77777777" w:rsidR="0076097D" w:rsidRPr="00BB6492" w:rsidRDefault="0076097D" w:rsidP="00142A4D">
      <w:pPr>
        <w:jc w:val="both"/>
        <w:rPr>
          <w:rFonts w:cs="Tahoma"/>
          <w:lang w:val="pt-PT"/>
        </w:rPr>
      </w:pPr>
      <w:r w:rsidRPr="00BB6492">
        <w:rPr>
          <w:rStyle w:val="tlid-translation"/>
          <w:rFonts w:cs="Tahoma"/>
          <w:lang w:val="pt-PT"/>
        </w:rPr>
        <w:t xml:space="preserve">Em teoria, o custo da dívida </w:t>
      </w:r>
      <w:r>
        <w:rPr>
          <w:rStyle w:val="tlid-translation"/>
          <w:rFonts w:cs="Tahoma"/>
          <w:lang w:val="pt-PT"/>
        </w:rPr>
        <w:t xml:space="preserve">de uma empresa </w:t>
      </w:r>
      <w:r w:rsidRPr="00BB6492">
        <w:rPr>
          <w:rStyle w:val="tlid-translation"/>
          <w:rFonts w:cs="Tahoma"/>
          <w:lang w:val="pt-PT"/>
        </w:rPr>
        <w:t>pode ser observado diretamente: é o custo do</w:t>
      </w:r>
      <w:r>
        <w:rPr>
          <w:rStyle w:val="tlid-translation"/>
          <w:rFonts w:cs="Tahoma"/>
          <w:lang w:val="pt-PT"/>
        </w:rPr>
        <w:t>s</w:t>
      </w:r>
      <w:r w:rsidRPr="00BB6492">
        <w:rPr>
          <w:rStyle w:val="tlid-translation"/>
          <w:rFonts w:cs="Tahoma"/>
          <w:lang w:val="pt-PT"/>
        </w:rPr>
        <w:t xml:space="preserve"> empréstimo</w:t>
      </w:r>
      <w:r>
        <w:rPr>
          <w:rStyle w:val="tlid-translation"/>
          <w:rFonts w:cs="Tahoma"/>
          <w:lang w:val="pt-PT"/>
        </w:rPr>
        <w:t>s</w:t>
      </w:r>
      <w:r w:rsidRPr="00BB6492">
        <w:rPr>
          <w:rStyle w:val="tlid-translation"/>
          <w:rFonts w:cs="Tahoma"/>
          <w:lang w:val="pt-PT"/>
        </w:rPr>
        <w:t xml:space="preserve"> a longo prazo </w:t>
      </w:r>
      <w:r>
        <w:rPr>
          <w:rStyle w:val="tlid-translation"/>
          <w:rFonts w:cs="Tahoma"/>
          <w:lang w:val="pt-PT"/>
        </w:rPr>
        <w:t>dos</w:t>
      </w:r>
      <w:r w:rsidRPr="00BB6492">
        <w:rPr>
          <w:rStyle w:val="tlid-translation"/>
          <w:rFonts w:cs="Tahoma"/>
          <w:lang w:val="pt-PT"/>
        </w:rPr>
        <w:t xml:space="preserve"> operadores locais denominados em moeda local. Na Guiné Bissau, como </w:t>
      </w:r>
      <w:r>
        <w:rPr>
          <w:rStyle w:val="tlid-translation"/>
          <w:rFonts w:cs="Tahoma"/>
          <w:lang w:val="pt-PT"/>
        </w:rPr>
        <w:t xml:space="preserve">por vezes acontece </w:t>
      </w:r>
      <w:r w:rsidRPr="00BB6492">
        <w:rPr>
          <w:rStyle w:val="tlid-translation"/>
          <w:rFonts w:cs="Tahoma"/>
          <w:lang w:val="pt-PT"/>
        </w:rPr>
        <w:t xml:space="preserve">em muitos outros países, </w:t>
      </w:r>
      <w:r>
        <w:rPr>
          <w:rStyle w:val="tlid-translation"/>
          <w:rFonts w:cs="Tahoma"/>
          <w:lang w:val="pt-PT"/>
        </w:rPr>
        <w:t>deve-se ter em conta</w:t>
      </w:r>
      <w:r w:rsidRPr="00BB6492">
        <w:rPr>
          <w:rStyle w:val="tlid-translation"/>
          <w:rFonts w:cs="Tahoma"/>
          <w:lang w:val="pt-PT"/>
        </w:rPr>
        <w:t xml:space="preserve"> </w:t>
      </w:r>
      <w:r>
        <w:rPr>
          <w:rStyle w:val="tlid-translation"/>
          <w:rFonts w:cs="Tahoma"/>
          <w:lang w:val="pt-PT"/>
        </w:rPr>
        <w:t xml:space="preserve">o </w:t>
      </w:r>
      <w:r w:rsidRPr="00BB6492">
        <w:rPr>
          <w:rFonts w:cs="Tahoma"/>
          <w:lang w:val="pt-PT"/>
        </w:rPr>
        <w:t xml:space="preserve">facto de os dois operadores serem empresas multinacionais, que, por conseguinte, podem endividar-se </w:t>
      </w:r>
      <w:r>
        <w:rPr>
          <w:rFonts w:cs="Tahoma"/>
          <w:lang w:val="pt-PT"/>
        </w:rPr>
        <w:t>no estrangeiro</w:t>
      </w:r>
      <w:r w:rsidRPr="00BB6492">
        <w:rPr>
          <w:rFonts w:cs="Tahoma"/>
          <w:lang w:val="pt-PT"/>
        </w:rPr>
        <w:t xml:space="preserve"> para financiar investimentos na Guiné Bissau</w:t>
      </w:r>
      <w:r>
        <w:rPr>
          <w:rFonts w:cs="Tahoma"/>
          <w:lang w:val="pt-PT"/>
        </w:rPr>
        <w:t xml:space="preserve"> e dessa forma beneficiar de taxas mais atrativas</w:t>
      </w:r>
      <w:r w:rsidRPr="00BB6492">
        <w:rPr>
          <w:rFonts w:cs="Tahoma"/>
          <w:lang w:val="pt-PT"/>
        </w:rPr>
        <w:t>.</w:t>
      </w:r>
    </w:p>
    <w:p w14:paraId="738AEA2B" w14:textId="77777777" w:rsidR="0076097D" w:rsidRDefault="0076097D" w:rsidP="00142A4D">
      <w:pPr>
        <w:jc w:val="both"/>
        <w:rPr>
          <w:rStyle w:val="tlid-translation"/>
          <w:rFonts w:cs="Tahoma"/>
          <w:lang w:val="pt-PT"/>
        </w:rPr>
      </w:pPr>
      <w:r w:rsidRPr="00BB6492">
        <w:rPr>
          <w:rStyle w:val="tlid-translation"/>
          <w:rFonts w:cs="Tahoma"/>
          <w:lang w:val="pt-PT"/>
        </w:rPr>
        <w:t xml:space="preserve">Uma forma indireta de determinar um custo adequado da dívida é começar com uma taxa sem risco </w:t>
      </w:r>
      <w:r>
        <w:rPr>
          <w:rStyle w:val="tlid-translation"/>
          <w:rFonts w:cs="Tahoma"/>
          <w:lang w:val="pt-PT"/>
        </w:rPr>
        <w:t xml:space="preserve">da Guiné Bissau, </w:t>
      </w:r>
      <w:r w:rsidRPr="00BB6492">
        <w:rPr>
          <w:rStyle w:val="tlid-translation"/>
          <w:rFonts w:cs="Tahoma"/>
          <w:lang w:val="pt-PT"/>
        </w:rPr>
        <w:t xml:space="preserve">avaliada </w:t>
      </w:r>
      <w:r>
        <w:rPr>
          <w:rStyle w:val="tlid-translation"/>
          <w:rFonts w:cs="Tahoma"/>
          <w:lang w:val="pt-PT"/>
        </w:rPr>
        <w:t>anteriormente,</w:t>
      </w:r>
      <w:r w:rsidRPr="00BB6492">
        <w:rPr>
          <w:rStyle w:val="tlid-translation"/>
          <w:rFonts w:cs="Tahoma"/>
          <w:lang w:val="pt-PT"/>
        </w:rPr>
        <w:t xml:space="preserve"> e adicionar </w:t>
      </w:r>
      <w:r>
        <w:rPr>
          <w:rStyle w:val="tlid-translation"/>
          <w:rFonts w:cs="Tahoma"/>
          <w:lang w:val="pt-PT"/>
        </w:rPr>
        <w:t>o</w:t>
      </w:r>
      <w:r w:rsidRPr="00BB6492">
        <w:rPr>
          <w:rStyle w:val="tlid-translation"/>
          <w:rFonts w:cs="Tahoma"/>
          <w:lang w:val="pt-PT"/>
        </w:rPr>
        <w:t xml:space="preserve"> prémio de risco de dívida que seria exigido pelos credores. O prémio de dívida </w:t>
      </w:r>
      <w:r>
        <w:rPr>
          <w:rStyle w:val="tlid-translation"/>
          <w:rFonts w:cs="Tahoma"/>
          <w:lang w:val="pt-PT"/>
        </w:rPr>
        <w:t>pode ser avaliado em função da</w:t>
      </w:r>
      <w:r w:rsidRPr="00BB6492">
        <w:rPr>
          <w:rStyle w:val="tlid-translation"/>
          <w:rFonts w:cs="Tahoma"/>
          <w:lang w:val="pt-PT"/>
        </w:rPr>
        <w:t xml:space="preserve"> capitalização de mercado </w:t>
      </w:r>
      <w:r>
        <w:rPr>
          <w:rStyle w:val="tlid-translation"/>
          <w:rFonts w:cs="Tahoma"/>
          <w:lang w:val="pt-PT"/>
        </w:rPr>
        <w:t xml:space="preserve">da empresa </w:t>
      </w:r>
      <w:r w:rsidRPr="00BB6492">
        <w:rPr>
          <w:rStyle w:val="tlid-translation"/>
          <w:rFonts w:cs="Tahoma"/>
          <w:lang w:val="pt-PT"/>
        </w:rPr>
        <w:t xml:space="preserve">e da </w:t>
      </w:r>
      <w:r>
        <w:rPr>
          <w:rStyle w:val="tlid-translation"/>
          <w:rFonts w:cs="Tahoma"/>
          <w:lang w:val="pt-PT"/>
        </w:rPr>
        <w:t xml:space="preserve">sua </w:t>
      </w:r>
      <w:r w:rsidRPr="00BB6492">
        <w:rPr>
          <w:rStyle w:val="tlid-translation"/>
          <w:rFonts w:cs="Tahoma"/>
          <w:lang w:val="pt-PT"/>
        </w:rPr>
        <w:t xml:space="preserve">notação de crédito. </w:t>
      </w:r>
      <w:r>
        <w:rPr>
          <w:rStyle w:val="tlid-translation"/>
          <w:rFonts w:cs="Tahoma"/>
          <w:lang w:val="pt-PT"/>
        </w:rPr>
        <w:t xml:space="preserve">A Orange é uma empresa internacional com capacidade de financiamento a nível global (ver anexo A para mais informações). </w:t>
      </w:r>
      <w:r w:rsidRPr="008F4DC4">
        <w:rPr>
          <w:rStyle w:val="tlid-translation"/>
          <w:rFonts w:cs="Tahoma"/>
          <w:lang w:val="pt-PT"/>
        </w:rPr>
        <w:t>A Orange</w:t>
      </w:r>
      <w:r>
        <w:rPr>
          <w:rStyle w:val="FootnoteReference"/>
          <w:lang w:val="pt-PT"/>
        </w:rPr>
        <w:footnoteReference w:id="17"/>
      </w:r>
      <w:r w:rsidRPr="008F4DC4">
        <w:rPr>
          <w:rStyle w:val="tlid-translation"/>
          <w:rFonts w:cs="Tahoma"/>
          <w:lang w:val="pt-PT"/>
        </w:rPr>
        <w:t xml:space="preserve"> apresenta uma</w:t>
      </w:r>
      <w:r w:rsidRPr="008F4DC4">
        <w:rPr>
          <w:rFonts w:cs="Tahoma"/>
          <w:lang w:val="pt-PT"/>
        </w:rPr>
        <w:t xml:space="preserve"> notação</w:t>
      </w:r>
      <w:r w:rsidRPr="008F4DC4">
        <w:rPr>
          <w:rStyle w:val="tlid-translation"/>
          <w:rFonts w:cs="Tahoma"/>
          <w:lang w:val="pt-PT"/>
        </w:rPr>
        <w:t xml:space="preserve"> de crédito</w:t>
      </w:r>
      <w:r w:rsidRPr="008F4DC4">
        <w:rPr>
          <w:rFonts w:cs="Tahoma"/>
          <w:lang w:val="pt-PT"/>
        </w:rPr>
        <w:t xml:space="preserve"> </w:t>
      </w:r>
      <w:r w:rsidRPr="008F4DC4">
        <w:rPr>
          <w:rStyle w:val="tlid-translation"/>
          <w:rFonts w:cs="Tahoma"/>
          <w:lang w:val="pt-PT"/>
        </w:rPr>
        <w:t>BBB+</w:t>
      </w:r>
      <w:r>
        <w:rPr>
          <w:rStyle w:val="tlid-translation"/>
          <w:rFonts w:cs="Tahoma"/>
          <w:lang w:val="pt-PT"/>
        </w:rPr>
        <w:t xml:space="preserve"> na sua avaliação mais recente pela Standard &amp; Poor’s e Fitch para a sua dívida de longo prazo. As notações de crédito mais recentes apresentam-se na tabela seguinte:</w:t>
      </w:r>
    </w:p>
    <w:p w14:paraId="334656FA" w14:textId="77777777" w:rsidR="0076097D" w:rsidRDefault="0076097D" w:rsidP="0076097D">
      <w:pPr>
        <w:rPr>
          <w:rFonts w:cs="Tahoma"/>
          <w:lang w:val="pt-PT"/>
        </w:rPr>
      </w:pPr>
    </w:p>
    <w:p w14:paraId="2C838944" w14:textId="77777777" w:rsidR="0076097D" w:rsidRDefault="0076097D" w:rsidP="0076097D">
      <w:pPr>
        <w:jc w:val="center"/>
        <w:rPr>
          <w:rFonts w:cs="Tahoma"/>
          <w:lang w:val="pt-PT"/>
        </w:rPr>
      </w:pPr>
      <w:r w:rsidRPr="008F4DC4">
        <w:rPr>
          <w:noProof/>
        </w:rPr>
        <w:lastRenderedPageBreak/>
        <w:drawing>
          <wp:inline distT="0" distB="0" distL="0" distR="0" wp14:anchorId="63C330D9" wp14:editId="5235EEF7">
            <wp:extent cx="4584700" cy="1454150"/>
            <wp:effectExtent l="0" t="0" r="635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4700" cy="1454150"/>
                    </a:xfrm>
                    <a:prstGeom prst="rect">
                      <a:avLst/>
                    </a:prstGeom>
                    <a:noFill/>
                    <a:ln>
                      <a:noFill/>
                    </a:ln>
                  </pic:spPr>
                </pic:pic>
              </a:graphicData>
            </a:graphic>
          </wp:inline>
        </w:drawing>
      </w:r>
    </w:p>
    <w:p w14:paraId="4D35C461" w14:textId="77777777" w:rsidR="0076097D" w:rsidRPr="008F4DC4" w:rsidRDefault="0076097D" w:rsidP="00142A4D">
      <w:pPr>
        <w:jc w:val="both"/>
        <w:rPr>
          <w:rStyle w:val="tlid-translation"/>
          <w:rFonts w:cs="Tahoma"/>
          <w:lang w:val="pt-PT"/>
        </w:rPr>
      </w:pPr>
      <w:r w:rsidRPr="008F4DC4">
        <w:rPr>
          <w:rStyle w:val="tlid-translation"/>
          <w:rFonts w:cs="Tahoma"/>
          <w:lang w:val="pt-PT"/>
        </w:rPr>
        <w:t>No caso da MTN, as notações de crédito relativas ás operações da MTN na África do Sul e Nigéria, os seus dois principais mercados, (para mais detalhes ver anexo A) a Fitch baixou recentemente a notação de crédito para respetivamente B e B+ devido à fraca performance das economias destes mercados.</w:t>
      </w:r>
    </w:p>
    <w:p w14:paraId="22BB8C71" w14:textId="77777777" w:rsidR="0076097D" w:rsidRDefault="0076097D" w:rsidP="00142A4D">
      <w:pPr>
        <w:jc w:val="both"/>
        <w:rPr>
          <w:rFonts w:cs="Tahoma"/>
          <w:lang w:val="pt-PT"/>
        </w:rPr>
      </w:pPr>
      <w:r w:rsidRPr="004843C7">
        <w:rPr>
          <w:rStyle w:val="tlid-translation"/>
          <w:rFonts w:cs="Tahoma"/>
          <w:lang w:val="pt-PT"/>
        </w:rPr>
        <w:t xml:space="preserve">Para as empresas </w:t>
      </w:r>
      <w:r>
        <w:rPr>
          <w:rStyle w:val="tlid-translation"/>
          <w:rFonts w:cs="Tahoma"/>
          <w:lang w:val="pt-PT"/>
        </w:rPr>
        <w:t xml:space="preserve">não financeiras </w:t>
      </w:r>
      <w:r w:rsidRPr="004843C7">
        <w:rPr>
          <w:rStyle w:val="tlid-translation"/>
          <w:rFonts w:cs="Tahoma"/>
          <w:lang w:val="pt-PT"/>
        </w:rPr>
        <w:t>com elevada capitalização bolsista (mais de</w:t>
      </w:r>
      <w:r w:rsidRPr="004843C7">
        <w:rPr>
          <w:rFonts w:cs="Tahoma"/>
          <w:lang w:val="pt-PT"/>
        </w:rPr>
        <w:t xml:space="preserve"> USD 5 mil milhões) e em mercados com notação</w:t>
      </w:r>
      <w:r w:rsidRPr="004843C7">
        <w:rPr>
          <w:rStyle w:val="tlid-translation"/>
          <w:rFonts w:cs="Tahoma"/>
          <w:lang w:val="pt-PT"/>
        </w:rPr>
        <w:t xml:space="preserve"> de crédito</w:t>
      </w:r>
      <w:r w:rsidRPr="004843C7">
        <w:rPr>
          <w:rFonts w:cs="Tahoma"/>
          <w:lang w:val="pt-PT"/>
        </w:rPr>
        <w:t xml:space="preserve"> </w:t>
      </w:r>
      <w:r w:rsidRPr="004843C7">
        <w:rPr>
          <w:rStyle w:val="tlid-translation"/>
          <w:rFonts w:cs="Tahoma"/>
          <w:lang w:val="pt-PT"/>
        </w:rPr>
        <w:t>BBB+ caso da Orange e B e B+ no caso da MTN,</w:t>
      </w:r>
      <w:r w:rsidRPr="004843C7">
        <w:rPr>
          <w:rFonts w:cs="Tahoma"/>
          <w:lang w:val="pt-PT"/>
        </w:rPr>
        <w:t xml:space="preserve"> o Professor </w:t>
      </w:r>
      <w:r w:rsidRPr="004843C7">
        <w:rPr>
          <w:rStyle w:val="tlid-translation"/>
          <w:rFonts w:cs="Tahoma"/>
          <w:lang w:val="pt-PT"/>
        </w:rPr>
        <w:t>Damodaran</w:t>
      </w:r>
      <w:r>
        <w:rPr>
          <w:rStyle w:val="FootnoteReference"/>
          <w:lang w:val="pt-PT"/>
        </w:rPr>
        <w:footnoteReference w:id="18"/>
      </w:r>
      <w:r w:rsidRPr="004843C7">
        <w:rPr>
          <w:rFonts w:cs="Tahoma"/>
          <w:lang w:val="pt-PT"/>
        </w:rPr>
        <w:t xml:space="preserve"> </w:t>
      </w:r>
      <w:r w:rsidRPr="004843C7">
        <w:rPr>
          <w:rStyle w:val="tlid-translation"/>
          <w:rFonts w:cs="Tahoma"/>
          <w:lang w:val="pt-PT"/>
        </w:rPr>
        <w:t>estima</w:t>
      </w:r>
      <w:r w:rsidRPr="004843C7">
        <w:rPr>
          <w:rFonts w:cs="Tahoma"/>
          <w:lang w:val="pt-PT"/>
        </w:rPr>
        <w:t xml:space="preserve"> os seguintes prémios de risco de </w:t>
      </w:r>
      <w:r w:rsidRPr="004843C7">
        <w:rPr>
          <w:rStyle w:val="tlid-translation"/>
          <w:rFonts w:cs="Tahoma"/>
          <w:lang w:val="pt-PT"/>
        </w:rPr>
        <w:t xml:space="preserve">dívida: </w:t>
      </w:r>
    </w:p>
    <w:p w14:paraId="10077E4E" w14:textId="77777777" w:rsidR="0076097D" w:rsidRDefault="0076097D" w:rsidP="0076097D">
      <w:pPr>
        <w:rPr>
          <w:rFonts w:cs="Tahoma"/>
          <w:lang w:val="pt-PT"/>
        </w:rPr>
      </w:pPr>
    </w:p>
    <w:p w14:paraId="0A85331B" w14:textId="77777777" w:rsidR="0076097D" w:rsidRDefault="0076097D" w:rsidP="0076097D">
      <w:pPr>
        <w:jc w:val="center"/>
        <w:rPr>
          <w:rFonts w:cs="Tahoma"/>
          <w:lang w:val="pt-PT"/>
        </w:rPr>
      </w:pPr>
      <w:r w:rsidRPr="004843C7">
        <w:rPr>
          <w:noProof/>
        </w:rPr>
        <w:drawing>
          <wp:inline distT="0" distB="0" distL="0" distR="0" wp14:anchorId="7A1D566A" wp14:editId="528914CC">
            <wp:extent cx="2603500" cy="1524000"/>
            <wp:effectExtent l="0" t="0" r="635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03500" cy="1524000"/>
                    </a:xfrm>
                    <a:prstGeom prst="rect">
                      <a:avLst/>
                    </a:prstGeom>
                    <a:noFill/>
                    <a:ln>
                      <a:noFill/>
                    </a:ln>
                  </pic:spPr>
                </pic:pic>
              </a:graphicData>
            </a:graphic>
          </wp:inline>
        </w:drawing>
      </w:r>
    </w:p>
    <w:p w14:paraId="33065233" w14:textId="77777777" w:rsidR="0076097D" w:rsidRPr="004C4113" w:rsidRDefault="0076097D" w:rsidP="00142A4D">
      <w:pPr>
        <w:jc w:val="both"/>
        <w:rPr>
          <w:rFonts w:cs="Tahoma"/>
          <w:lang w:val="pt-PT"/>
        </w:rPr>
      </w:pPr>
      <w:r w:rsidRPr="009063F9">
        <w:rPr>
          <w:rFonts w:cs="Tahoma"/>
          <w:lang w:val="pt-PT"/>
        </w:rPr>
        <w:t xml:space="preserve">Na Europa, o BEREC estimou recentemente os prémios de dívida para as empresas que formam um grupo de referência a partir das quais as ARNs podem escolher o valor apropriado para o operador regulado. </w:t>
      </w:r>
      <w:r>
        <w:rPr>
          <w:rFonts w:cs="Tahoma"/>
          <w:lang w:val="pt-PT"/>
        </w:rPr>
        <w:t>Na metodologia europeia e</w:t>
      </w:r>
      <w:r w:rsidRPr="009063F9">
        <w:rPr>
          <w:rFonts w:cs="Tahoma"/>
          <w:lang w:val="pt-PT"/>
        </w:rPr>
        <w:t xml:space="preserve">ste valor será posteriormente adicionado ao valor da taxa de juro sem risco </w:t>
      </w:r>
      <w:r>
        <w:rPr>
          <w:rFonts w:cs="Tahoma"/>
          <w:lang w:val="pt-PT"/>
        </w:rPr>
        <w:t>em cada país</w:t>
      </w:r>
      <w:r w:rsidRPr="009063F9">
        <w:rPr>
          <w:rFonts w:cs="Tahoma"/>
          <w:lang w:val="pt-PT"/>
        </w:rPr>
        <w:t xml:space="preserve"> para </w:t>
      </w:r>
      <w:r w:rsidRPr="004C4113">
        <w:rPr>
          <w:rFonts w:cs="Tahoma"/>
          <w:lang w:val="pt-PT"/>
        </w:rPr>
        <w:t>determinar o custo da dívida de cada empresa regulada. Ao definir as empresas de referência o BEREC, de acordo com os critérios constantes da comunicação da Comissão Europeia, utilizou os seguintes critérios para a elaboração deste grupo de empresas:</w:t>
      </w:r>
    </w:p>
    <w:p w14:paraId="148C3BA2" w14:textId="77777777" w:rsidR="0076097D" w:rsidRPr="004C4113" w:rsidRDefault="0076097D" w:rsidP="0076097D">
      <w:pPr>
        <w:ind w:left="720"/>
        <w:rPr>
          <w:rFonts w:cs="Tahoma"/>
          <w:lang w:val="pt-PT"/>
        </w:rPr>
      </w:pPr>
      <w:r w:rsidRPr="004C4113">
        <w:rPr>
          <w:rFonts w:cs="Tahoma"/>
          <w:lang w:val="pt-PT"/>
        </w:rPr>
        <w:t>a) estar cotadas em Bolsa e revelar liquidez nas ações negociadas;</w:t>
      </w:r>
    </w:p>
    <w:p w14:paraId="62D865CE" w14:textId="77777777" w:rsidR="0076097D" w:rsidRPr="004C4113" w:rsidRDefault="0076097D" w:rsidP="0076097D">
      <w:pPr>
        <w:ind w:left="720"/>
        <w:rPr>
          <w:rFonts w:cs="Tahoma"/>
          <w:lang w:val="pt-PT"/>
        </w:rPr>
      </w:pPr>
      <w:r w:rsidRPr="004C4113">
        <w:rPr>
          <w:rFonts w:cs="Tahoma"/>
          <w:lang w:val="pt-PT"/>
        </w:rPr>
        <w:t>b) possuir e investir em infraestrutura de comunicações eletrónicas;</w:t>
      </w:r>
    </w:p>
    <w:p w14:paraId="22C67345" w14:textId="77777777" w:rsidR="0076097D" w:rsidRPr="004C4113" w:rsidRDefault="0076097D" w:rsidP="0076097D">
      <w:pPr>
        <w:ind w:left="720"/>
        <w:rPr>
          <w:rFonts w:cs="Tahoma"/>
          <w:lang w:val="pt-PT"/>
        </w:rPr>
      </w:pPr>
      <w:r w:rsidRPr="004C4113">
        <w:rPr>
          <w:rFonts w:cs="Tahoma"/>
          <w:lang w:val="pt-PT"/>
        </w:rPr>
        <w:t>c) ter as suas principais operações localizadas na UE;</w:t>
      </w:r>
    </w:p>
    <w:p w14:paraId="3240D2F8" w14:textId="77777777" w:rsidR="0076097D" w:rsidRPr="004C4113" w:rsidRDefault="0076097D" w:rsidP="0076097D">
      <w:pPr>
        <w:ind w:left="720"/>
        <w:rPr>
          <w:rFonts w:cs="Tahoma"/>
          <w:lang w:val="pt-PT"/>
        </w:rPr>
      </w:pPr>
      <w:r w:rsidRPr="004C4113">
        <w:rPr>
          <w:rFonts w:cs="Tahoma"/>
          <w:lang w:val="pt-PT"/>
        </w:rPr>
        <w:t>d) ter um grau de investimento (classificação de crédito BBB/Baa3 ou superior); e,</w:t>
      </w:r>
    </w:p>
    <w:p w14:paraId="7BEA30B5" w14:textId="77777777" w:rsidR="0076097D" w:rsidRDefault="0076097D" w:rsidP="0076097D">
      <w:pPr>
        <w:ind w:left="720"/>
        <w:rPr>
          <w:rFonts w:cs="Tahoma"/>
          <w:lang w:val="pt-PT"/>
        </w:rPr>
      </w:pPr>
      <w:r w:rsidRPr="004C4113">
        <w:rPr>
          <w:rFonts w:cs="Tahoma"/>
          <w:lang w:val="pt-PT"/>
        </w:rPr>
        <w:lastRenderedPageBreak/>
        <w:t>e) não estarem envolvidas ou não se terem envolvido recentemente em fusões e aquisições significativas.</w:t>
      </w:r>
    </w:p>
    <w:p w14:paraId="625B8DEE" w14:textId="77777777" w:rsidR="0076097D" w:rsidRDefault="0076097D" w:rsidP="00142A4D">
      <w:pPr>
        <w:jc w:val="both"/>
        <w:rPr>
          <w:rFonts w:cs="Tahoma"/>
          <w:lang w:val="pt-PT"/>
        </w:rPr>
      </w:pPr>
      <w:r w:rsidRPr="004C4113">
        <w:rPr>
          <w:rFonts w:cs="Tahoma"/>
          <w:lang w:val="pt-PT"/>
        </w:rPr>
        <w:t>Na aplicação prática por parte de cada Estado-Membro, o BEREC recomenda que as ARNs devem, sempre que necessário, selecionar o grupo de empresas que mais refletem as especificidades nacionais. Por outro lado, o BEREC recomenda que as ARN mantenham, sempre que</w:t>
      </w:r>
      <w:r>
        <w:rPr>
          <w:rFonts w:cs="Tahoma"/>
          <w:lang w:val="pt-PT"/>
        </w:rPr>
        <w:t xml:space="preserve"> </w:t>
      </w:r>
      <w:r w:rsidRPr="00162F6F">
        <w:rPr>
          <w:rFonts w:cs="Tahoma"/>
          <w:lang w:val="pt-PT"/>
        </w:rPr>
        <w:t xml:space="preserve">possível, um grupo de </w:t>
      </w:r>
      <w:r>
        <w:rPr>
          <w:rFonts w:cs="Tahoma"/>
          <w:lang w:val="pt-PT"/>
        </w:rPr>
        <w:t>empresas de referência</w:t>
      </w:r>
      <w:r w:rsidRPr="00162F6F">
        <w:rPr>
          <w:rFonts w:cs="Tahoma"/>
          <w:lang w:val="pt-PT"/>
        </w:rPr>
        <w:t xml:space="preserve"> o mais amplo possível, utilizando para tal </w:t>
      </w:r>
      <w:r>
        <w:rPr>
          <w:rFonts w:cs="Tahoma"/>
          <w:lang w:val="pt-PT"/>
        </w:rPr>
        <w:t>a lista de</w:t>
      </w:r>
      <w:r w:rsidRPr="00162F6F">
        <w:rPr>
          <w:rFonts w:cs="Tahoma"/>
          <w:lang w:val="pt-PT"/>
        </w:rPr>
        <w:t xml:space="preserve"> empresas da Tabela </w:t>
      </w:r>
      <w:r>
        <w:rPr>
          <w:rFonts w:cs="Tahoma"/>
          <w:lang w:val="pt-PT"/>
        </w:rPr>
        <w:t>abaixo e</w:t>
      </w:r>
      <w:r w:rsidRPr="00162F6F">
        <w:rPr>
          <w:rFonts w:cs="Tahoma"/>
          <w:lang w:val="pt-PT"/>
        </w:rPr>
        <w:t xml:space="preserve"> que </w:t>
      </w:r>
      <w:r>
        <w:rPr>
          <w:rFonts w:cs="Tahoma"/>
          <w:lang w:val="pt-PT"/>
        </w:rPr>
        <w:t xml:space="preserve">sejam </w:t>
      </w:r>
      <w:r w:rsidRPr="00162F6F">
        <w:rPr>
          <w:rFonts w:cs="Tahoma"/>
          <w:lang w:val="pt-PT"/>
        </w:rPr>
        <w:t>mais representativas das especificidades nacionais</w:t>
      </w:r>
      <w:r>
        <w:rPr>
          <w:rFonts w:cs="Tahoma"/>
          <w:lang w:val="pt-PT"/>
        </w:rPr>
        <w:t>:</w:t>
      </w:r>
    </w:p>
    <w:p w14:paraId="6D60DF2A" w14:textId="77777777" w:rsidR="0076097D" w:rsidRPr="00162F6F" w:rsidRDefault="0076097D" w:rsidP="0076097D">
      <w:pPr>
        <w:rPr>
          <w:rFonts w:cs="Tahoma"/>
          <w:lang w:val="pt-PT"/>
        </w:rPr>
      </w:pPr>
    </w:p>
    <w:p w14:paraId="385E4A31" w14:textId="77777777" w:rsidR="0076097D" w:rsidRPr="009063F9" w:rsidRDefault="0076097D" w:rsidP="0076097D">
      <w:pPr>
        <w:jc w:val="center"/>
        <w:rPr>
          <w:rFonts w:cs="Tahoma"/>
          <w:lang w:val="pt-PT"/>
        </w:rPr>
      </w:pPr>
      <w:r w:rsidRPr="00FE50D9">
        <w:rPr>
          <w:noProof/>
        </w:rPr>
        <w:drawing>
          <wp:inline distT="0" distB="0" distL="0" distR="0" wp14:anchorId="6FEFAC59" wp14:editId="58B3D528">
            <wp:extent cx="3003550" cy="3149600"/>
            <wp:effectExtent l="0" t="0" r="635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03550" cy="3149600"/>
                    </a:xfrm>
                    <a:prstGeom prst="rect">
                      <a:avLst/>
                    </a:prstGeom>
                    <a:noFill/>
                    <a:ln>
                      <a:noFill/>
                    </a:ln>
                  </pic:spPr>
                </pic:pic>
              </a:graphicData>
            </a:graphic>
          </wp:inline>
        </w:drawing>
      </w:r>
    </w:p>
    <w:p w14:paraId="1450FE10" w14:textId="77777777" w:rsidR="0076097D" w:rsidRPr="00162F6F" w:rsidRDefault="0076097D" w:rsidP="00142A4D">
      <w:pPr>
        <w:jc w:val="both"/>
        <w:rPr>
          <w:rFonts w:cs="Tahoma"/>
          <w:lang w:val="pt-PT"/>
        </w:rPr>
      </w:pPr>
      <w:r>
        <w:rPr>
          <w:rFonts w:cs="Tahoma"/>
          <w:lang w:val="pt-PT"/>
        </w:rPr>
        <w:t>Na procura de valores que se ajustem a empresas multinacionais, com presença em vários mercados, afigura-se que a utilização de um valor médio dos prémios de dívida de todas as empresas do grupo de referência pode considerar-se apropriado. Na tabela acima apresenta-se o grupo de empresas de referência e os correspondentes valores do prémio de dívida em pontos base (1% é igual a cem pontos base). O valor médio do prémio de dívida das empresas de referência corresponde a 1,3% em 2020.</w:t>
      </w:r>
    </w:p>
    <w:p w14:paraId="022F7180" w14:textId="77777777" w:rsidR="0076097D" w:rsidRPr="00BB6492" w:rsidRDefault="0076097D" w:rsidP="00142A4D">
      <w:pPr>
        <w:jc w:val="both"/>
        <w:rPr>
          <w:rStyle w:val="tlid-translation"/>
          <w:rFonts w:cs="Tahoma"/>
          <w:lang w:val="pt-PT"/>
        </w:rPr>
      </w:pPr>
      <w:r>
        <w:rPr>
          <w:rStyle w:val="tlid-translation"/>
          <w:rFonts w:cs="Tahoma"/>
          <w:lang w:val="pt-PT"/>
        </w:rPr>
        <w:t>Na ausência</w:t>
      </w:r>
      <w:r w:rsidRPr="0024133C">
        <w:rPr>
          <w:rStyle w:val="tlid-translation"/>
          <w:rFonts w:cs="Tahoma"/>
          <w:lang w:val="pt-PT"/>
        </w:rPr>
        <w:t xml:space="preserve"> de dados disponíveis sobre os títulos emitidos por operadores </w:t>
      </w:r>
      <w:r>
        <w:rPr>
          <w:rStyle w:val="tlid-translation"/>
          <w:rFonts w:cs="Tahoma"/>
          <w:lang w:val="pt-PT"/>
        </w:rPr>
        <w:t>locai</w:t>
      </w:r>
      <w:r w:rsidRPr="0024133C">
        <w:rPr>
          <w:rStyle w:val="tlid-translation"/>
          <w:rFonts w:cs="Tahoma"/>
          <w:lang w:val="pt-PT"/>
        </w:rPr>
        <w:t xml:space="preserve">s, </w:t>
      </w:r>
      <w:r>
        <w:rPr>
          <w:rStyle w:val="tlid-translation"/>
          <w:rFonts w:cs="Tahoma"/>
          <w:lang w:val="pt-PT"/>
        </w:rPr>
        <w:t>também é prática comum e aceite, o regulador</w:t>
      </w:r>
      <w:r w:rsidRPr="0024133C">
        <w:rPr>
          <w:rStyle w:val="tlid-translation"/>
          <w:rFonts w:cs="Tahoma"/>
          <w:lang w:val="pt-PT"/>
        </w:rPr>
        <w:t xml:space="preserve"> estimar o prêmio da dívida</w:t>
      </w:r>
      <w:r>
        <w:rPr>
          <w:rStyle w:val="tlid-translation"/>
          <w:rFonts w:cs="Tahoma"/>
          <w:lang w:val="pt-PT"/>
        </w:rPr>
        <w:t xml:space="preserve"> com base</w:t>
      </w:r>
      <w:r w:rsidRPr="0024133C">
        <w:rPr>
          <w:rStyle w:val="tlid-translation"/>
          <w:rFonts w:cs="Tahoma"/>
          <w:lang w:val="pt-PT"/>
        </w:rPr>
        <w:t xml:space="preserve"> </w:t>
      </w:r>
      <w:r>
        <w:rPr>
          <w:rStyle w:val="tlid-translation"/>
          <w:rFonts w:cs="Tahoma"/>
          <w:lang w:val="pt-PT"/>
        </w:rPr>
        <w:t>n</w:t>
      </w:r>
      <w:r w:rsidRPr="0024133C">
        <w:rPr>
          <w:rStyle w:val="tlid-translation"/>
          <w:rFonts w:cs="Tahoma"/>
          <w:lang w:val="pt-PT"/>
        </w:rPr>
        <w:t>um referencial de decisões regulatórias recentes.</w:t>
      </w:r>
      <w:r w:rsidRPr="00BB6492">
        <w:rPr>
          <w:rStyle w:val="tlid-translation"/>
          <w:rFonts w:cs="Tahoma"/>
          <w:lang w:val="pt-PT"/>
        </w:rPr>
        <w:t xml:space="preserve"> </w:t>
      </w:r>
      <w:r>
        <w:rPr>
          <w:rStyle w:val="tlid-translation"/>
          <w:rFonts w:cs="Tahoma"/>
          <w:lang w:val="pt-PT"/>
        </w:rPr>
        <w:t>Mas considerando a qualidade e quantidade de referências obtidas no relatório BEREC afigura-se apropriado utilizar este valor como prémio de risco da dívida a adicionar à taxa sem risco para calcular o custo da dívida antes de impostos.</w:t>
      </w:r>
    </w:p>
    <w:p w14:paraId="7121EC20" w14:textId="77777777" w:rsidR="0076097D" w:rsidRPr="00BB6492" w:rsidRDefault="0076097D" w:rsidP="0076097D">
      <w:pPr>
        <w:rPr>
          <w:rFonts w:cs="Tahoma"/>
          <w:lang w:val="pt-PT"/>
        </w:rPr>
      </w:pPr>
      <w:r w:rsidRPr="00BB6492">
        <w:rPr>
          <w:rStyle w:val="tlid-translation"/>
          <w:rFonts w:cs="Tahoma"/>
          <w:lang w:val="pt-PT"/>
        </w:rPr>
        <w:t xml:space="preserve">Isto corresponde a um custo estimado da dívida (antes de impostos) de </w:t>
      </w:r>
      <w:r>
        <w:rPr>
          <w:rStyle w:val="tlid-translation"/>
          <w:rFonts w:cs="Tahoma"/>
          <w:lang w:val="pt-PT"/>
        </w:rPr>
        <w:t>9,97</w:t>
      </w:r>
      <w:r w:rsidRPr="00BB6492">
        <w:rPr>
          <w:rStyle w:val="tlid-translation"/>
          <w:rFonts w:cs="Tahoma"/>
          <w:lang w:val="pt-PT"/>
        </w:rPr>
        <w:t xml:space="preserve">%, como </w:t>
      </w:r>
      <w:r>
        <w:rPr>
          <w:rStyle w:val="tlid-translation"/>
          <w:rFonts w:cs="Tahoma"/>
          <w:lang w:val="pt-PT"/>
        </w:rPr>
        <w:t xml:space="preserve">se </w:t>
      </w:r>
      <w:r w:rsidRPr="00BB6492">
        <w:rPr>
          <w:rStyle w:val="tlid-translation"/>
          <w:rFonts w:cs="Tahoma"/>
          <w:lang w:val="pt-PT"/>
        </w:rPr>
        <w:t xml:space="preserve">mostra </w:t>
      </w:r>
      <w:r>
        <w:rPr>
          <w:rStyle w:val="tlid-translation"/>
          <w:rFonts w:cs="Tahoma"/>
          <w:lang w:val="pt-PT"/>
        </w:rPr>
        <w:t>na tabela</w:t>
      </w:r>
      <w:r w:rsidRPr="00BB6492">
        <w:rPr>
          <w:rFonts w:cs="Tahoma"/>
          <w:lang w:val="pt-PT"/>
        </w:rPr>
        <w:t xml:space="preserve"> seguinte:</w:t>
      </w:r>
    </w:p>
    <w:p w14:paraId="3D6C8369" w14:textId="77777777" w:rsidR="0076097D" w:rsidRPr="00A23781" w:rsidRDefault="0076097D" w:rsidP="0076097D">
      <w:pPr>
        <w:jc w:val="center"/>
      </w:pPr>
      <w:r w:rsidRPr="00A743B9">
        <w:rPr>
          <w:noProof/>
        </w:rPr>
        <w:lastRenderedPageBreak/>
        <w:drawing>
          <wp:inline distT="0" distB="0" distL="0" distR="0" wp14:anchorId="06053F12" wp14:editId="1251395C">
            <wp:extent cx="5461000" cy="1111250"/>
            <wp:effectExtent l="0" t="0" r="635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61000" cy="1111250"/>
                    </a:xfrm>
                    <a:prstGeom prst="rect">
                      <a:avLst/>
                    </a:prstGeom>
                    <a:noFill/>
                    <a:ln>
                      <a:noFill/>
                    </a:ln>
                  </pic:spPr>
                </pic:pic>
              </a:graphicData>
            </a:graphic>
          </wp:inline>
        </w:drawing>
      </w:r>
    </w:p>
    <w:p w14:paraId="06FA2066" w14:textId="77777777" w:rsidR="0076097D" w:rsidRPr="00BB6492" w:rsidRDefault="0076097D" w:rsidP="0076097D">
      <w:pPr>
        <w:rPr>
          <w:rFonts w:cs="Tahoma"/>
          <w:lang w:val="pt-PT"/>
        </w:rPr>
      </w:pPr>
      <w:r w:rsidRPr="00BB6492">
        <w:rPr>
          <w:rStyle w:val="tlid-translation"/>
          <w:rFonts w:cs="Tahoma"/>
          <w:lang w:val="pt-PT"/>
        </w:rPr>
        <w:t xml:space="preserve">Assumindo uma taxa de </w:t>
      </w:r>
      <w:r>
        <w:rPr>
          <w:rStyle w:val="tlid-translation"/>
          <w:rFonts w:cs="Tahoma"/>
          <w:lang w:val="pt-PT"/>
        </w:rPr>
        <w:t>imposto sobre as empresas</w:t>
      </w:r>
      <w:r w:rsidRPr="00BB6492">
        <w:rPr>
          <w:rStyle w:val="tlid-translation"/>
          <w:rFonts w:cs="Tahoma"/>
          <w:lang w:val="pt-PT"/>
        </w:rPr>
        <w:t xml:space="preserve"> de 2</w:t>
      </w:r>
      <w:r>
        <w:rPr>
          <w:rStyle w:val="tlid-translation"/>
          <w:rFonts w:cs="Tahoma"/>
          <w:lang w:val="pt-PT"/>
        </w:rPr>
        <w:t>0</w:t>
      </w:r>
      <w:r w:rsidRPr="00BB6492">
        <w:rPr>
          <w:rStyle w:val="tlid-translation"/>
          <w:rFonts w:cs="Tahoma"/>
          <w:lang w:val="pt-PT"/>
        </w:rPr>
        <w:t xml:space="preserve">%, o custo da dívida pós-imposto é de </w:t>
      </w:r>
      <w:r>
        <w:rPr>
          <w:rStyle w:val="tlid-translation"/>
          <w:rFonts w:cs="Tahoma"/>
          <w:lang w:val="pt-PT"/>
        </w:rPr>
        <w:t>7,98</w:t>
      </w:r>
      <w:r w:rsidRPr="00BB6492">
        <w:rPr>
          <w:rStyle w:val="tlid-translation"/>
          <w:rFonts w:cs="Tahoma"/>
          <w:lang w:val="pt-PT"/>
        </w:rPr>
        <w:t xml:space="preserve">%, como </w:t>
      </w:r>
      <w:r w:rsidRPr="00BB6492">
        <w:rPr>
          <w:rFonts w:cs="Tahoma"/>
          <w:lang w:val="pt-PT"/>
        </w:rPr>
        <w:t>acima indicado.</w:t>
      </w:r>
    </w:p>
    <w:p w14:paraId="44B9A6F2" w14:textId="77777777" w:rsidR="0076097D" w:rsidRPr="00EE0B21" w:rsidRDefault="0076097D" w:rsidP="0076097D">
      <w:pPr>
        <w:pStyle w:val="Heading2"/>
        <w:numPr>
          <w:ilvl w:val="0"/>
          <w:numId w:val="0"/>
        </w:numPr>
        <w:rPr>
          <w:lang w:val="pt-PT"/>
        </w:rPr>
      </w:pPr>
      <w:bookmarkStart w:id="34" w:name="_Toc532482102"/>
      <w:bookmarkStart w:id="35" w:name="_Toc6841760"/>
      <w:bookmarkStart w:id="36" w:name="_Toc8819894"/>
      <w:bookmarkStart w:id="37" w:name="_Toc75349742"/>
      <w:r w:rsidRPr="00904EC8">
        <w:rPr>
          <w:lang w:val="pt-PT"/>
        </w:rPr>
        <w:t>4</w:t>
      </w:r>
      <w:r w:rsidRPr="00904EC8">
        <w:rPr>
          <w:lang w:val="pt-PT"/>
        </w:rPr>
        <w:tab/>
      </w:r>
      <w:bookmarkEnd w:id="34"/>
      <w:bookmarkEnd w:id="35"/>
      <w:bookmarkEnd w:id="36"/>
      <w:r>
        <w:rPr>
          <w:lang w:val="pt-PT"/>
        </w:rPr>
        <w:t>Custo do capital próprio</w:t>
      </w:r>
      <w:bookmarkEnd w:id="37"/>
    </w:p>
    <w:p w14:paraId="21466D1B" w14:textId="77777777" w:rsidR="0076097D" w:rsidRDefault="0076097D" w:rsidP="00142A4D">
      <w:pPr>
        <w:jc w:val="both"/>
        <w:rPr>
          <w:rStyle w:val="tlid-translation"/>
          <w:rFonts w:cs="Tahoma"/>
          <w:lang w:val="pt-PT"/>
        </w:rPr>
      </w:pPr>
      <w:r w:rsidRPr="00BB6492">
        <w:rPr>
          <w:rStyle w:val="tlid-translation"/>
          <w:rFonts w:cs="Tahoma"/>
          <w:lang w:val="pt-PT"/>
        </w:rPr>
        <w:t xml:space="preserve">O </w:t>
      </w:r>
      <w:r w:rsidRPr="00316435">
        <w:rPr>
          <w:rStyle w:val="tlid-translation"/>
          <w:rFonts w:cs="Tahoma"/>
          <w:lang w:val="pt-PT"/>
        </w:rPr>
        <w:t xml:space="preserve">principal componente da fórmula </w:t>
      </w:r>
      <w:r>
        <w:rPr>
          <w:rStyle w:val="tlid-translation"/>
          <w:rFonts w:cs="Tahoma"/>
          <w:lang w:val="pt-PT"/>
        </w:rPr>
        <w:t>de cálculo do CMPC</w:t>
      </w:r>
      <w:r w:rsidRPr="00316435">
        <w:rPr>
          <w:rStyle w:val="tlid-translation"/>
          <w:rFonts w:cs="Tahoma"/>
          <w:lang w:val="pt-PT"/>
        </w:rPr>
        <w:t xml:space="preserve"> é </w:t>
      </w:r>
      <w:r>
        <w:rPr>
          <w:rStyle w:val="tlid-translation"/>
          <w:rFonts w:cs="Tahoma"/>
          <w:lang w:val="pt-PT"/>
        </w:rPr>
        <w:t xml:space="preserve">provavelmente </w:t>
      </w:r>
      <w:r w:rsidRPr="00316435">
        <w:rPr>
          <w:rStyle w:val="tlid-translation"/>
          <w:rFonts w:cs="Tahoma"/>
          <w:lang w:val="pt-PT"/>
        </w:rPr>
        <w:t xml:space="preserve">o custo de capital próprio. A teoria econômica desenvolveu diferentes abordagens para calcular o custo de capital próprio, por exemplo, o Capital Asset Pricing Model (CAPM), o Dividend Growth Model (DGM), </w:t>
      </w:r>
      <w:r>
        <w:rPr>
          <w:rStyle w:val="tlid-translation"/>
          <w:rFonts w:cs="Tahoma"/>
          <w:lang w:val="pt-PT"/>
        </w:rPr>
        <w:t>o</w:t>
      </w:r>
      <w:r w:rsidRPr="00316435">
        <w:rPr>
          <w:rStyle w:val="tlid-translation"/>
          <w:rFonts w:cs="Tahoma"/>
          <w:lang w:val="pt-PT"/>
        </w:rPr>
        <w:t xml:space="preserve"> Arbitrage Pricing Theory (APT), o </w:t>
      </w:r>
      <w:r>
        <w:rPr>
          <w:rStyle w:val="tlid-translation"/>
          <w:rFonts w:cs="Tahoma"/>
          <w:lang w:val="pt-PT"/>
        </w:rPr>
        <w:t xml:space="preserve">modelo de </w:t>
      </w:r>
      <w:r w:rsidRPr="00316435">
        <w:rPr>
          <w:rStyle w:val="tlid-translation"/>
          <w:rFonts w:cs="Tahoma"/>
          <w:lang w:val="pt-PT"/>
        </w:rPr>
        <w:t xml:space="preserve">Fama e French de </w:t>
      </w:r>
      <w:r>
        <w:rPr>
          <w:rStyle w:val="tlid-translation"/>
          <w:rFonts w:cs="Tahoma"/>
          <w:lang w:val="pt-PT"/>
        </w:rPr>
        <w:t>T</w:t>
      </w:r>
      <w:r w:rsidRPr="00316435">
        <w:rPr>
          <w:rStyle w:val="tlid-translation"/>
          <w:rFonts w:cs="Tahoma"/>
          <w:lang w:val="pt-PT"/>
        </w:rPr>
        <w:t xml:space="preserve">rês </w:t>
      </w:r>
      <w:r>
        <w:rPr>
          <w:rStyle w:val="tlid-translation"/>
          <w:rFonts w:cs="Tahoma"/>
          <w:lang w:val="pt-PT"/>
        </w:rPr>
        <w:t>F</w:t>
      </w:r>
      <w:r w:rsidRPr="00316435">
        <w:rPr>
          <w:rStyle w:val="tlid-translation"/>
          <w:rFonts w:cs="Tahoma"/>
          <w:lang w:val="pt-PT"/>
        </w:rPr>
        <w:t xml:space="preserve">atores e </w:t>
      </w:r>
      <w:r>
        <w:rPr>
          <w:rStyle w:val="tlid-translation"/>
          <w:rFonts w:cs="Tahoma"/>
          <w:lang w:val="pt-PT"/>
        </w:rPr>
        <w:t>a</w:t>
      </w:r>
      <w:r w:rsidRPr="00316435">
        <w:rPr>
          <w:rStyle w:val="tlid-translation"/>
          <w:rFonts w:cs="Tahoma"/>
          <w:lang w:val="pt-PT"/>
        </w:rPr>
        <w:t xml:space="preserve"> Teoria das </w:t>
      </w:r>
      <w:r>
        <w:rPr>
          <w:rStyle w:val="tlid-translation"/>
          <w:rFonts w:cs="Tahoma"/>
          <w:lang w:val="pt-PT"/>
        </w:rPr>
        <w:t>O</w:t>
      </w:r>
      <w:r w:rsidRPr="00316435">
        <w:rPr>
          <w:rStyle w:val="tlid-translation"/>
          <w:rFonts w:cs="Tahoma"/>
          <w:lang w:val="pt-PT"/>
        </w:rPr>
        <w:t>pções</w:t>
      </w:r>
      <w:r>
        <w:rPr>
          <w:rStyle w:val="tlid-translation"/>
          <w:rFonts w:cs="Tahoma"/>
          <w:lang w:val="pt-PT"/>
        </w:rPr>
        <w:t xml:space="preserve"> Reais</w:t>
      </w:r>
      <w:r w:rsidRPr="00316435">
        <w:rPr>
          <w:rStyle w:val="tlid-translation"/>
          <w:rFonts w:cs="Tahoma"/>
          <w:lang w:val="pt-PT"/>
        </w:rPr>
        <w:t>. Todos esses modelos compartilham uma suposição comum sobre como os investidores tomam decisões financeiras: considera</w:t>
      </w:r>
      <w:r>
        <w:rPr>
          <w:rStyle w:val="tlid-translation"/>
          <w:rFonts w:cs="Tahoma"/>
          <w:lang w:val="pt-PT"/>
        </w:rPr>
        <w:t xml:space="preserve">-se que </w:t>
      </w:r>
      <w:r w:rsidRPr="00316435">
        <w:rPr>
          <w:rStyle w:val="tlid-translation"/>
          <w:rFonts w:cs="Tahoma"/>
          <w:lang w:val="pt-PT"/>
        </w:rPr>
        <w:t>os investidores são capazes de reduzir os riscos totais ao manter uma carteira diversificada</w:t>
      </w:r>
      <w:r>
        <w:rPr>
          <w:rStyle w:val="tlid-translation"/>
          <w:rFonts w:cs="Tahoma"/>
          <w:lang w:val="pt-PT"/>
        </w:rPr>
        <w:t xml:space="preserve"> de ativos financeiros</w:t>
      </w:r>
      <w:r w:rsidRPr="00316435">
        <w:rPr>
          <w:rStyle w:val="tlid-translation"/>
          <w:rFonts w:cs="Tahoma"/>
          <w:lang w:val="pt-PT"/>
        </w:rPr>
        <w:t xml:space="preserve">. O risco total é composto por dois componentes: risco sistemático (ou não diversificável) e risco específico (diversificável ou idiossincrático); o primeiro é uma medida de como o valor de um ativo varia com a economia e não pode ser diversificado pelos investidores, uma vez que geralmente tem algum impacto sobre quase todas as empresas da economia; o último é o risco específico para uma determinada empresa que pode ser diversificado pelos investidores e, portanto, não é </w:t>
      </w:r>
      <w:r>
        <w:rPr>
          <w:rStyle w:val="tlid-translation"/>
          <w:rFonts w:cs="Tahoma"/>
          <w:lang w:val="pt-PT"/>
        </w:rPr>
        <w:t>implícito</w:t>
      </w:r>
      <w:r w:rsidRPr="00316435">
        <w:rPr>
          <w:rStyle w:val="tlid-translation"/>
          <w:rFonts w:cs="Tahoma"/>
          <w:lang w:val="pt-PT"/>
        </w:rPr>
        <w:t xml:space="preserve"> nas taxas de retorno exigidas pelo investidor ou nas estimativas de custo de capital.</w:t>
      </w:r>
      <w:r>
        <w:rPr>
          <w:rStyle w:val="tlid-translation"/>
          <w:rFonts w:cs="Tahoma"/>
          <w:lang w:val="pt-PT"/>
        </w:rPr>
        <w:t xml:space="preserve"> </w:t>
      </w:r>
    </w:p>
    <w:p w14:paraId="25D45A76" w14:textId="77777777" w:rsidR="0076097D" w:rsidRPr="00BB6492" w:rsidRDefault="0076097D" w:rsidP="00142A4D">
      <w:pPr>
        <w:jc w:val="both"/>
        <w:rPr>
          <w:rFonts w:cs="Tahoma"/>
          <w:lang w:val="pt-PT"/>
        </w:rPr>
      </w:pPr>
      <w:r w:rsidRPr="00316435">
        <w:rPr>
          <w:rStyle w:val="tlid-translation"/>
          <w:rFonts w:cs="Tahoma"/>
          <w:lang w:val="pt-PT"/>
        </w:rPr>
        <w:t>O</w:t>
      </w:r>
      <w:r w:rsidRPr="00BB6492">
        <w:rPr>
          <w:rStyle w:val="tlid-translation"/>
          <w:rFonts w:cs="Tahoma"/>
          <w:lang w:val="pt-PT"/>
        </w:rPr>
        <w:t xml:space="preserve"> Grupo de Reguladores Independentes (IRG)</w:t>
      </w:r>
      <w:r w:rsidRPr="00BB6492">
        <w:rPr>
          <w:rStyle w:val="FootnoteReference"/>
          <w:rFonts w:cs="Tahoma"/>
          <w:lang w:val="pt-PT"/>
        </w:rPr>
        <w:footnoteReference w:id="19"/>
      </w:r>
      <w:r w:rsidRPr="00BB6492">
        <w:rPr>
          <w:rStyle w:val="tlid-translation"/>
          <w:rFonts w:cs="Tahoma"/>
          <w:lang w:val="pt-PT"/>
        </w:rPr>
        <w:t xml:space="preserve"> observa que a maioria dos parâmetros utilizados para calcular o custo de capital não são diretamente observáveis e devem ser estimados ou deduzidos dos dados observados. Em especial, quando são feitas estimativas para o operador moderno eficiente, o custo do capital próprio deve ser calculado a partir de outras </w:t>
      </w:r>
      <w:r w:rsidRPr="00BB6492">
        <w:rPr>
          <w:rFonts w:cs="Tahoma"/>
          <w:lang w:val="pt-PT"/>
        </w:rPr>
        <w:t>fontes relevantes.</w:t>
      </w:r>
    </w:p>
    <w:p w14:paraId="5E9F1670" w14:textId="77777777" w:rsidR="0076097D" w:rsidRPr="00316435" w:rsidRDefault="0076097D" w:rsidP="00142A4D">
      <w:pPr>
        <w:jc w:val="both"/>
        <w:rPr>
          <w:rFonts w:cs="Tahoma"/>
          <w:lang w:val="pt-PT"/>
        </w:rPr>
      </w:pPr>
      <w:r>
        <w:rPr>
          <w:rStyle w:val="tlid-translation"/>
          <w:rFonts w:cs="Tahoma"/>
          <w:lang w:val="pt-PT"/>
        </w:rPr>
        <w:t>Em geral, a</w:t>
      </w:r>
      <w:r w:rsidRPr="00BB6492">
        <w:rPr>
          <w:rStyle w:val="tlid-translation"/>
          <w:rFonts w:cs="Tahoma"/>
          <w:lang w:val="pt-PT"/>
        </w:rPr>
        <w:t xml:space="preserve"> abordagem mais comum adotada pelos reguladores para estimar o custo do capital próprio é o CAPM (Capital </w:t>
      </w:r>
      <w:r>
        <w:rPr>
          <w:rStyle w:val="tlid-translation"/>
          <w:rFonts w:cs="Tahoma"/>
          <w:lang w:val="pt-PT"/>
        </w:rPr>
        <w:t>A</w:t>
      </w:r>
      <w:r w:rsidRPr="00BB6492">
        <w:rPr>
          <w:rStyle w:val="tlid-translation"/>
          <w:rFonts w:cs="Tahoma"/>
          <w:lang w:val="pt-PT"/>
        </w:rPr>
        <w:t xml:space="preserve">sset </w:t>
      </w:r>
      <w:r>
        <w:rPr>
          <w:rStyle w:val="tlid-translation"/>
          <w:rFonts w:cs="Tahoma"/>
          <w:lang w:val="pt-PT"/>
        </w:rPr>
        <w:t>P</w:t>
      </w:r>
      <w:r w:rsidRPr="00BB6492">
        <w:rPr>
          <w:rStyle w:val="tlid-translation"/>
          <w:rFonts w:cs="Tahoma"/>
          <w:lang w:val="pt-PT"/>
        </w:rPr>
        <w:t xml:space="preserve">ricing </w:t>
      </w:r>
      <w:r>
        <w:rPr>
          <w:rStyle w:val="tlid-translation"/>
          <w:rFonts w:cs="Tahoma"/>
          <w:lang w:val="pt-PT"/>
        </w:rPr>
        <w:t>M</w:t>
      </w:r>
      <w:r w:rsidRPr="00BB6492">
        <w:rPr>
          <w:rStyle w:val="tlid-translation"/>
          <w:rFonts w:cs="Tahoma"/>
          <w:lang w:val="pt-PT"/>
        </w:rPr>
        <w:t>odel)</w:t>
      </w:r>
      <w:r>
        <w:rPr>
          <w:rStyle w:val="tlid-translation"/>
          <w:rFonts w:cs="Tahoma"/>
          <w:lang w:val="pt-PT"/>
        </w:rPr>
        <w:t xml:space="preserve">, </w:t>
      </w:r>
      <w:r w:rsidRPr="00316435">
        <w:rPr>
          <w:rFonts w:cs="Tahoma"/>
          <w:lang w:val="pt-PT"/>
        </w:rPr>
        <w:t>dado que tem uma base teórica mais clara e a sua implementação é mais simples</w:t>
      </w:r>
      <w:r w:rsidRPr="00BB6492">
        <w:rPr>
          <w:rStyle w:val="tlid-translation"/>
          <w:rFonts w:cs="Tahoma"/>
          <w:lang w:val="pt-PT"/>
        </w:rPr>
        <w:t>.</w:t>
      </w:r>
      <w:r>
        <w:rPr>
          <w:rStyle w:val="tlid-translation"/>
          <w:rFonts w:cs="Tahoma"/>
          <w:lang w:val="pt-PT"/>
        </w:rPr>
        <w:t xml:space="preserve"> </w:t>
      </w:r>
      <w:r w:rsidRPr="00316435">
        <w:rPr>
          <w:rFonts w:cs="Tahoma"/>
          <w:lang w:val="pt-PT"/>
        </w:rPr>
        <w:t>Este modelo postula que o custo de oportunidade dos capitais próprios é igual à taxa de remuneração que é possível obter em investimentos sem risco, acrescido de um prémio de risco</w:t>
      </w:r>
      <w:r w:rsidRPr="00BB6492">
        <w:rPr>
          <w:rStyle w:val="tlid-translation"/>
          <w:rFonts w:cs="Tahoma"/>
          <w:lang w:val="pt-PT"/>
        </w:rPr>
        <w:t xml:space="preserve">. O modelo observa o risco e as taxas de retorno e compara-os ao mercado </w:t>
      </w:r>
      <w:r>
        <w:rPr>
          <w:rStyle w:val="tlid-translation"/>
          <w:rFonts w:cs="Tahoma"/>
          <w:lang w:val="pt-PT"/>
        </w:rPr>
        <w:t>acionista</w:t>
      </w:r>
      <w:r w:rsidRPr="00BB6492">
        <w:rPr>
          <w:rStyle w:val="tlid-translation"/>
          <w:rFonts w:cs="Tahoma"/>
          <w:lang w:val="pt-PT"/>
        </w:rPr>
        <w:t xml:space="preserve"> </w:t>
      </w:r>
      <w:r>
        <w:rPr>
          <w:rStyle w:val="tlid-translation"/>
          <w:rFonts w:cs="Tahoma"/>
          <w:lang w:val="pt-PT"/>
        </w:rPr>
        <w:t xml:space="preserve">na sua </w:t>
      </w:r>
      <w:r w:rsidRPr="00BB6492">
        <w:rPr>
          <w:rStyle w:val="tlid-translation"/>
          <w:rFonts w:cs="Tahoma"/>
          <w:lang w:val="pt-PT"/>
        </w:rPr>
        <w:t>global</w:t>
      </w:r>
      <w:r>
        <w:rPr>
          <w:rStyle w:val="tlid-translation"/>
          <w:rFonts w:cs="Tahoma"/>
          <w:lang w:val="pt-PT"/>
        </w:rPr>
        <w:t>idade</w:t>
      </w:r>
      <w:r w:rsidRPr="00BB6492">
        <w:rPr>
          <w:rStyle w:val="tlid-translation"/>
          <w:rFonts w:cs="Tahoma"/>
          <w:lang w:val="pt-PT"/>
        </w:rPr>
        <w:t>.</w:t>
      </w:r>
      <w:r>
        <w:rPr>
          <w:rFonts w:cs="Tahoma"/>
          <w:lang w:val="pt-PT"/>
        </w:rPr>
        <w:t xml:space="preserve"> </w:t>
      </w:r>
      <w:r w:rsidRPr="00BB6492">
        <w:rPr>
          <w:rStyle w:val="tlid-translation"/>
          <w:rFonts w:cs="Tahoma"/>
          <w:lang w:val="pt-PT"/>
        </w:rPr>
        <w:t>O CAPM compensa um investidor pelo risco sistemático inerente ao investimento, ou seja, o risco de investir num mercado específico.</w:t>
      </w:r>
      <w:r w:rsidRPr="00BB6492">
        <w:rPr>
          <w:rFonts w:cs="Tahoma"/>
          <w:lang w:val="pt-PT"/>
        </w:rPr>
        <w:t xml:space="preserve"> </w:t>
      </w:r>
      <w:r>
        <w:rPr>
          <w:rFonts w:cs="Tahoma"/>
          <w:lang w:val="pt-PT"/>
        </w:rPr>
        <w:t>O custo do capital próprio é calculado utilizando a seguinte expressão:</w:t>
      </w:r>
    </w:p>
    <w:p w14:paraId="182CC206" w14:textId="77777777" w:rsidR="0076097D" w:rsidRPr="00A850B5" w:rsidRDefault="0076097D" w:rsidP="0076097D">
      <w:pPr>
        <w:ind w:firstLine="720"/>
        <w:rPr>
          <w:rFonts w:cs="Tahoma"/>
          <w:vertAlign w:val="subscript"/>
          <w:lang w:val="pt-PT"/>
        </w:rPr>
      </w:pPr>
      <w:r w:rsidRPr="00316435">
        <w:rPr>
          <w:rFonts w:cs="Tahoma"/>
          <w:lang w:val="pt-PT"/>
        </w:rPr>
        <w:lastRenderedPageBreak/>
        <w:t>Custo Capital Próprio =</w:t>
      </w:r>
      <w:r>
        <w:rPr>
          <w:rFonts w:cs="Tahoma"/>
          <w:lang w:val="pt-PT"/>
        </w:rPr>
        <w:t xml:space="preserve"> r</w:t>
      </w:r>
      <w:r>
        <w:rPr>
          <w:rFonts w:cs="Tahoma"/>
          <w:vertAlign w:val="subscript"/>
          <w:lang w:val="pt-PT"/>
        </w:rPr>
        <w:t>f</w:t>
      </w:r>
      <w:r w:rsidRPr="00316435">
        <w:rPr>
          <w:rFonts w:cs="Tahoma"/>
          <w:lang w:val="pt-PT"/>
        </w:rPr>
        <w:t xml:space="preserve"> + β* </w:t>
      </w:r>
      <w:r>
        <w:rPr>
          <w:rFonts w:cs="Tahoma"/>
          <w:lang w:val="pt-PT"/>
        </w:rPr>
        <w:t>p</w:t>
      </w:r>
      <w:r>
        <w:rPr>
          <w:rFonts w:cs="Tahoma"/>
          <w:vertAlign w:val="subscript"/>
          <w:lang w:val="pt-PT"/>
        </w:rPr>
        <w:t>e</w:t>
      </w:r>
    </w:p>
    <w:p w14:paraId="081C12E9" w14:textId="77777777" w:rsidR="0076097D" w:rsidRDefault="0076097D" w:rsidP="00142A4D">
      <w:pPr>
        <w:jc w:val="both"/>
        <w:rPr>
          <w:rFonts w:cs="Tahoma"/>
          <w:lang w:val="pt-PT"/>
        </w:rPr>
      </w:pPr>
      <w:r w:rsidRPr="00BB6492">
        <w:rPr>
          <w:rFonts w:cs="Tahoma"/>
          <w:lang w:val="pt-PT"/>
        </w:rPr>
        <w:t xml:space="preserve">O fator </w:t>
      </w:r>
      <m:oMath>
        <m:sSub>
          <m:sSubPr>
            <m:ctrlPr>
              <w:rPr>
                <w:rFonts w:ascii="Cambria Math" w:hAnsi="Cambria Math" w:cs="Tahoma"/>
              </w:rPr>
            </m:ctrlPr>
          </m:sSubPr>
          <m:e>
            <m:r>
              <w:rPr>
                <w:rFonts w:ascii="Cambria Math" w:hAnsi="Cambria Math" w:cs="Tahoma"/>
              </w:rPr>
              <m:t>r</m:t>
            </m:r>
          </m:e>
          <m:sub>
            <m:r>
              <w:rPr>
                <w:rFonts w:ascii="Cambria Math" w:hAnsi="Cambria Math" w:cs="Tahoma"/>
              </w:rPr>
              <m:t>f</m:t>
            </m:r>
          </m:sub>
        </m:sSub>
      </m:oMath>
      <w:r w:rsidRPr="00BB6492">
        <w:rPr>
          <w:rFonts w:cs="Tahoma"/>
          <w:lang w:val="pt-PT"/>
        </w:rPr>
        <w:t xml:space="preserve">  refere-se à taxa sem risco, que corresponde à remuneração exigida por um credor para um investimento que não representaria qualquer risco</w:t>
      </w:r>
      <w:r>
        <w:rPr>
          <w:rFonts w:cs="Tahoma"/>
          <w:lang w:val="pt-PT"/>
        </w:rPr>
        <w:t xml:space="preserve"> (já anteriormente calculada na secção 2). </w:t>
      </w:r>
      <w:r w:rsidRPr="00316435">
        <w:rPr>
          <w:rFonts w:cs="Tahoma"/>
          <w:lang w:val="pt-PT"/>
        </w:rPr>
        <w:t xml:space="preserve">O </w:t>
      </w:r>
      <w:r>
        <w:rPr>
          <w:rFonts w:cs="Tahoma"/>
          <w:lang w:val="pt-PT"/>
        </w:rPr>
        <w:t xml:space="preserve">coeficiente </w:t>
      </w:r>
      <w:r w:rsidRPr="00316435">
        <w:rPr>
          <w:rFonts w:cs="Tahoma"/>
          <w:lang w:val="pt-PT"/>
        </w:rPr>
        <w:t>β reflete o risco sistemático de um determinado sector de atividade relativamente ao risco de mercado, ou, dito de outro modo, reflete a volatilidade da remuneração proporcionada pela empresa, face à remuneração do mercado no seu conjunto, assumindo que a empresa é totalmente financiada por capitais próprios</w:t>
      </w:r>
      <w:r>
        <w:rPr>
          <w:rFonts w:cs="Tahoma"/>
          <w:lang w:val="pt-PT"/>
        </w:rPr>
        <w:t xml:space="preserve">. </w:t>
      </w:r>
      <w:r w:rsidRPr="009D1C9C">
        <w:rPr>
          <w:rFonts w:cs="Tahoma"/>
          <w:lang w:val="pt-PT"/>
        </w:rPr>
        <w:t xml:space="preserve">O </w:t>
      </w:r>
      <w:r>
        <w:rPr>
          <w:rFonts w:cs="Tahoma"/>
          <w:lang w:val="pt-PT"/>
        </w:rPr>
        <w:t xml:space="preserve">valor de </w:t>
      </w:r>
      <w:r w:rsidRPr="009D1C9C">
        <w:rPr>
          <w:rFonts w:cs="Tahoma"/>
          <w:lang w:val="pt-PT"/>
        </w:rPr>
        <w:t xml:space="preserve">beta deve ser refletido pela volatilidade do preço das ações de uma empresa em relação ao mercado </w:t>
      </w:r>
      <w:r>
        <w:rPr>
          <w:rFonts w:cs="Tahoma"/>
          <w:lang w:val="pt-PT"/>
        </w:rPr>
        <w:t>na sua globalidade</w:t>
      </w:r>
      <w:r w:rsidRPr="009D1C9C">
        <w:rPr>
          <w:rFonts w:cs="Tahoma"/>
          <w:lang w:val="pt-PT"/>
        </w:rPr>
        <w:t xml:space="preserve"> e geralmente é medido pela covariância entre os retornos do mercado e os da empresa.</w:t>
      </w:r>
      <w:r>
        <w:rPr>
          <w:rFonts w:cs="Tahoma"/>
          <w:lang w:val="pt-PT"/>
        </w:rPr>
        <w:t xml:space="preserve"> O prémio de risco de mercado, </w:t>
      </w:r>
      <w:r w:rsidRPr="00A850B5">
        <w:rPr>
          <w:rFonts w:cs="Tahoma"/>
          <w:lang w:val="pt-PT"/>
        </w:rPr>
        <w:t>p</w:t>
      </w:r>
      <w:r w:rsidRPr="00A850B5">
        <w:rPr>
          <w:rFonts w:cs="Tahoma"/>
          <w:vertAlign w:val="subscript"/>
          <w:lang w:val="pt-PT"/>
        </w:rPr>
        <w:t>e</w:t>
      </w:r>
      <w:r>
        <w:rPr>
          <w:rFonts w:cs="Tahoma"/>
          <w:lang w:val="pt-PT"/>
        </w:rPr>
        <w:t xml:space="preserve">, </w:t>
      </w:r>
      <w:r w:rsidRPr="00A850B5">
        <w:rPr>
          <w:rFonts w:cs="Tahoma"/>
          <w:lang w:val="pt-PT"/>
        </w:rPr>
        <w:t>corresponde</w:t>
      </w:r>
      <w:r w:rsidRPr="00316435">
        <w:rPr>
          <w:rFonts w:cs="Tahoma"/>
          <w:lang w:val="pt-PT"/>
        </w:rPr>
        <w:t xml:space="preserve"> à diferença entre a taxa de rendimento proporcionada pelo mercado e a que é proporcionada pelos investimentos sem risco. Corresponde, basicamente, a uma previsão dos rendimentos que os investidores irão exigir no futuro para aplicarem o seu capital no mercado </w:t>
      </w:r>
      <w:r>
        <w:rPr>
          <w:rFonts w:cs="Tahoma"/>
          <w:lang w:val="pt-PT"/>
        </w:rPr>
        <w:t>acionista.</w:t>
      </w:r>
    </w:p>
    <w:p w14:paraId="380E26FF" w14:textId="77777777" w:rsidR="0076097D" w:rsidRPr="002E2EAA" w:rsidRDefault="0076097D" w:rsidP="00142A4D">
      <w:pPr>
        <w:jc w:val="both"/>
        <w:rPr>
          <w:rFonts w:cs="Tahoma"/>
          <w:lang w:val="pt-PT"/>
        </w:rPr>
      </w:pPr>
      <w:r w:rsidRPr="002E2EAA">
        <w:rPr>
          <w:rFonts w:cs="Tahoma"/>
          <w:lang w:val="pt-PT"/>
        </w:rPr>
        <w:t>Ao longo dos anos, a nível europeu, o BEREC recolheu informações sobre a forma como o CMPC é estimado por todas as Autoridades Reguladoras Nacionais (ARNs) nos mercados regulados na Europa. No seu relatório de 2013</w:t>
      </w:r>
      <w:r w:rsidRPr="002E2EAA">
        <w:rPr>
          <w:rStyle w:val="FootnoteReference"/>
          <w:lang w:val="pt-PT"/>
        </w:rPr>
        <w:footnoteReference w:id="20"/>
      </w:r>
      <w:r w:rsidRPr="002E2EAA">
        <w:rPr>
          <w:rFonts w:cs="Tahoma"/>
          <w:lang w:val="pt-PT"/>
        </w:rPr>
        <w:t>, foi realizada uma pesquisa alargada sobre a metodologia de cálculo do CMPC, confirmando que quase todas as ARNs usam o CAPM para avaliar a taxa de retorno do capital da qual derivam o CMPC como uma média ponderada do custo da dívida e do custo do capital próprio para utilização na análise dos mercados fixo e móvel (antigos mercados 4 e 7 em 2007)</w:t>
      </w:r>
      <w:r w:rsidRPr="002E2EAA">
        <w:rPr>
          <w:rStyle w:val="FootnoteReference"/>
          <w:lang w:val="pt-PT"/>
        </w:rPr>
        <w:footnoteReference w:id="21"/>
      </w:r>
      <w:r w:rsidRPr="002E2EAA">
        <w:rPr>
          <w:rFonts w:cs="Tahoma"/>
          <w:lang w:val="pt-PT"/>
        </w:rPr>
        <w:t>.</w:t>
      </w:r>
    </w:p>
    <w:p w14:paraId="11FAE0E0" w14:textId="77777777" w:rsidR="0076097D" w:rsidRDefault="0076097D" w:rsidP="00142A4D">
      <w:pPr>
        <w:jc w:val="both"/>
        <w:rPr>
          <w:rStyle w:val="tlid-translation"/>
          <w:rFonts w:cs="Tahoma"/>
          <w:lang w:val="pt-PT"/>
        </w:rPr>
      </w:pPr>
      <w:r w:rsidRPr="002E2EAA">
        <w:rPr>
          <w:rFonts w:cs="Tahoma"/>
          <w:lang w:val="pt-PT"/>
        </w:rPr>
        <w:t>No relatório de 2016</w:t>
      </w:r>
      <w:r w:rsidRPr="002E2EAA">
        <w:rPr>
          <w:rStyle w:val="FootnoteReference"/>
          <w:lang w:val="pt-PT"/>
        </w:rPr>
        <w:footnoteReference w:id="22"/>
      </w:r>
      <w:r w:rsidRPr="002E2EAA">
        <w:rPr>
          <w:rFonts w:cs="Tahoma"/>
          <w:lang w:val="pt-PT"/>
        </w:rPr>
        <w:t xml:space="preserve">, o BEREC decidiu atualizar e expandir a informação recolhida sobre o cálculo do CMPC em termos de qualidade, quantidade e âmbito, atualizando o Anexo do relatório de 2013, bem como fornecendo novos </w:t>
      </w:r>
      <w:r>
        <w:rPr>
          <w:rFonts w:cs="Tahoma"/>
          <w:lang w:val="pt-PT"/>
        </w:rPr>
        <w:t>comparativo</w:t>
      </w:r>
      <w:r w:rsidRPr="002E2EAA">
        <w:rPr>
          <w:rFonts w:cs="Tahoma"/>
          <w:lang w:val="pt-PT"/>
        </w:rPr>
        <w:t>s sobre estimativas e metodologias de cálculo dos parâmetros necessários para obter o CMPC.</w:t>
      </w:r>
      <w:r w:rsidRPr="000F6CE2">
        <w:rPr>
          <w:rStyle w:val="tlid-translation"/>
          <w:rFonts w:cs="Tahoma"/>
          <w:lang w:val="pt-PT"/>
        </w:rPr>
        <w:t xml:space="preserve"> </w:t>
      </w:r>
      <w:r>
        <w:rPr>
          <w:rStyle w:val="tlid-translation"/>
          <w:rFonts w:cs="Tahoma"/>
          <w:lang w:val="pt-PT"/>
        </w:rPr>
        <w:t xml:space="preserve">O relatório </w:t>
      </w:r>
      <w:r w:rsidRPr="002E2EAA">
        <w:rPr>
          <w:rFonts w:cs="Tahoma"/>
          <w:lang w:val="pt-PT"/>
        </w:rPr>
        <w:t>confirma que quase todas as ARNs usam o CAPM para avaliar a taxa de retorno do capital</w:t>
      </w:r>
      <w:r>
        <w:rPr>
          <w:rFonts w:cs="Tahoma"/>
          <w:lang w:val="pt-PT"/>
        </w:rPr>
        <w:t xml:space="preserve">. Portanto, apesar de algumas limitações o CAPM é a metodologia standard adoptada pelas ARNs. </w:t>
      </w:r>
    </w:p>
    <w:p w14:paraId="6091BBDA" w14:textId="77777777" w:rsidR="0076097D" w:rsidRPr="00F97101" w:rsidRDefault="0076097D" w:rsidP="00142A4D">
      <w:pPr>
        <w:jc w:val="both"/>
        <w:rPr>
          <w:rStyle w:val="tlid-translation"/>
          <w:rFonts w:cs="Tahoma"/>
          <w:lang w:val="pt-PT"/>
        </w:rPr>
      </w:pPr>
      <w:r w:rsidRPr="00DA68B9">
        <w:rPr>
          <w:rStyle w:val="tlid-translation"/>
          <w:rFonts w:cs="Tahoma"/>
          <w:lang w:val="pt-PT"/>
        </w:rPr>
        <w:t xml:space="preserve">O </w:t>
      </w:r>
      <w:r>
        <w:rPr>
          <w:rStyle w:val="tlid-translation"/>
          <w:rFonts w:cs="Tahoma"/>
          <w:lang w:val="pt-PT"/>
        </w:rPr>
        <w:t>p</w:t>
      </w:r>
      <w:r w:rsidRPr="00DA68B9">
        <w:rPr>
          <w:rStyle w:val="tlid-translation"/>
          <w:rFonts w:cs="Tahoma"/>
          <w:lang w:val="pt-PT"/>
        </w:rPr>
        <w:t>r</w:t>
      </w:r>
      <w:r>
        <w:rPr>
          <w:rStyle w:val="tlid-translation"/>
          <w:rFonts w:cs="Tahoma"/>
          <w:lang w:val="pt-PT"/>
        </w:rPr>
        <w:t>é</w:t>
      </w:r>
      <w:r w:rsidRPr="00DA68B9">
        <w:rPr>
          <w:rStyle w:val="tlid-translation"/>
          <w:rFonts w:cs="Tahoma"/>
          <w:lang w:val="pt-PT"/>
        </w:rPr>
        <w:t xml:space="preserve">mio de </w:t>
      </w:r>
      <w:r>
        <w:rPr>
          <w:rStyle w:val="tlid-translation"/>
          <w:rFonts w:cs="Tahoma"/>
          <w:lang w:val="pt-PT"/>
        </w:rPr>
        <w:t>r</w:t>
      </w:r>
      <w:r w:rsidRPr="00DA68B9">
        <w:rPr>
          <w:rStyle w:val="tlid-translation"/>
          <w:rFonts w:cs="Tahoma"/>
          <w:lang w:val="pt-PT"/>
        </w:rPr>
        <w:t xml:space="preserve">isco de </w:t>
      </w:r>
      <w:r>
        <w:rPr>
          <w:rStyle w:val="tlid-translation"/>
          <w:rFonts w:cs="Tahoma"/>
          <w:lang w:val="pt-PT"/>
        </w:rPr>
        <w:t>mercado</w:t>
      </w:r>
      <w:r w:rsidRPr="00DA68B9">
        <w:rPr>
          <w:rStyle w:val="tlid-translation"/>
          <w:rFonts w:cs="Tahoma"/>
          <w:lang w:val="pt-PT"/>
        </w:rPr>
        <w:t xml:space="preserve"> (E</w:t>
      </w:r>
      <w:r>
        <w:rPr>
          <w:rStyle w:val="tlid-translation"/>
          <w:rFonts w:cs="Tahoma"/>
          <w:lang w:val="pt-PT"/>
        </w:rPr>
        <w:t>quity Risk Premium) que doravante designaremos por E</w:t>
      </w:r>
      <w:r w:rsidRPr="00DA68B9">
        <w:rPr>
          <w:rStyle w:val="tlid-translation"/>
          <w:rFonts w:cs="Tahoma"/>
          <w:lang w:val="pt-PT"/>
        </w:rPr>
        <w:t>RP</w:t>
      </w:r>
      <w:r>
        <w:rPr>
          <w:rStyle w:val="tlid-translation"/>
          <w:rFonts w:cs="Tahoma"/>
          <w:lang w:val="pt-PT"/>
        </w:rPr>
        <w:t xml:space="preserve">, </w:t>
      </w:r>
      <w:r w:rsidRPr="00DA68B9">
        <w:rPr>
          <w:rStyle w:val="tlid-translation"/>
          <w:rFonts w:cs="Tahoma"/>
          <w:lang w:val="pt-PT"/>
        </w:rPr>
        <w:t xml:space="preserve">representa a taxa adicional de retorno que os investidores exigirão para investir em ações em vez de investimentos sem risco. Os dados históricos do mercado mostram que os retornos sobre diferentes classes de ativos variam na prática, </w:t>
      </w:r>
      <w:r>
        <w:rPr>
          <w:rStyle w:val="tlid-translation"/>
          <w:rFonts w:cs="Tahoma"/>
          <w:lang w:val="pt-PT"/>
        </w:rPr>
        <w:t>correspondendo a</w:t>
      </w:r>
      <w:r w:rsidRPr="00DA68B9">
        <w:rPr>
          <w:rStyle w:val="tlid-translation"/>
          <w:rFonts w:cs="Tahoma"/>
          <w:lang w:val="pt-PT"/>
        </w:rPr>
        <w:t xml:space="preserve"> ativos mais arriscados </w:t>
      </w:r>
      <w:r>
        <w:rPr>
          <w:rStyle w:val="tlid-translation"/>
          <w:rFonts w:cs="Tahoma"/>
          <w:lang w:val="pt-PT"/>
        </w:rPr>
        <w:t>retornos</w:t>
      </w:r>
      <w:r w:rsidRPr="00DA68B9">
        <w:rPr>
          <w:rStyle w:val="tlid-translation"/>
          <w:rFonts w:cs="Tahoma"/>
          <w:lang w:val="pt-PT"/>
        </w:rPr>
        <w:t xml:space="preserve"> mais </w:t>
      </w:r>
      <w:r>
        <w:rPr>
          <w:rStyle w:val="tlid-translation"/>
          <w:rFonts w:cs="Tahoma"/>
          <w:lang w:val="pt-PT"/>
        </w:rPr>
        <w:t xml:space="preserve">elevados </w:t>
      </w:r>
      <w:r w:rsidRPr="00DA68B9">
        <w:rPr>
          <w:rStyle w:val="tlid-translation"/>
          <w:rFonts w:cs="Tahoma"/>
          <w:lang w:val="pt-PT"/>
        </w:rPr>
        <w:t xml:space="preserve">do que os retornos médios. Portanto, o ERP é um retorno esperado cujo valor depende do risco percebido associado ao mercado de ações e do nível de aversão ao risco dos investidores. Há um debate considerável sobre </w:t>
      </w:r>
      <w:r>
        <w:rPr>
          <w:rStyle w:val="tlid-translation"/>
          <w:rFonts w:cs="Tahoma"/>
          <w:lang w:val="pt-PT"/>
        </w:rPr>
        <w:t>o valor</w:t>
      </w:r>
      <w:r w:rsidRPr="00DA68B9">
        <w:rPr>
          <w:rStyle w:val="tlid-translation"/>
          <w:rFonts w:cs="Tahoma"/>
          <w:lang w:val="pt-PT"/>
        </w:rPr>
        <w:t xml:space="preserve"> desse prêmio </w:t>
      </w:r>
      <w:r>
        <w:rPr>
          <w:rStyle w:val="tlid-translation"/>
          <w:rFonts w:cs="Tahoma"/>
          <w:lang w:val="pt-PT"/>
        </w:rPr>
        <w:t xml:space="preserve">de risco </w:t>
      </w:r>
      <w:r w:rsidRPr="00DA68B9">
        <w:rPr>
          <w:rStyle w:val="tlid-translation"/>
          <w:rFonts w:cs="Tahoma"/>
          <w:lang w:val="pt-PT"/>
        </w:rPr>
        <w:t xml:space="preserve">e </w:t>
      </w:r>
      <w:r>
        <w:rPr>
          <w:rStyle w:val="tlid-translation"/>
          <w:rFonts w:cs="Tahoma"/>
          <w:lang w:val="pt-PT"/>
        </w:rPr>
        <w:t xml:space="preserve">qual </w:t>
      </w:r>
      <w:r w:rsidRPr="00DA68B9">
        <w:rPr>
          <w:rStyle w:val="tlid-translation"/>
          <w:rFonts w:cs="Tahoma"/>
          <w:lang w:val="pt-PT"/>
        </w:rPr>
        <w:t xml:space="preserve">o método de cálculo </w:t>
      </w:r>
      <w:r>
        <w:rPr>
          <w:rStyle w:val="tlid-translation"/>
          <w:rFonts w:cs="Tahoma"/>
          <w:lang w:val="pt-PT"/>
        </w:rPr>
        <w:t xml:space="preserve">mais </w:t>
      </w:r>
      <w:r w:rsidRPr="00DA68B9">
        <w:rPr>
          <w:rStyle w:val="tlid-translation"/>
          <w:rFonts w:cs="Tahoma"/>
          <w:lang w:val="pt-PT"/>
        </w:rPr>
        <w:t xml:space="preserve">apropriado </w:t>
      </w:r>
      <w:r>
        <w:rPr>
          <w:rStyle w:val="tlid-translation"/>
          <w:rFonts w:cs="Tahoma"/>
          <w:lang w:val="pt-PT"/>
        </w:rPr>
        <w:t>para conhecer o</w:t>
      </w:r>
      <w:r w:rsidRPr="00DA68B9">
        <w:rPr>
          <w:rStyle w:val="tlid-translation"/>
          <w:rFonts w:cs="Tahoma"/>
          <w:lang w:val="pt-PT"/>
        </w:rPr>
        <w:t xml:space="preserve"> ERP.</w:t>
      </w:r>
      <w:r>
        <w:rPr>
          <w:rStyle w:val="tlid-translation"/>
          <w:rFonts w:cs="Tahoma"/>
          <w:lang w:val="pt-PT"/>
        </w:rPr>
        <w:t xml:space="preserve"> </w:t>
      </w:r>
      <w:r w:rsidRPr="00F97101">
        <w:rPr>
          <w:rStyle w:val="tlid-translation"/>
          <w:rFonts w:cs="Tahoma"/>
          <w:lang w:val="pt-PT"/>
        </w:rPr>
        <w:t xml:space="preserve">Tanto em termos </w:t>
      </w:r>
      <w:r w:rsidRPr="00F97101">
        <w:rPr>
          <w:rStyle w:val="tlid-translation"/>
          <w:rFonts w:cs="Tahoma"/>
          <w:lang w:val="pt-PT"/>
        </w:rPr>
        <w:lastRenderedPageBreak/>
        <w:t>metodológicos, como em termos conceptuais, a determinação do prémio de risco esperado do mercado acionista não é uma tarefa consensual. Acresce que o prémio de risco varia ao longo do tempo de acordo com a perceção dos investidores do risco do ativo em causa e também consoante a sua própria atitude face ao risco, pelo que se torna aconselhável que esta variável seja atualizada</w:t>
      </w:r>
      <w:r>
        <w:rPr>
          <w:rStyle w:val="tlid-translation"/>
          <w:rFonts w:cs="Tahoma"/>
          <w:lang w:val="pt-PT"/>
        </w:rPr>
        <w:t xml:space="preserve"> pelas ARNs com regularidade</w:t>
      </w:r>
      <w:r w:rsidRPr="00F97101">
        <w:rPr>
          <w:rStyle w:val="tlid-translation"/>
          <w:rFonts w:cs="Tahoma"/>
          <w:lang w:val="pt-PT"/>
        </w:rPr>
        <w:t>.</w:t>
      </w:r>
      <w:r>
        <w:rPr>
          <w:rStyle w:val="tlid-translation"/>
          <w:rFonts w:cs="Tahoma"/>
          <w:lang w:val="pt-PT"/>
        </w:rPr>
        <w:t xml:space="preserve"> </w:t>
      </w:r>
      <w:r w:rsidRPr="00F97101">
        <w:rPr>
          <w:rStyle w:val="tlid-translation"/>
          <w:rFonts w:cs="Tahoma"/>
          <w:lang w:val="pt-PT"/>
        </w:rPr>
        <w:t xml:space="preserve">Dado que o prémio de risco é uma variável muito volátil, devem-se privilegiar as observações baseadas em séries mais longas, tal como é defendido </w:t>
      </w:r>
      <w:r>
        <w:rPr>
          <w:rStyle w:val="tlid-translation"/>
          <w:rFonts w:cs="Tahoma"/>
          <w:lang w:val="pt-PT"/>
        </w:rPr>
        <w:t>pelo Professor</w:t>
      </w:r>
      <w:r w:rsidRPr="00F97101">
        <w:rPr>
          <w:rStyle w:val="tlid-translation"/>
          <w:rFonts w:cs="Tahoma"/>
          <w:lang w:val="pt-PT"/>
        </w:rPr>
        <w:t xml:space="preserve"> Damodaran, que refere que as observações baseadas em séries mais longas superam a vantagem das observações, mais relevantes, associadas aos períodos mais curtos e recentes, porque permitem um erro padrão menor. Neste sentido, a consistência do resultado tende a aumentar com a extensão do período considerado.</w:t>
      </w:r>
    </w:p>
    <w:p w14:paraId="51E0892A" w14:textId="77777777" w:rsidR="0076097D" w:rsidRDefault="0076097D" w:rsidP="00142A4D">
      <w:pPr>
        <w:jc w:val="both"/>
        <w:rPr>
          <w:rStyle w:val="tlid-translation"/>
          <w:rFonts w:cs="Tahoma"/>
          <w:lang w:val="pt-PT"/>
        </w:rPr>
      </w:pPr>
      <w:r w:rsidRPr="00F97101">
        <w:rPr>
          <w:rStyle w:val="tlid-translation"/>
          <w:rFonts w:cs="Tahoma"/>
          <w:lang w:val="pt-PT"/>
        </w:rPr>
        <w:t>Adicionalmente, a prática corrente para estimar o prémio de mercado é a utilização de prémios realizados e observáveis em séries históricas longas (25 a 100 anos). Contudo, esse prémio (apurado através de dados ex-post) pode não corresponder às expectativas dos investidores no momento em que tomaram a decisão de investir, uma vez que o custo de oportunidade do capital só está disponível e só é relevante no momento em que a decisão de investimento é tomada. Por este motivo, é importante atender às condições correntes de mercado, bem como às perspetivas futuras.</w:t>
      </w:r>
    </w:p>
    <w:p w14:paraId="2DFAEA79" w14:textId="77777777" w:rsidR="0076097D" w:rsidRPr="00DA68B9" w:rsidRDefault="0076097D" w:rsidP="00142A4D">
      <w:pPr>
        <w:jc w:val="both"/>
        <w:rPr>
          <w:rStyle w:val="tlid-translation"/>
          <w:rFonts w:cs="Tahoma"/>
          <w:lang w:val="pt-PT"/>
        </w:rPr>
      </w:pPr>
      <w:r w:rsidRPr="00F97101">
        <w:rPr>
          <w:rStyle w:val="tlid-translation"/>
          <w:rFonts w:cs="Tahoma"/>
          <w:lang w:val="pt-PT"/>
        </w:rPr>
        <w:t xml:space="preserve">Neste sentido, </w:t>
      </w:r>
      <w:r>
        <w:rPr>
          <w:rStyle w:val="tlid-translation"/>
          <w:rFonts w:cs="Tahoma"/>
          <w:lang w:val="pt-PT"/>
        </w:rPr>
        <w:t xml:space="preserve">pode </w:t>
      </w:r>
      <w:r w:rsidRPr="00F97101">
        <w:rPr>
          <w:rStyle w:val="tlid-translation"/>
          <w:rFonts w:cs="Tahoma"/>
          <w:lang w:val="pt-PT"/>
        </w:rPr>
        <w:t>considera</w:t>
      </w:r>
      <w:r>
        <w:rPr>
          <w:rStyle w:val="tlid-translation"/>
          <w:rFonts w:cs="Tahoma"/>
          <w:lang w:val="pt-PT"/>
        </w:rPr>
        <w:t>r</w:t>
      </w:r>
      <w:r w:rsidRPr="00F97101">
        <w:rPr>
          <w:rStyle w:val="tlid-translation"/>
          <w:rFonts w:cs="Tahoma"/>
          <w:lang w:val="pt-PT"/>
        </w:rPr>
        <w:t>-se adequada a utilização de estimativas baseadas em expectativas futuras (ex-ante), sendo o cálculo realizado com recurso à base de dados d</w:t>
      </w:r>
      <w:r>
        <w:rPr>
          <w:rStyle w:val="tlid-translation"/>
          <w:rFonts w:cs="Tahoma"/>
          <w:lang w:val="pt-PT"/>
        </w:rPr>
        <w:t>o Professor</w:t>
      </w:r>
      <w:r w:rsidRPr="00F97101">
        <w:rPr>
          <w:rStyle w:val="tlid-translation"/>
          <w:rFonts w:cs="Tahoma"/>
          <w:lang w:val="pt-PT"/>
        </w:rPr>
        <w:t xml:space="preserve"> Damodaran e aos estudos de </w:t>
      </w:r>
      <w:r>
        <w:rPr>
          <w:rStyle w:val="tlid-translation"/>
          <w:rFonts w:cs="Tahoma"/>
          <w:lang w:val="pt-PT"/>
        </w:rPr>
        <w:t xml:space="preserve">Pablo </w:t>
      </w:r>
      <w:r w:rsidRPr="00F97101">
        <w:rPr>
          <w:rStyle w:val="tlid-translation"/>
          <w:rFonts w:cs="Tahoma"/>
          <w:lang w:val="pt-PT"/>
        </w:rPr>
        <w:t>Fernandez, publicamente disponíveis e considerados autores de referência.</w:t>
      </w:r>
    </w:p>
    <w:p w14:paraId="0E01F21C" w14:textId="77777777" w:rsidR="0076097D" w:rsidRDefault="0076097D" w:rsidP="00142A4D">
      <w:pPr>
        <w:jc w:val="both"/>
        <w:rPr>
          <w:rStyle w:val="tlid-translation"/>
          <w:rFonts w:cs="Tahoma"/>
          <w:lang w:val="pt-PT"/>
        </w:rPr>
      </w:pPr>
      <w:r w:rsidRPr="00DA68B9">
        <w:rPr>
          <w:rStyle w:val="tlid-translation"/>
          <w:rFonts w:cs="Tahoma"/>
          <w:lang w:val="pt-PT"/>
        </w:rPr>
        <w:t>Na prática, há uma série de abordagens diferentes que podem ser usadas para estimar o ERP e há um consenso</w:t>
      </w:r>
      <w:r>
        <w:rPr>
          <w:rStyle w:val="tlid-translation"/>
          <w:rFonts w:cs="Tahoma"/>
          <w:lang w:val="pt-PT"/>
        </w:rPr>
        <w:t>, embora</w:t>
      </w:r>
      <w:r w:rsidRPr="00DA68B9">
        <w:rPr>
          <w:rStyle w:val="tlid-translation"/>
          <w:rFonts w:cs="Tahoma"/>
          <w:lang w:val="pt-PT"/>
        </w:rPr>
        <w:t xml:space="preserve"> limitado</w:t>
      </w:r>
      <w:r>
        <w:rPr>
          <w:rStyle w:val="tlid-translation"/>
          <w:rFonts w:cs="Tahoma"/>
          <w:lang w:val="pt-PT"/>
        </w:rPr>
        <w:t>,</w:t>
      </w:r>
      <w:r w:rsidRPr="00DA68B9">
        <w:rPr>
          <w:rStyle w:val="tlid-translation"/>
          <w:rFonts w:cs="Tahoma"/>
          <w:lang w:val="pt-PT"/>
        </w:rPr>
        <w:t xml:space="preserve"> sobre a abordagem mais apropriada a ser adotada.</w:t>
      </w:r>
      <w:r>
        <w:rPr>
          <w:rStyle w:val="tlid-translation"/>
          <w:rFonts w:cs="Tahoma"/>
          <w:lang w:val="pt-PT"/>
        </w:rPr>
        <w:t xml:space="preserve"> Muita</w:t>
      </w:r>
      <w:r w:rsidRPr="00DA68B9">
        <w:rPr>
          <w:rStyle w:val="tlid-translation"/>
          <w:rFonts w:cs="Tahoma"/>
          <w:lang w:val="pt-PT"/>
        </w:rPr>
        <w:t xml:space="preserve">s </w:t>
      </w:r>
      <w:r>
        <w:rPr>
          <w:rStyle w:val="tlid-translation"/>
          <w:rFonts w:cs="Tahoma"/>
          <w:lang w:val="pt-PT"/>
        </w:rPr>
        <w:t xml:space="preserve">das </w:t>
      </w:r>
      <w:r w:rsidRPr="00DA68B9">
        <w:rPr>
          <w:rStyle w:val="tlid-translation"/>
          <w:rFonts w:cs="Tahoma"/>
          <w:lang w:val="pt-PT"/>
        </w:rPr>
        <w:t xml:space="preserve">principais questões relacionadas </w:t>
      </w:r>
      <w:r>
        <w:rPr>
          <w:rStyle w:val="tlid-translation"/>
          <w:rFonts w:cs="Tahoma"/>
          <w:lang w:val="pt-PT"/>
        </w:rPr>
        <w:t>com o cálculo</w:t>
      </w:r>
      <w:r w:rsidRPr="00DA68B9">
        <w:rPr>
          <w:rStyle w:val="tlid-translation"/>
          <w:rFonts w:cs="Tahoma"/>
          <w:lang w:val="pt-PT"/>
        </w:rPr>
        <w:t xml:space="preserve"> d</w:t>
      </w:r>
      <w:r>
        <w:rPr>
          <w:rStyle w:val="tlid-translation"/>
          <w:rFonts w:cs="Tahoma"/>
          <w:lang w:val="pt-PT"/>
        </w:rPr>
        <w:t>o</w:t>
      </w:r>
      <w:r w:rsidRPr="00DA68B9">
        <w:rPr>
          <w:rStyle w:val="tlid-translation"/>
          <w:rFonts w:cs="Tahoma"/>
          <w:lang w:val="pt-PT"/>
        </w:rPr>
        <w:t xml:space="preserve"> ERP incluem: </w:t>
      </w:r>
    </w:p>
    <w:p w14:paraId="7BB1E0F4" w14:textId="77777777" w:rsidR="0076097D" w:rsidRDefault="0076097D" w:rsidP="00142A4D">
      <w:pPr>
        <w:pStyle w:val="ListParagraph"/>
        <w:numPr>
          <w:ilvl w:val="0"/>
          <w:numId w:val="14"/>
        </w:numPr>
        <w:jc w:val="both"/>
        <w:rPr>
          <w:rStyle w:val="tlid-translation"/>
          <w:rFonts w:cs="Tahoma"/>
          <w:lang w:val="pt-PT"/>
        </w:rPr>
      </w:pPr>
      <w:r w:rsidRPr="00DA68B9">
        <w:rPr>
          <w:rStyle w:val="tlid-translation"/>
          <w:rFonts w:cs="Tahoma"/>
          <w:lang w:val="pt-PT"/>
        </w:rPr>
        <w:t>Deve</w:t>
      </w:r>
      <w:r>
        <w:rPr>
          <w:rStyle w:val="tlid-translation"/>
          <w:rFonts w:cs="Tahoma"/>
          <w:lang w:val="pt-PT"/>
        </w:rPr>
        <w:t>-se</w:t>
      </w:r>
      <w:r w:rsidRPr="00DA68B9">
        <w:rPr>
          <w:rStyle w:val="tlid-translation"/>
          <w:rFonts w:cs="Tahoma"/>
          <w:lang w:val="pt-PT"/>
        </w:rPr>
        <w:t xml:space="preserve"> usar uma abordagem histórica ou prospetiva</w:t>
      </w:r>
      <w:r>
        <w:rPr>
          <w:rStyle w:val="tlid-translation"/>
          <w:rFonts w:cs="Tahoma"/>
          <w:lang w:val="pt-PT"/>
        </w:rPr>
        <w:t>?</w:t>
      </w:r>
    </w:p>
    <w:p w14:paraId="720FE719" w14:textId="77777777" w:rsidR="0076097D" w:rsidRDefault="0076097D" w:rsidP="00142A4D">
      <w:pPr>
        <w:pStyle w:val="ListParagraph"/>
        <w:numPr>
          <w:ilvl w:val="0"/>
          <w:numId w:val="14"/>
        </w:numPr>
        <w:jc w:val="both"/>
        <w:rPr>
          <w:rStyle w:val="tlid-translation"/>
          <w:rFonts w:cs="Tahoma"/>
          <w:lang w:val="pt-PT"/>
        </w:rPr>
      </w:pPr>
      <w:r w:rsidRPr="00DA68B9">
        <w:rPr>
          <w:rStyle w:val="tlid-translation"/>
          <w:rFonts w:cs="Tahoma"/>
          <w:lang w:val="pt-PT"/>
        </w:rPr>
        <w:t>Deve</w:t>
      </w:r>
      <w:r>
        <w:rPr>
          <w:rStyle w:val="tlid-translation"/>
          <w:rFonts w:cs="Tahoma"/>
          <w:lang w:val="pt-PT"/>
        </w:rPr>
        <w:t>-se</w:t>
      </w:r>
      <w:r w:rsidRPr="00DA68B9">
        <w:rPr>
          <w:rStyle w:val="tlid-translation"/>
          <w:rFonts w:cs="Tahoma"/>
          <w:lang w:val="pt-PT"/>
        </w:rPr>
        <w:t xml:space="preserve"> usar a média aritmética ou geométrica</w:t>
      </w:r>
      <w:r>
        <w:rPr>
          <w:rStyle w:val="tlid-translation"/>
          <w:rFonts w:cs="Tahoma"/>
          <w:lang w:val="pt-PT"/>
        </w:rPr>
        <w:t>?</w:t>
      </w:r>
      <w:r w:rsidRPr="00DA68B9">
        <w:rPr>
          <w:rStyle w:val="tlid-translation"/>
          <w:rFonts w:cs="Tahoma"/>
          <w:lang w:val="pt-PT"/>
        </w:rPr>
        <w:t xml:space="preserve"> e </w:t>
      </w:r>
    </w:p>
    <w:p w14:paraId="6721B107" w14:textId="77777777" w:rsidR="0076097D" w:rsidRPr="00DA68B9" w:rsidRDefault="0076097D" w:rsidP="00142A4D">
      <w:pPr>
        <w:pStyle w:val="ListParagraph"/>
        <w:numPr>
          <w:ilvl w:val="0"/>
          <w:numId w:val="14"/>
        </w:numPr>
        <w:jc w:val="both"/>
        <w:rPr>
          <w:rStyle w:val="tlid-translation"/>
          <w:rFonts w:cs="Tahoma"/>
          <w:lang w:val="pt-PT"/>
        </w:rPr>
      </w:pPr>
      <w:r>
        <w:rPr>
          <w:rStyle w:val="tlid-translation"/>
          <w:rFonts w:cs="Tahoma"/>
          <w:lang w:val="pt-PT"/>
        </w:rPr>
        <w:t xml:space="preserve">Qual deve ser </w:t>
      </w:r>
      <w:r w:rsidRPr="00DA68B9">
        <w:rPr>
          <w:rStyle w:val="tlid-translation"/>
          <w:rFonts w:cs="Tahoma"/>
          <w:lang w:val="pt-PT"/>
        </w:rPr>
        <w:t xml:space="preserve">o período de tempo a ser usado para calcular </w:t>
      </w:r>
      <w:r>
        <w:rPr>
          <w:rStyle w:val="tlid-translation"/>
          <w:rFonts w:cs="Tahoma"/>
          <w:lang w:val="pt-PT"/>
        </w:rPr>
        <w:t>o ERP?</w:t>
      </w:r>
    </w:p>
    <w:p w14:paraId="129138A1" w14:textId="77777777" w:rsidR="0076097D" w:rsidRDefault="0076097D" w:rsidP="00142A4D">
      <w:pPr>
        <w:jc w:val="both"/>
        <w:rPr>
          <w:rStyle w:val="tlid-translation"/>
          <w:rFonts w:cs="Tahoma"/>
          <w:lang w:val="pt-PT"/>
        </w:rPr>
      </w:pPr>
      <w:r w:rsidRPr="00DA68B9">
        <w:rPr>
          <w:rStyle w:val="tlid-translation"/>
          <w:rFonts w:cs="Tahoma"/>
          <w:lang w:val="pt-PT"/>
        </w:rPr>
        <w:t xml:space="preserve">Relativamente ao </w:t>
      </w:r>
      <w:r>
        <w:rPr>
          <w:rStyle w:val="tlid-translation"/>
          <w:rFonts w:cs="Tahoma"/>
          <w:lang w:val="pt-PT"/>
        </w:rPr>
        <w:t>ERP</w:t>
      </w:r>
      <w:r w:rsidRPr="00DA68B9">
        <w:rPr>
          <w:rStyle w:val="tlid-translation"/>
          <w:rFonts w:cs="Tahoma"/>
          <w:lang w:val="pt-PT"/>
        </w:rPr>
        <w:t>, embora tendo devidamente em conta as metodologias adotadas por outras ARN</w:t>
      </w:r>
      <w:r>
        <w:rPr>
          <w:rStyle w:val="tlid-translation"/>
          <w:rFonts w:cs="Tahoma"/>
          <w:lang w:val="pt-PT"/>
        </w:rPr>
        <w:t>s, é importante referir</w:t>
      </w:r>
      <w:r w:rsidRPr="00DA68B9">
        <w:rPr>
          <w:rStyle w:val="tlid-translation"/>
          <w:rFonts w:cs="Tahoma"/>
          <w:lang w:val="pt-PT"/>
        </w:rPr>
        <w:t xml:space="preserve"> que, em geral, </w:t>
      </w:r>
      <w:r>
        <w:rPr>
          <w:rStyle w:val="tlid-translation"/>
          <w:rFonts w:cs="Tahoma"/>
          <w:lang w:val="pt-PT"/>
        </w:rPr>
        <w:t>muitas delas</w:t>
      </w:r>
      <w:r w:rsidRPr="00DA68B9">
        <w:rPr>
          <w:rStyle w:val="tlid-translation"/>
          <w:rFonts w:cs="Tahoma"/>
          <w:lang w:val="pt-PT"/>
        </w:rPr>
        <w:t xml:space="preserve"> </w:t>
      </w:r>
      <w:r>
        <w:rPr>
          <w:rStyle w:val="tlid-translation"/>
          <w:rFonts w:cs="Tahoma"/>
          <w:lang w:val="pt-PT"/>
        </w:rPr>
        <w:t>baseiam as suas estimativas</w:t>
      </w:r>
      <w:r w:rsidRPr="00DA68B9">
        <w:rPr>
          <w:rStyle w:val="tlid-translation"/>
          <w:rFonts w:cs="Tahoma"/>
          <w:lang w:val="pt-PT"/>
        </w:rPr>
        <w:t xml:space="preserve"> </w:t>
      </w:r>
      <w:r>
        <w:rPr>
          <w:rStyle w:val="tlid-translation"/>
          <w:rFonts w:cs="Tahoma"/>
          <w:lang w:val="pt-PT"/>
        </w:rPr>
        <w:t>em</w:t>
      </w:r>
      <w:r w:rsidRPr="00DA68B9">
        <w:rPr>
          <w:rStyle w:val="tlid-translation"/>
          <w:rFonts w:cs="Tahoma"/>
          <w:lang w:val="pt-PT"/>
        </w:rPr>
        <w:t xml:space="preserve"> estudos internacionais.</w:t>
      </w:r>
      <w:r>
        <w:rPr>
          <w:rStyle w:val="tlid-translation"/>
          <w:rFonts w:cs="Tahoma"/>
          <w:lang w:val="pt-PT"/>
        </w:rPr>
        <w:t xml:space="preserve"> </w:t>
      </w:r>
      <w:r w:rsidRPr="00AF453A">
        <w:rPr>
          <w:rStyle w:val="tlid-translation"/>
          <w:rFonts w:cs="Tahoma"/>
          <w:lang w:val="pt-PT"/>
        </w:rPr>
        <w:t>O</w:t>
      </w:r>
      <w:r>
        <w:rPr>
          <w:rStyle w:val="tlid-translation"/>
          <w:rFonts w:cs="Tahoma"/>
          <w:lang w:val="pt-PT"/>
        </w:rPr>
        <w:t xml:space="preserve">s </w:t>
      </w:r>
      <w:r w:rsidRPr="00AF453A">
        <w:rPr>
          <w:rStyle w:val="tlid-translation"/>
          <w:rFonts w:cs="Tahoma"/>
          <w:lang w:val="pt-PT"/>
        </w:rPr>
        <w:t>estudos internacionais</w:t>
      </w:r>
      <w:r>
        <w:rPr>
          <w:rStyle w:val="tlid-translation"/>
          <w:rFonts w:cs="Tahoma"/>
          <w:lang w:val="pt-PT"/>
        </w:rPr>
        <w:t xml:space="preserve"> </w:t>
      </w:r>
      <w:r w:rsidRPr="00AF453A">
        <w:rPr>
          <w:rStyle w:val="tlid-translation"/>
          <w:rFonts w:cs="Tahoma"/>
          <w:lang w:val="pt-PT"/>
        </w:rPr>
        <w:t xml:space="preserve">de especialistas amplamente reconhecidos, </w:t>
      </w:r>
      <w:r>
        <w:rPr>
          <w:rStyle w:val="tlid-translation"/>
          <w:rFonts w:cs="Tahoma"/>
          <w:lang w:val="pt-PT"/>
        </w:rPr>
        <w:t>mais utilizados por ARNs no cálculo do capital próprio, são por exemplo os do já referido Professor</w:t>
      </w:r>
      <w:r w:rsidRPr="00AF453A">
        <w:rPr>
          <w:rStyle w:val="tlid-translation"/>
          <w:rFonts w:cs="Tahoma"/>
          <w:lang w:val="pt-PT"/>
        </w:rPr>
        <w:t xml:space="preserve"> Damodaran, bem como </w:t>
      </w:r>
      <w:r>
        <w:rPr>
          <w:rStyle w:val="tlid-translation"/>
          <w:rFonts w:cs="Tahoma"/>
          <w:lang w:val="pt-PT"/>
        </w:rPr>
        <w:t xml:space="preserve">os de </w:t>
      </w:r>
      <w:r w:rsidRPr="00AF453A">
        <w:rPr>
          <w:rStyle w:val="tlid-translation"/>
          <w:rFonts w:cs="Tahoma"/>
          <w:lang w:val="pt-PT"/>
        </w:rPr>
        <w:t xml:space="preserve">Dimson, Marsh e Staunton. </w:t>
      </w:r>
      <w:r>
        <w:rPr>
          <w:rStyle w:val="tlid-translation"/>
          <w:rFonts w:cs="Tahoma"/>
          <w:lang w:val="pt-PT"/>
        </w:rPr>
        <w:t>O professor</w:t>
      </w:r>
      <w:r w:rsidRPr="00AF453A">
        <w:rPr>
          <w:rStyle w:val="tlid-translation"/>
          <w:rFonts w:cs="Tahoma"/>
          <w:lang w:val="pt-PT"/>
        </w:rPr>
        <w:t xml:space="preserve"> Damodaran</w:t>
      </w:r>
      <w:r>
        <w:rPr>
          <w:rStyle w:val="FootnoteReference"/>
          <w:lang w:val="pt-PT"/>
        </w:rPr>
        <w:footnoteReference w:id="23"/>
      </w:r>
      <w:r w:rsidRPr="00AF453A">
        <w:rPr>
          <w:rStyle w:val="tlid-translation"/>
          <w:rFonts w:cs="Tahoma"/>
          <w:lang w:val="pt-PT"/>
        </w:rPr>
        <w:t xml:space="preserve"> estim</w:t>
      </w:r>
      <w:r>
        <w:rPr>
          <w:rStyle w:val="tlid-translation"/>
          <w:rFonts w:cs="Tahoma"/>
          <w:lang w:val="pt-PT"/>
        </w:rPr>
        <w:t>ou</w:t>
      </w:r>
      <w:r w:rsidRPr="00AF453A">
        <w:rPr>
          <w:rStyle w:val="tlid-translation"/>
          <w:rFonts w:cs="Tahoma"/>
          <w:lang w:val="pt-PT"/>
        </w:rPr>
        <w:t xml:space="preserve"> o prêmio de risco de ações </w:t>
      </w:r>
      <w:r>
        <w:rPr>
          <w:rStyle w:val="tlid-translation"/>
          <w:rFonts w:cs="Tahoma"/>
          <w:lang w:val="pt-PT"/>
        </w:rPr>
        <w:t xml:space="preserve">relativamente a bilhetes do tesouro e a obrigações </w:t>
      </w:r>
      <w:r w:rsidRPr="00A743B9">
        <w:rPr>
          <w:rStyle w:val="tlid-translation"/>
          <w:rFonts w:cs="Tahoma"/>
          <w:lang w:val="pt-PT"/>
        </w:rPr>
        <w:t>no mercado norte americano,</w:t>
      </w:r>
      <w:r>
        <w:rPr>
          <w:rStyle w:val="tlid-translation"/>
          <w:rFonts w:cs="Tahoma"/>
          <w:lang w:val="pt-PT"/>
        </w:rPr>
        <w:t xml:space="preserve"> que tem períodos longos de dados históricos, calculando as médias históricas aritmética e geométrica. Os valores de ERP são apresentados na Tabela seguinte:</w:t>
      </w:r>
    </w:p>
    <w:p w14:paraId="68363F38" w14:textId="77777777" w:rsidR="0076097D" w:rsidRDefault="0076097D" w:rsidP="0076097D">
      <w:pPr>
        <w:jc w:val="center"/>
        <w:rPr>
          <w:rStyle w:val="tlid-translation"/>
          <w:rFonts w:cs="Tahoma"/>
          <w:lang w:val="pt-PT"/>
        </w:rPr>
      </w:pPr>
      <w:r w:rsidRPr="00FF24E2">
        <w:rPr>
          <w:rStyle w:val="tlid-translation"/>
          <w:noProof/>
        </w:rPr>
        <w:lastRenderedPageBreak/>
        <w:drawing>
          <wp:inline distT="0" distB="0" distL="0" distR="0" wp14:anchorId="51122B27" wp14:editId="410E61DE">
            <wp:extent cx="5732145" cy="1472565"/>
            <wp:effectExtent l="0" t="0" r="1905"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2145" cy="1472565"/>
                    </a:xfrm>
                    <a:prstGeom prst="rect">
                      <a:avLst/>
                    </a:prstGeom>
                    <a:noFill/>
                    <a:ln>
                      <a:noFill/>
                    </a:ln>
                  </pic:spPr>
                </pic:pic>
              </a:graphicData>
            </a:graphic>
          </wp:inline>
        </w:drawing>
      </w:r>
    </w:p>
    <w:p w14:paraId="0424332B" w14:textId="77777777" w:rsidR="0076097D" w:rsidRDefault="0076097D" w:rsidP="00142A4D">
      <w:pPr>
        <w:jc w:val="both"/>
        <w:rPr>
          <w:rStyle w:val="tlid-translation"/>
          <w:rFonts w:cs="Tahoma"/>
          <w:lang w:val="pt-PT"/>
        </w:rPr>
      </w:pPr>
      <w:r>
        <w:rPr>
          <w:rStyle w:val="tlid-translation"/>
          <w:rFonts w:cs="Tahoma"/>
          <w:lang w:val="pt-PT"/>
        </w:rPr>
        <w:t xml:space="preserve">Conforme se pode observar nesta tabela a escolha do período histórico com base no qual se calculam as médias pode produzir valores substancialmente diferentes do prémio de risco. Assim a escolha de um período o mais longo possível permite suavizar as diferenças entre períodos históricos com características macroeconómicas substancialmente diferentes. Algumas ARNs escolhem uma gama de valores para a qual estabelecem um valor mínimo e um máximo. Por exemplo, utilizando a série histórica entre 1928 e 2019, a mais longa, e o prémio de risco estimado com base na diferença entre ações e bilhetes do tesouro, tem-se um valor mínimo para a média geométrica de 6,35% e um valor máximo de 8,18% para a média aritmética. Uma alternativa é por exemplo utilizar o valor médio desta gama que neste caso daria um valor de ERP de 7,265%. </w:t>
      </w:r>
    </w:p>
    <w:p w14:paraId="7BCBBAB4" w14:textId="77777777" w:rsidR="0076097D" w:rsidRDefault="0076097D" w:rsidP="00142A4D">
      <w:pPr>
        <w:jc w:val="both"/>
        <w:rPr>
          <w:rStyle w:val="tlid-translation"/>
          <w:rFonts w:cs="Tahoma"/>
          <w:lang w:val="pt-PT"/>
        </w:rPr>
      </w:pPr>
      <w:r>
        <w:rPr>
          <w:rStyle w:val="tlid-translation"/>
          <w:rFonts w:cs="Tahoma"/>
          <w:lang w:val="pt-PT"/>
        </w:rPr>
        <w:t xml:space="preserve">Na Europa, a ANACOM, autoridade reguladora portuguesa utilizou para o cálculo do ERP até 2019, o valor médio </w:t>
      </w:r>
      <w:r w:rsidRPr="00052D4B">
        <w:rPr>
          <w:rStyle w:val="tlid-translation"/>
          <w:rFonts w:cs="Tahoma"/>
          <w:lang w:val="pt-PT"/>
        </w:rPr>
        <w:t>de 3 fontes</w:t>
      </w:r>
      <w:r>
        <w:rPr>
          <w:rStyle w:val="tlid-translation"/>
          <w:rFonts w:cs="Tahoma"/>
          <w:lang w:val="pt-PT"/>
        </w:rPr>
        <w:t xml:space="preserve"> internacionais</w:t>
      </w:r>
      <w:r w:rsidRPr="00052D4B">
        <w:rPr>
          <w:rStyle w:val="tlid-translation"/>
          <w:rFonts w:cs="Tahoma"/>
          <w:lang w:val="pt-PT"/>
        </w:rPr>
        <w:t xml:space="preserve">: </w:t>
      </w:r>
      <w:r>
        <w:rPr>
          <w:rStyle w:val="tlid-translation"/>
          <w:rFonts w:cs="Tahoma"/>
          <w:lang w:val="pt-PT"/>
        </w:rPr>
        <w:t xml:space="preserve">os estudos de </w:t>
      </w:r>
      <w:r w:rsidRPr="00052D4B">
        <w:rPr>
          <w:rStyle w:val="tlid-translation"/>
          <w:rFonts w:cs="Tahoma"/>
          <w:lang w:val="pt-PT"/>
        </w:rPr>
        <w:t xml:space="preserve">Pablo Fernandez, </w:t>
      </w:r>
      <w:r>
        <w:rPr>
          <w:rStyle w:val="tlid-translation"/>
          <w:rFonts w:cs="Tahoma"/>
          <w:lang w:val="pt-PT"/>
        </w:rPr>
        <w:t xml:space="preserve">o </w:t>
      </w:r>
      <w:r w:rsidRPr="00052D4B">
        <w:rPr>
          <w:rStyle w:val="tlid-translation"/>
          <w:rFonts w:cs="Tahoma"/>
          <w:lang w:val="pt-PT"/>
        </w:rPr>
        <w:t>Credit Suisse</w:t>
      </w:r>
      <w:r>
        <w:rPr>
          <w:rStyle w:val="tlid-translation"/>
          <w:rFonts w:cs="Tahoma"/>
          <w:lang w:val="pt-PT"/>
        </w:rPr>
        <w:t xml:space="preserve"> </w:t>
      </w:r>
      <w:r w:rsidRPr="00052D4B">
        <w:rPr>
          <w:rStyle w:val="tlid-translation"/>
          <w:rFonts w:cs="Tahoma"/>
          <w:lang w:val="pt-PT"/>
        </w:rPr>
        <w:t xml:space="preserve">Global Investment Returns Yearbook e </w:t>
      </w:r>
      <w:r>
        <w:rPr>
          <w:rStyle w:val="tlid-translation"/>
          <w:rFonts w:cs="Tahoma"/>
          <w:lang w:val="pt-PT"/>
        </w:rPr>
        <w:t xml:space="preserve">o estudo do Professor </w:t>
      </w:r>
      <w:r w:rsidRPr="00052D4B">
        <w:rPr>
          <w:rStyle w:val="tlid-translation"/>
          <w:rFonts w:cs="Tahoma"/>
          <w:lang w:val="pt-PT"/>
        </w:rPr>
        <w:t>Damodaran</w:t>
      </w:r>
      <w:r>
        <w:rPr>
          <w:rStyle w:val="tlid-translation"/>
          <w:rFonts w:cs="Tahoma"/>
          <w:lang w:val="pt-PT"/>
        </w:rPr>
        <w:t xml:space="preserve">, utilizando no cálculo do CMPC um valor do ERP de 6,98% obtido como uma média aritmética simples dos diferentes valores. </w:t>
      </w:r>
      <w:r w:rsidRPr="00AF453A">
        <w:rPr>
          <w:rStyle w:val="tlid-translation"/>
          <w:rFonts w:cs="Tahoma"/>
          <w:lang w:val="pt-PT"/>
        </w:rPr>
        <w:t xml:space="preserve">Da mesma forma, Dimson, Marsh e Staunton têm taxas próximas de 6,1%. </w:t>
      </w:r>
      <w:r>
        <w:rPr>
          <w:rStyle w:val="tlid-translation"/>
          <w:rFonts w:cs="Tahoma"/>
          <w:lang w:val="pt-PT"/>
        </w:rPr>
        <w:t xml:space="preserve">Em geral, muitos dos reguladores usam </w:t>
      </w:r>
      <w:r w:rsidRPr="00AF453A">
        <w:rPr>
          <w:rStyle w:val="tlid-translation"/>
          <w:rFonts w:cs="Tahoma"/>
          <w:lang w:val="pt-PT"/>
        </w:rPr>
        <w:t xml:space="preserve">esses estudos como fontes confiáveis e, portanto, </w:t>
      </w:r>
      <w:r>
        <w:rPr>
          <w:rStyle w:val="tlid-translation"/>
          <w:rFonts w:cs="Tahoma"/>
          <w:lang w:val="pt-PT"/>
        </w:rPr>
        <w:t>uma alternativa razoável é considerar como adequado o</w:t>
      </w:r>
      <w:r w:rsidRPr="00AF453A">
        <w:rPr>
          <w:rStyle w:val="tlid-translation"/>
          <w:rFonts w:cs="Tahoma"/>
          <w:lang w:val="pt-PT"/>
        </w:rPr>
        <w:t xml:space="preserve"> seu uso </w:t>
      </w:r>
      <w:r>
        <w:rPr>
          <w:rStyle w:val="tlid-translation"/>
          <w:rFonts w:cs="Tahoma"/>
          <w:lang w:val="pt-PT"/>
        </w:rPr>
        <w:t>para o</w:t>
      </w:r>
      <w:r w:rsidRPr="00AF453A">
        <w:rPr>
          <w:rStyle w:val="tlid-translation"/>
          <w:rFonts w:cs="Tahoma"/>
          <w:lang w:val="pt-PT"/>
        </w:rPr>
        <w:t xml:space="preserve"> cálculo do ERP.</w:t>
      </w:r>
      <w:r>
        <w:rPr>
          <w:rStyle w:val="tlid-translation"/>
          <w:rFonts w:cs="Tahoma"/>
          <w:lang w:val="pt-PT"/>
        </w:rPr>
        <w:t xml:space="preserve"> </w:t>
      </w:r>
    </w:p>
    <w:p w14:paraId="51C69389" w14:textId="77777777" w:rsidR="0076097D" w:rsidRDefault="0076097D" w:rsidP="00142A4D">
      <w:pPr>
        <w:autoSpaceDE w:val="0"/>
        <w:autoSpaceDN w:val="0"/>
        <w:adjustRightInd w:val="0"/>
        <w:spacing w:before="0" w:after="0"/>
        <w:jc w:val="both"/>
        <w:rPr>
          <w:rFonts w:eastAsia="Calibri" w:cs="Tahoma"/>
          <w:color w:val="000000"/>
          <w:lang w:val="pt-PT"/>
        </w:rPr>
      </w:pPr>
      <w:r w:rsidRPr="00384763">
        <w:rPr>
          <w:rFonts w:eastAsia="Calibri" w:cs="Tahoma"/>
          <w:color w:val="000000"/>
          <w:lang w:val="pt-PT"/>
        </w:rPr>
        <w:t xml:space="preserve">No enquadramento europeu, a partir de 2019, a comunicação da Comissão refere entender no setor das comunicações eletrónicas faz sentido aplicar um prémio de risco de mercado pan-europeu no contexto da determinação da taxa de custo de capital para efeitos regulatórios uma vez que é coerente com a evidência que sugere que os mercados financeiros europeus estão em convergência crescente, aliado ao facto de uma parcela significativa do capital de empresas de comunicações eletrónicas ser detida por investidores extra-nacionais. Com este objetivo o BEREC estabeleceu uma gama para o valor para o prémio de mercado </w:t>
      </w:r>
      <w:r>
        <w:rPr>
          <w:rFonts w:eastAsia="Calibri" w:cs="Tahoma"/>
          <w:color w:val="000000"/>
          <w:lang w:val="pt-PT"/>
        </w:rPr>
        <w:t xml:space="preserve">pan-europeu </w:t>
      </w:r>
      <w:r w:rsidRPr="00384763">
        <w:rPr>
          <w:rFonts w:eastAsia="Calibri" w:cs="Tahoma"/>
          <w:color w:val="000000"/>
          <w:lang w:val="pt-PT"/>
        </w:rPr>
        <w:t>entre 4,18% e 5,31%, consoante o cálculo se baseie nos valores históricos do retorno do mercado acionista e do retorno das obrigações de tesouro fosse realizado por referência a uma média geométrica (limite inferior), ou por referência a uma média aritmética (limite superior).</w:t>
      </w:r>
      <w:r>
        <w:rPr>
          <w:rFonts w:eastAsia="Calibri" w:cs="Tahoma"/>
          <w:color w:val="000000"/>
          <w:lang w:val="pt-PT"/>
        </w:rPr>
        <w:t xml:space="preserve"> De notar que estes valores são inferiores aos obtidos por Damodaran tendo por referência o mercado norte americano. Utilizando como referência os dois estudos internacionais, pode-se considerar adequado que, na perspetiva de um investidor global, a média dos ERPs na Europa e Estados Unidos constitui uma aproximação razoável. Com base </w:t>
      </w:r>
      <w:r>
        <w:rPr>
          <w:rFonts w:eastAsia="Calibri" w:cs="Tahoma"/>
          <w:color w:val="000000"/>
          <w:lang w:val="pt-PT"/>
        </w:rPr>
        <w:lastRenderedPageBreak/>
        <w:t>neste pressuposto obtém-se um valor de ERP correspondente a 6% conforme se apresenta na tabela seguinte:</w:t>
      </w:r>
    </w:p>
    <w:p w14:paraId="4A16CA42" w14:textId="77777777" w:rsidR="0076097D" w:rsidRDefault="0076097D" w:rsidP="0076097D">
      <w:pPr>
        <w:autoSpaceDE w:val="0"/>
        <w:autoSpaceDN w:val="0"/>
        <w:adjustRightInd w:val="0"/>
        <w:spacing w:before="0" w:after="0"/>
        <w:rPr>
          <w:rFonts w:eastAsia="Calibri" w:cs="Tahoma"/>
          <w:color w:val="000000"/>
          <w:lang w:val="pt-PT"/>
        </w:rPr>
      </w:pPr>
    </w:p>
    <w:p w14:paraId="675A177F" w14:textId="77777777" w:rsidR="0076097D" w:rsidRPr="00384763" w:rsidRDefault="0076097D" w:rsidP="0076097D">
      <w:pPr>
        <w:autoSpaceDE w:val="0"/>
        <w:autoSpaceDN w:val="0"/>
        <w:adjustRightInd w:val="0"/>
        <w:spacing w:before="0" w:after="0"/>
        <w:jc w:val="center"/>
        <w:rPr>
          <w:rStyle w:val="tlid-translation"/>
          <w:rFonts w:eastAsia="Calibri" w:cs="Tahoma"/>
          <w:color w:val="000000"/>
          <w:lang w:val="pt-PT"/>
        </w:rPr>
      </w:pPr>
      <w:r w:rsidRPr="008158C6">
        <w:rPr>
          <w:rStyle w:val="tlid-translation"/>
          <w:rFonts w:eastAsia="Calibri"/>
          <w:noProof/>
        </w:rPr>
        <w:drawing>
          <wp:inline distT="0" distB="0" distL="0" distR="0" wp14:anchorId="5FCD4E4C" wp14:editId="6241B2D7">
            <wp:extent cx="3625850" cy="1155700"/>
            <wp:effectExtent l="0" t="0" r="0" b="635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25850" cy="1155700"/>
                    </a:xfrm>
                    <a:prstGeom prst="rect">
                      <a:avLst/>
                    </a:prstGeom>
                    <a:noFill/>
                    <a:ln>
                      <a:noFill/>
                    </a:ln>
                  </pic:spPr>
                </pic:pic>
              </a:graphicData>
            </a:graphic>
          </wp:inline>
        </w:drawing>
      </w:r>
    </w:p>
    <w:p w14:paraId="064454F5" w14:textId="77777777" w:rsidR="0076097D" w:rsidRPr="00BB6492" w:rsidRDefault="0076097D" w:rsidP="00142A4D">
      <w:pPr>
        <w:jc w:val="both"/>
        <w:rPr>
          <w:rFonts w:cs="Tahoma"/>
          <w:lang w:val="pt-PT"/>
        </w:rPr>
      </w:pPr>
      <w:r>
        <w:rPr>
          <w:rFonts w:cs="Tahoma"/>
          <w:lang w:val="pt-PT"/>
        </w:rPr>
        <w:t xml:space="preserve">O coeficiente </w:t>
      </w:r>
      <w:r w:rsidRPr="00BB6492">
        <w:rPr>
          <w:rFonts w:cs="Tahoma"/>
          <w:lang w:val="pt-PT"/>
        </w:rPr>
        <w:t>Beta (β</w:t>
      </w:r>
      <w:r w:rsidRPr="00BB6492">
        <w:rPr>
          <w:rFonts w:cs="Tahoma"/>
          <w:vertAlign w:val="subscript"/>
          <w:lang w:val="pt-PT"/>
        </w:rPr>
        <w:t>e</w:t>
      </w:r>
      <w:r w:rsidRPr="00BB6492">
        <w:rPr>
          <w:rFonts w:cs="Tahoma"/>
          <w:lang w:val="pt-PT"/>
        </w:rPr>
        <w:t>) é uma medida do risco sistemático ou do risco específico associado a uma empresa. Um β</w:t>
      </w:r>
      <w:r w:rsidRPr="00BB6492">
        <w:rPr>
          <w:rFonts w:cs="Tahoma"/>
          <w:vertAlign w:val="subscript"/>
          <w:lang w:val="pt-PT"/>
        </w:rPr>
        <w:t>e</w:t>
      </w:r>
      <w:r w:rsidRPr="00BB6492">
        <w:rPr>
          <w:rFonts w:cs="Tahoma"/>
          <w:lang w:val="pt-PT"/>
        </w:rPr>
        <w:t xml:space="preserve"> acima de 1 significa que a empresa é considerada como tendo um risco e retorno mais elevados do que o mercado em geral, porque amplifica os movimentos do mercado. Um β</w:t>
      </w:r>
      <w:r w:rsidRPr="00BB6492">
        <w:rPr>
          <w:rFonts w:cs="Tahoma"/>
          <w:vertAlign w:val="subscript"/>
          <w:lang w:val="pt-PT"/>
        </w:rPr>
        <w:t>e</w:t>
      </w:r>
      <w:r w:rsidRPr="00BB6492">
        <w:rPr>
          <w:rFonts w:cs="Tahoma"/>
          <w:lang w:val="pt-PT"/>
        </w:rPr>
        <w:t xml:space="preserve"> menos de 1, significa que a empresa tem um risco e retorno mais baixos do que o mercado. Este coeficiente mede, portanto, a sensibilidade (ou volatilidade) do ativo em relação ao mercado.   </w:t>
      </w:r>
    </w:p>
    <w:p w14:paraId="067BEB1D" w14:textId="77777777" w:rsidR="0076097D" w:rsidRPr="00501053" w:rsidRDefault="0076097D" w:rsidP="00142A4D">
      <w:pPr>
        <w:jc w:val="both"/>
        <w:rPr>
          <w:rFonts w:cs="Tahoma"/>
          <w:lang w:val="pt-PT"/>
        </w:rPr>
      </w:pPr>
      <w:r w:rsidRPr="00BB6492">
        <w:rPr>
          <w:rStyle w:val="tlid-translation"/>
          <w:rFonts w:cs="Tahoma"/>
          <w:lang w:val="pt-PT"/>
        </w:rPr>
        <w:t xml:space="preserve">Na maioria das decisões regulamentares relativas ao mercado das telecomunicações, </w:t>
      </w:r>
      <w:r>
        <w:rPr>
          <w:rStyle w:val="tlid-translation"/>
          <w:rFonts w:cs="Tahoma"/>
          <w:lang w:val="pt-PT"/>
        </w:rPr>
        <w:t>é comum encontrar valores de</w:t>
      </w:r>
      <w:r w:rsidRPr="00BB6492">
        <w:rPr>
          <w:rStyle w:val="tlid-translation"/>
          <w:rFonts w:cs="Tahoma"/>
          <w:lang w:val="pt-PT"/>
        </w:rPr>
        <w:t xml:space="preserve"> beta inferior</w:t>
      </w:r>
      <w:r>
        <w:rPr>
          <w:rStyle w:val="tlid-translation"/>
          <w:rFonts w:cs="Tahoma"/>
          <w:lang w:val="pt-PT"/>
        </w:rPr>
        <w:t>es</w:t>
      </w:r>
      <w:r w:rsidRPr="00BB6492">
        <w:rPr>
          <w:rStyle w:val="tlid-translation"/>
          <w:rFonts w:cs="Tahoma"/>
          <w:lang w:val="pt-PT"/>
        </w:rPr>
        <w:t xml:space="preserve"> a 1, </w:t>
      </w:r>
      <w:r>
        <w:rPr>
          <w:rStyle w:val="tlid-translation"/>
          <w:rFonts w:cs="Tahoma"/>
          <w:lang w:val="pt-PT"/>
        </w:rPr>
        <w:t>o que traduz</w:t>
      </w:r>
      <w:r w:rsidRPr="00BB6492">
        <w:rPr>
          <w:rStyle w:val="tlid-translation"/>
          <w:rFonts w:cs="Tahoma"/>
          <w:lang w:val="pt-PT"/>
        </w:rPr>
        <w:t xml:space="preserve"> o comportamento do sector das telecomunicações em relação ao mercado bolsista no seu conjunto. </w:t>
      </w:r>
      <w:r>
        <w:rPr>
          <w:rStyle w:val="tlid-translation"/>
          <w:rFonts w:cs="Tahoma"/>
          <w:lang w:val="pt-PT"/>
        </w:rPr>
        <w:t>A Tabela</w:t>
      </w:r>
      <w:r w:rsidRPr="00BB6492">
        <w:rPr>
          <w:rStyle w:val="tlid-translation"/>
          <w:rFonts w:cs="Tahoma"/>
          <w:lang w:val="pt-PT"/>
        </w:rPr>
        <w:t xml:space="preserve"> abaixo apresenta uma série de estimativas do </w:t>
      </w:r>
      <w:r w:rsidRPr="00BB6492">
        <w:rPr>
          <w:rFonts w:cs="Tahoma"/>
          <w:lang w:val="pt-PT"/>
        </w:rPr>
        <w:t xml:space="preserve">β utilizadas </w:t>
      </w:r>
      <w:r>
        <w:rPr>
          <w:rStyle w:val="tlid-translation"/>
          <w:rFonts w:cs="Tahoma"/>
          <w:lang w:val="pt-PT"/>
        </w:rPr>
        <w:t>na</w:t>
      </w:r>
      <w:r w:rsidRPr="00BB6492">
        <w:rPr>
          <w:rStyle w:val="tlid-translation"/>
          <w:rFonts w:cs="Tahoma"/>
          <w:lang w:val="pt-PT"/>
        </w:rPr>
        <w:t xml:space="preserve"> recente </w:t>
      </w:r>
      <w:r>
        <w:rPr>
          <w:rStyle w:val="tlid-translation"/>
          <w:rFonts w:cs="Tahoma"/>
          <w:lang w:val="pt-PT"/>
        </w:rPr>
        <w:t>recomendação</w:t>
      </w:r>
      <w:r w:rsidRPr="00BB6492">
        <w:rPr>
          <w:rStyle w:val="tlid-translation"/>
          <w:rFonts w:cs="Tahoma"/>
          <w:lang w:val="pt-PT"/>
        </w:rPr>
        <w:t xml:space="preserve"> regulamentar de telecomunicações na Europa</w:t>
      </w:r>
      <w:r>
        <w:rPr>
          <w:rStyle w:val="FootnoteReference"/>
          <w:lang w:val="pt-PT"/>
        </w:rPr>
        <w:footnoteReference w:id="24"/>
      </w:r>
      <w:r w:rsidRPr="00BB6492">
        <w:rPr>
          <w:rStyle w:val="tlid-translation"/>
          <w:rFonts w:cs="Tahoma"/>
          <w:lang w:val="pt-PT"/>
        </w:rPr>
        <w:t>.</w:t>
      </w:r>
      <w:r w:rsidRPr="00BB6492">
        <w:rPr>
          <w:rFonts w:cs="Tahoma"/>
          <w:lang w:val="pt-PT"/>
        </w:rPr>
        <w:t xml:space="preserve"> </w:t>
      </w:r>
      <w:r>
        <w:rPr>
          <w:rStyle w:val="tlid-translation"/>
          <w:rFonts w:cs="Tahoma"/>
          <w:lang w:val="pt-PT"/>
        </w:rPr>
        <w:t>Com</w:t>
      </w:r>
      <w:r w:rsidRPr="00BB6492">
        <w:rPr>
          <w:rStyle w:val="tlid-translation"/>
          <w:rFonts w:cs="Tahoma"/>
          <w:lang w:val="pt-PT"/>
        </w:rPr>
        <w:t xml:space="preserve"> base</w:t>
      </w:r>
      <w:r>
        <w:rPr>
          <w:rStyle w:val="tlid-translation"/>
          <w:rFonts w:cs="Tahoma"/>
          <w:lang w:val="pt-PT"/>
        </w:rPr>
        <w:t xml:space="preserve"> nestes valores </w:t>
      </w:r>
      <w:r w:rsidRPr="00BB6492">
        <w:rPr>
          <w:rStyle w:val="tlid-translation"/>
          <w:rFonts w:cs="Tahoma"/>
          <w:lang w:val="pt-PT"/>
        </w:rPr>
        <w:t>prop</w:t>
      </w:r>
      <w:r>
        <w:rPr>
          <w:rStyle w:val="tlid-translation"/>
          <w:rFonts w:cs="Tahoma"/>
          <w:lang w:val="pt-PT"/>
        </w:rPr>
        <w:t>õe-se</w:t>
      </w:r>
      <w:r w:rsidRPr="00BB6492">
        <w:rPr>
          <w:rStyle w:val="tlid-translation"/>
          <w:rFonts w:cs="Tahoma"/>
          <w:lang w:val="pt-PT"/>
        </w:rPr>
        <w:t xml:space="preserve"> utilizar um</w:t>
      </w:r>
      <w:r>
        <w:rPr>
          <w:rStyle w:val="tlid-translation"/>
          <w:rFonts w:cs="Tahoma"/>
          <w:lang w:val="pt-PT"/>
        </w:rPr>
        <w:t xml:space="preserve"> valor médio do</w:t>
      </w:r>
      <w:r w:rsidRPr="00BB6492">
        <w:rPr>
          <w:rStyle w:val="tlid-translation"/>
          <w:rFonts w:cs="Tahoma"/>
          <w:lang w:val="pt-PT"/>
        </w:rPr>
        <w:t xml:space="preserve"> </w:t>
      </w:r>
      <w:r w:rsidRPr="00BB6492">
        <w:rPr>
          <w:rFonts w:cs="Tahoma"/>
          <w:lang w:val="pt-PT"/>
        </w:rPr>
        <w:t xml:space="preserve">β de </w:t>
      </w:r>
      <w:r w:rsidRPr="00BB6492">
        <w:rPr>
          <w:rStyle w:val="tlid-translation"/>
          <w:rFonts w:cs="Tahoma"/>
          <w:lang w:val="pt-PT"/>
        </w:rPr>
        <w:t>0,</w:t>
      </w:r>
      <w:r>
        <w:rPr>
          <w:rStyle w:val="tlid-translation"/>
          <w:rFonts w:cs="Tahoma"/>
          <w:lang w:val="pt-PT"/>
        </w:rPr>
        <w:t>74</w:t>
      </w:r>
      <w:r w:rsidRPr="00BB6492">
        <w:rPr>
          <w:rStyle w:val="tlid-translation"/>
          <w:rFonts w:cs="Tahoma"/>
          <w:lang w:val="pt-PT"/>
        </w:rPr>
        <w:t>.</w:t>
      </w:r>
      <w:r w:rsidRPr="00BB6492">
        <w:rPr>
          <w:rFonts w:cs="Tahoma"/>
          <w:lang w:val="pt-PT"/>
        </w:rPr>
        <w:t xml:space="preserve">  </w:t>
      </w:r>
    </w:p>
    <w:p w14:paraId="5AF75C2C" w14:textId="77777777" w:rsidR="0076097D" w:rsidRDefault="0076097D" w:rsidP="0076097D">
      <w:pPr>
        <w:jc w:val="center"/>
      </w:pPr>
      <w:r w:rsidRPr="00501053">
        <w:rPr>
          <w:noProof/>
        </w:rPr>
        <w:lastRenderedPageBreak/>
        <w:drawing>
          <wp:inline distT="0" distB="0" distL="0" distR="0" wp14:anchorId="0D76DE44" wp14:editId="2439895B">
            <wp:extent cx="3333750" cy="332105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3750" cy="3321050"/>
                    </a:xfrm>
                    <a:prstGeom prst="rect">
                      <a:avLst/>
                    </a:prstGeom>
                    <a:noFill/>
                    <a:ln>
                      <a:noFill/>
                    </a:ln>
                  </pic:spPr>
                </pic:pic>
              </a:graphicData>
            </a:graphic>
          </wp:inline>
        </w:drawing>
      </w:r>
    </w:p>
    <w:p w14:paraId="5E97FD5E" w14:textId="77777777" w:rsidR="0076097D" w:rsidRDefault="0076097D" w:rsidP="0076097D">
      <w:pPr>
        <w:rPr>
          <w:rFonts w:cs="Tahoma"/>
          <w:lang w:val="pt-PT"/>
        </w:rPr>
      </w:pPr>
      <w:r w:rsidRPr="00B16328">
        <w:rPr>
          <w:rStyle w:val="tlid-translation"/>
          <w:rFonts w:cs="Tahoma"/>
          <w:lang w:val="pt-PT"/>
        </w:rPr>
        <w:t xml:space="preserve">No cálculo do </w:t>
      </w:r>
      <w:r>
        <w:rPr>
          <w:rStyle w:val="tlid-translation"/>
          <w:rFonts w:cs="Tahoma"/>
          <w:lang w:val="pt-PT"/>
        </w:rPr>
        <w:t>custo do capital próprio,</w:t>
      </w:r>
      <w:r w:rsidRPr="00B16328">
        <w:rPr>
          <w:rStyle w:val="tlid-translation"/>
          <w:rFonts w:cs="Tahoma"/>
          <w:lang w:val="pt-PT"/>
        </w:rPr>
        <w:t xml:space="preserve"> a taxa sem risco é a mesma que foi utilizada para calcular o custo da dívida</w:t>
      </w:r>
      <w:r>
        <w:rPr>
          <w:rStyle w:val="tlid-translation"/>
          <w:rFonts w:cs="Tahoma"/>
          <w:lang w:val="pt-PT"/>
        </w:rPr>
        <w:t>, ou seja,</w:t>
      </w:r>
      <w:r w:rsidRPr="00B16328">
        <w:rPr>
          <w:rStyle w:val="tlid-translation"/>
          <w:rFonts w:cs="Tahoma"/>
          <w:lang w:val="pt-PT"/>
        </w:rPr>
        <w:t xml:space="preserve"> 8,</w:t>
      </w:r>
      <w:r>
        <w:rPr>
          <w:rStyle w:val="tlid-translation"/>
          <w:rFonts w:cs="Tahoma"/>
          <w:lang w:val="pt-PT"/>
        </w:rPr>
        <w:t>6</w:t>
      </w:r>
      <w:r w:rsidRPr="00B16328">
        <w:rPr>
          <w:rStyle w:val="tlid-translation"/>
          <w:rFonts w:cs="Tahoma"/>
          <w:lang w:val="pt-PT"/>
        </w:rPr>
        <w:t>7%.</w:t>
      </w:r>
      <w:r w:rsidRPr="00BB6492">
        <w:rPr>
          <w:rFonts w:cs="Tahoma"/>
          <w:lang w:val="pt-PT"/>
        </w:rPr>
        <w:t xml:space="preserve">  </w:t>
      </w:r>
    </w:p>
    <w:p w14:paraId="07DFE2E2" w14:textId="77777777" w:rsidR="0076097D" w:rsidRDefault="0076097D" w:rsidP="0076097D">
      <w:pPr>
        <w:rPr>
          <w:rFonts w:cs="Tahoma"/>
          <w:lang w:val="pt-PT"/>
        </w:rPr>
      </w:pPr>
      <w:r w:rsidRPr="00405616">
        <w:rPr>
          <w:rStyle w:val="tlid-translation"/>
          <w:rFonts w:cs="Tahoma"/>
          <w:lang w:val="pt-PT"/>
        </w:rPr>
        <w:t>Considerando então as estimativas de valores acima apresentadas, obtém-se um custo estimado de capital próprio de 16,39%, como mostra a tabela</w:t>
      </w:r>
      <w:r w:rsidRPr="00405616">
        <w:rPr>
          <w:rFonts w:cs="Tahoma"/>
          <w:lang w:val="pt-PT"/>
        </w:rPr>
        <w:t xml:space="preserve"> seguinte</w:t>
      </w:r>
      <w:r w:rsidRPr="00BB6492">
        <w:rPr>
          <w:rFonts w:cs="Tahoma"/>
          <w:lang w:val="pt-PT"/>
        </w:rPr>
        <w:t>:</w:t>
      </w:r>
    </w:p>
    <w:p w14:paraId="330FA283" w14:textId="77777777" w:rsidR="0076097D" w:rsidRDefault="0076097D" w:rsidP="0076097D">
      <w:pPr>
        <w:rPr>
          <w:rFonts w:cs="Tahoma"/>
          <w:lang w:val="pt-PT"/>
        </w:rPr>
      </w:pPr>
    </w:p>
    <w:p w14:paraId="79DA4E15" w14:textId="77777777" w:rsidR="0076097D" w:rsidRPr="00804730" w:rsidRDefault="0076097D" w:rsidP="0076097D">
      <w:pPr>
        <w:jc w:val="center"/>
        <w:rPr>
          <w:rFonts w:cs="Tahoma"/>
          <w:lang w:val="pt-PT"/>
        </w:rPr>
      </w:pPr>
      <w:r w:rsidRPr="00405616">
        <w:rPr>
          <w:noProof/>
        </w:rPr>
        <w:drawing>
          <wp:inline distT="0" distB="0" distL="0" distR="0" wp14:anchorId="4E5739CE" wp14:editId="03517433">
            <wp:extent cx="5461000" cy="2393950"/>
            <wp:effectExtent l="0" t="0" r="6350" b="635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61000" cy="2393950"/>
                    </a:xfrm>
                    <a:prstGeom prst="rect">
                      <a:avLst/>
                    </a:prstGeom>
                    <a:noFill/>
                    <a:ln>
                      <a:noFill/>
                    </a:ln>
                  </pic:spPr>
                </pic:pic>
              </a:graphicData>
            </a:graphic>
          </wp:inline>
        </w:drawing>
      </w:r>
    </w:p>
    <w:p w14:paraId="46F27B4E" w14:textId="77777777" w:rsidR="0076097D" w:rsidRPr="00EE0B21" w:rsidRDefault="0076097D" w:rsidP="0076097D">
      <w:pPr>
        <w:pStyle w:val="Heading2"/>
        <w:numPr>
          <w:ilvl w:val="0"/>
          <w:numId w:val="0"/>
        </w:numPr>
        <w:rPr>
          <w:lang w:val="pt-PT"/>
        </w:rPr>
      </w:pPr>
      <w:bookmarkStart w:id="38" w:name="_Toc75349743"/>
      <w:bookmarkStart w:id="39" w:name="_Toc532482103"/>
      <w:bookmarkStart w:id="40" w:name="_Toc6841761"/>
      <w:bookmarkStart w:id="41" w:name="_Toc8819895"/>
      <w:r w:rsidRPr="00FB3401">
        <w:rPr>
          <w:lang w:val="pt-PT"/>
        </w:rPr>
        <w:t>5</w:t>
      </w:r>
      <w:r>
        <w:rPr>
          <w:lang w:val="pt-PT"/>
        </w:rPr>
        <w:tab/>
      </w:r>
      <w:r w:rsidRPr="00FB3401">
        <w:rPr>
          <w:lang w:val="pt-PT"/>
        </w:rPr>
        <w:t>End</w:t>
      </w:r>
      <w:r>
        <w:rPr>
          <w:lang w:val="pt-PT"/>
        </w:rPr>
        <w:t>ividamento</w:t>
      </w:r>
      <w:bookmarkEnd w:id="38"/>
      <w:r w:rsidRPr="00FB3401">
        <w:rPr>
          <w:lang w:val="pt-PT"/>
        </w:rPr>
        <w:tab/>
      </w:r>
      <w:bookmarkEnd w:id="39"/>
      <w:bookmarkEnd w:id="40"/>
      <w:bookmarkEnd w:id="41"/>
    </w:p>
    <w:p w14:paraId="077E2DAD" w14:textId="77777777" w:rsidR="0076097D" w:rsidRPr="0012314D" w:rsidRDefault="0076097D" w:rsidP="00142A4D">
      <w:pPr>
        <w:jc w:val="both"/>
        <w:rPr>
          <w:rFonts w:cs="Tahoma"/>
          <w:lang w:val="pt-PT"/>
        </w:rPr>
      </w:pPr>
      <w:r w:rsidRPr="00BB6492">
        <w:rPr>
          <w:rStyle w:val="tlid-translation"/>
          <w:rFonts w:cs="Tahoma"/>
          <w:lang w:val="pt-PT"/>
        </w:rPr>
        <w:t xml:space="preserve">Para calcular o </w:t>
      </w:r>
      <w:r>
        <w:rPr>
          <w:rStyle w:val="tlid-translation"/>
          <w:rFonts w:cs="Tahoma"/>
          <w:lang w:val="pt-PT"/>
        </w:rPr>
        <w:t>CMPC</w:t>
      </w:r>
      <w:r w:rsidRPr="00BB6492">
        <w:rPr>
          <w:rStyle w:val="tlid-translation"/>
          <w:rFonts w:cs="Tahoma"/>
          <w:lang w:val="pt-PT"/>
        </w:rPr>
        <w:t xml:space="preserve">, o custo do capital próprio e o custo da dívida devem ser ponderados por um nível de relação eficaz, ou seja, a proporção da dívida no valor total do capital. O nível </w:t>
      </w:r>
      <w:r w:rsidRPr="00BB6492">
        <w:rPr>
          <w:rStyle w:val="tlid-translation"/>
          <w:rFonts w:cs="Tahoma"/>
          <w:lang w:val="pt-PT"/>
        </w:rPr>
        <w:lastRenderedPageBreak/>
        <w:t>da dívida é sempre um compromisso: dívida a mais aumenta o risco de insolvência (e aumenta o custo da dívida), caso em que os investidores da empresa podem perder grande parte ou a totalidade do seu capital investido; pouca dívida significa que a empresa está condicionada pela formação de capital e pode perder oportunidades de crescimento. Para efeitos de cálculo do CMPC, o rácio da dívida deve ser calculado sobre o valor de mercado e não sobre o valor contabilístico. Isto complica a observação direta da dívida nas empresas em causa, uma vez que o valor de mercado da dívida e do capital próprio pode não ser conhecido com exatidão</w:t>
      </w:r>
      <w:r w:rsidRPr="00BB6492">
        <w:rPr>
          <w:rFonts w:cs="Tahoma"/>
          <w:lang w:val="pt-PT"/>
        </w:rPr>
        <w:t xml:space="preserve">. </w:t>
      </w:r>
    </w:p>
    <w:p w14:paraId="0EAAFEA6" w14:textId="77777777" w:rsidR="0076097D" w:rsidRDefault="0076097D" w:rsidP="00142A4D">
      <w:pPr>
        <w:jc w:val="both"/>
        <w:rPr>
          <w:rStyle w:val="tlid-translation"/>
          <w:rFonts w:cs="Tahoma"/>
          <w:lang w:val="pt-PT"/>
        </w:rPr>
      </w:pPr>
      <w:r>
        <w:rPr>
          <w:rStyle w:val="tlid-translation"/>
          <w:rFonts w:cs="Tahoma"/>
          <w:lang w:val="pt-PT"/>
        </w:rPr>
        <w:t xml:space="preserve">Outra questão que se coloca é em qual estrutura de capital se deve basear o cálculo: estrutura no momento do cálculo ou estrutura otimizada. </w:t>
      </w:r>
      <w:r w:rsidRPr="00B162B1">
        <w:rPr>
          <w:rStyle w:val="tlid-translation"/>
          <w:rFonts w:cs="Tahoma"/>
          <w:lang w:val="pt-PT"/>
        </w:rPr>
        <w:t xml:space="preserve">Teoricamente, um </w:t>
      </w:r>
      <w:r>
        <w:rPr>
          <w:rStyle w:val="tlid-translation"/>
          <w:rFonts w:cs="Tahoma"/>
          <w:lang w:val="pt-PT"/>
        </w:rPr>
        <w:t>CMPC</w:t>
      </w:r>
      <w:r w:rsidRPr="00B162B1">
        <w:rPr>
          <w:rStyle w:val="tlid-translation"/>
          <w:rFonts w:cs="Tahoma"/>
          <w:lang w:val="pt-PT"/>
        </w:rPr>
        <w:t xml:space="preserve"> prospetivo deve se basear na estrutura de capital </w:t>
      </w:r>
      <w:r>
        <w:rPr>
          <w:rStyle w:val="tlid-translation"/>
          <w:rFonts w:cs="Tahoma"/>
          <w:lang w:val="pt-PT"/>
        </w:rPr>
        <w:t xml:space="preserve">otimizada, </w:t>
      </w:r>
      <w:r w:rsidRPr="00B162B1">
        <w:rPr>
          <w:rStyle w:val="tlid-translation"/>
          <w:rFonts w:cs="Tahoma"/>
          <w:lang w:val="pt-PT"/>
        </w:rPr>
        <w:t xml:space="preserve">estimada ao longo do período regulado, </w:t>
      </w:r>
      <w:r>
        <w:rPr>
          <w:rStyle w:val="tlid-translation"/>
          <w:rFonts w:cs="Tahoma"/>
          <w:lang w:val="pt-PT"/>
        </w:rPr>
        <w:t>por</w:t>
      </w:r>
      <w:r w:rsidRPr="00B162B1">
        <w:rPr>
          <w:rStyle w:val="tlid-translation"/>
          <w:rFonts w:cs="Tahoma"/>
          <w:lang w:val="pt-PT"/>
        </w:rPr>
        <w:t xml:space="preserve"> oposição à estrutura de capital existente </w:t>
      </w:r>
      <w:r>
        <w:rPr>
          <w:rStyle w:val="tlid-translation"/>
          <w:rFonts w:cs="Tahoma"/>
          <w:lang w:val="pt-PT"/>
        </w:rPr>
        <w:t>da</w:t>
      </w:r>
      <w:r w:rsidRPr="00B162B1">
        <w:rPr>
          <w:rStyle w:val="tlid-translation"/>
          <w:rFonts w:cs="Tahoma"/>
          <w:lang w:val="pt-PT"/>
        </w:rPr>
        <w:t xml:space="preserve"> empresa</w:t>
      </w:r>
      <w:r>
        <w:rPr>
          <w:rStyle w:val="tlid-translation"/>
          <w:rFonts w:cs="Tahoma"/>
          <w:lang w:val="pt-PT"/>
        </w:rPr>
        <w:t xml:space="preserve"> no momento do cálculo</w:t>
      </w:r>
      <w:r w:rsidRPr="00B162B1">
        <w:rPr>
          <w:rStyle w:val="tlid-translation"/>
          <w:rFonts w:cs="Tahoma"/>
          <w:lang w:val="pt-PT"/>
        </w:rPr>
        <w:t xml:space="preserve">. O argumento para o uso de uma estrutura de capital </w:t>
      </w:r>
      <w:r>
        <w:rPr>
          <w:rStyle w:val="tlid-translation"/>
          <w:rFonts w:cs="Tahoma"/>
          <w:lang w:val="pt-PT"/>
        </w:rPr>
        <w:t>otimizada</w:t>
      </w:r>
      <w:r w:rsidRPr="00B162B1">
        <w:rPr>
          <w:rStyle w:val="tlid-translation"/>
          <w:rFonts w:cs="Tahoma"/>
          <w:lang w:val="pt-PT"/>
        </w:rPr>
        <w:t xml:space="preserve"> é </w:t>
      </w:r>
      <w:r>
        <w:rPr>
          <w:rStyle w:val="tlid-translation"/>
          <w:rFonts w:cs="Tahoma"/>
          <w:lang w:val="pt-PT"/>
        </w:rPr>
        <w:t xml:space="preserve">de </w:t>
      </w:r>
      <w:r w:rsidRPr="00B162B1">
        <w:rPr>
          <w:rStyle w:val="tlid-translation"/>
          <w:rFonts w:cs="Tahoma"/>
          <w:lang w:val="pt-PT"/>
        </w:rPr>
        <w:t xml:space="preserve">que um cálculo baseado </w:t>
      </w:r>
      <w:r>
        <w:rPr>
          <w:rStyle w:val="tlid-translation"/>
          <w:rFonts w:cs="Tahoma"/>
          <w:lang w:val="pt-PT"/>
        </w:rPr>
        <w:t>numa alavancagem</w:t>
      </w:r>
      <w:r w:rsidRPr="00B162B1">
        <w:rPr>
          <w:rStyle w:val="tlid-translation"/>
          <w:rFonts w:cs="Tahoma"/>
          <w:lang w:val="pt-PT"/>
        </w:rPr>
        <w:t xml:space="preserve"> ótim</w:t>
      </w:r>
      <w:r>
        <w:rPr>
          <w:rStyle w:val="tlid-translation"/>
          <w:rFonts w:cs="Tahoma"/>
          <w:lang w:val="pt-PT"/>
        </w:rPr>
        <w:t>a</w:t>
      </w:r>
      <w:r w:rsidRPr="00B162B1">
        <w:rPr>
          <w:rStyle w:val="tlid-translation"/>
          <w:rFonts w:cs="Tahoma"/>
          <w:lang w:val="pt-PT"/>
        </w:rPr>
        <w:t xml:space="preserve"> </w:t>
      </w:r>
      <w:r>
        <w:rPr>
          <w:rStyle w:val="tlid-translation"/>
          <w:rFonts w:cs="Tahoma"/>
          <w:lang w:val="pt-PT"/>
        </w:rPr>
        <w:t>permite, por um lado, usufruir do</w:t>
      </w:r>
      <w:r w:rsidRPr="00B162B1">
        <w:rPr>
          <w:rStyle w:val="tlid-translation"/>
          <w:rFonts w:cs="Tahoma"/>
          <w:lang w:val="pt-PT"/>
        </w:rPr>
        <w:t xml:space="preserve"> total das vantagens fiscais da dívida</w:t>
      </w:r>
      <w:r>
        <w:rPr>
          <w:rStyle w:val="tlid-translation"/>
          <w:rFonts w:cs="Tahoma"/>
          <w:lang w:val="pt-PT"/>
        </w:rPr>
        <w:t>, e por outro</w:t>
      </w:r>
      <w:r w:rsidRPr="00B162B1">
        <w:rPr>
          <w:rStyle w:val="tlid-translation"/>
          <w:rFonts w:cs="Tahoma"/>
          <w:lang w:val="pt-PT"/>
        </w:rPr>
        <w:t xml:space="preserve"> </w:t>
      </w:r>
      <w:r>
        <w:rPr>
          <w:rStyle w:val="tlid-translation"/>
          <w:rFonts w:cs="Tahoma"/>
          <w:lang w:val="pt-PT"/>
        </w:rPr>
        <w:t>são</w:t>
      </w:r>
      <w:r w:rsidRPr="00B162B1">
        <w:rPr>
          <w:rStyle w:val="tlid-translation"/>
          <w:rFonts w:cs="Tahoma"/>
          <w:lang w:val="pt-PT"/>
        </w:rPr>
        <w:t xml:space="preserve"> mantido</w:t>
      </w:r>
      <w:r>
        <w:rPr>
          <w:rStyle w:val="tlid-translation"/>
          <w:rFonts w:cs="Tahoma"/>
          <w:lang w:val="pt-PT"/>
        </w:rPr>
        <w:t>s</w:t>
      </w:r>
      <w:r w:rsidRPr="00B162B1">
        <w:rPr>
          <w:rStyle w:val="tlid-translation"/>
          <w:rFonts w:cs="Tahoma"/>
          <w:lang w:val="pt-PT"/>
        </w:rPr>
        <w:t xml:space="preserve"> níveis aceitáveis </w:t>
      </w:r>
      <w:r>
        <w:rPr>
          <w:rStyle w:val="tlid-translation"/>
          <w:rFonts w:cs="Tahoma"/>
          <w:lang w:val="pt-PT"/>
        </w:rPr>
        <w:t xml:space="preserve">de risco </w:t>
      </w:r>
      <w:r w:rsidRPr="00B162B1">
        <w:rPr>
          <w:rStyle w:val="tlid-translation"/>
          <w:rFonts w:cs="Tahoma"/>
          <w:lang w:val="pt-PT"/>
        </w:rPr>
        <w:t>para os acionistas</w:t>
      </w:r>
      <w:r w:rsidRPr="009E3A86">
        <w:rPr>
          <w:rStyle w:val="tlid-translation"/>
          <w:rFonts w:cs="Tahoma"/>
          <w:lang w:val="pt-PT"/>
        </w:rPr>
        <w:t>. Assim, constitui uma prática normalmente aceite internacionalmente que, numa ótica de custo prospetiva, os custos de capital devem refletir o custo de uma estrutura de capital ótima e não a estrutura de capital real da operadora móvel no momento do cálculo.</w:t>
      </w:r>
    </w:p>
    <w:p w14:paraId="50F7CDA4" w14:textId="77777777" w:rsidR="0076097D" w:rsidRPr="009E3A86" w:rsidRDefault="0076097D" w:rsidP="00142A4D">
      <w:pPr>
        <w:jc w:val="both"/>
        <w:rPr>
          <w:rStyle w:val="tlid-translation"/>
          <w:rFonts w:cs="Tahoma"/>
          <w:lang w:val="pt-PT"/>
        </w:rPr>
      </w:pPr>
      <w:r>
        <w:rPr>
          <w:rStyle w:val="tlid-translation"/>
          <w:rFonts w:cs="Tahoma"/>
          <w:lang w:val="pt-PT"/>
        </w:rPr>
        <w:t xml:space="preserve">Adicionalmente, </w:t>
      </w:r>
      <w:r w:rsidRPr="0012314D">
        <w:rPr>
          <w:rStyle w:val="tlid-translation"/>
          <w:rFonts w:cs="Tahoma"/>
          <w:lang w:val="pt-PT"/>
        </w:rPr>
        <w:t>a estrutura financeira d</w:t>
      </w:r>
      <w:r>
        <w:rPr>
          <w:rStyle w:val="tlid-translation"/>
          <w:rFonts w:cs="Tahoma"/>
          <w:lang w:val="pt-PT"/>
        </w:rPr>
        <w:t>e uma</w:t>
      </w:r>
      <w:r w:rsidRPr="0012314D">
        <w:rPr>
          <w:rStyle w:val="tlid-translation"/>
          <w:rFonts w:cs="Tahoma"/>
          <w:lang w:val="pt-PT"/>
        </w:rPr>
        <w:t xml:space="preserve"> empresa </w:t>
      </w:r>
      <w:r>
        <w:rPr>
          <w:rStyle w:val="tlid-translation"/>
          <w:rFonts w:cs="Tahoma"/>
          <w:lang w:val="pt-PT"/>
        </w:rPr>
        <w:t>n</w:t>
      </w:r>
      <w:r w:rsidRPr="0012314D">
        <w:rPr>
          <w:rStyle w:val="tlid-translation"/>
          <w:rFonts w:cs="Tahoma"/>
          <w:lang w:val="pt-PT"/>
        </w:rPr>
        <w:t>um determinado momento pode não refletir necessariamente a estrutura de capital que se espera que prevaleça ao longo da vida do negócio</w:t>
      </w:r>
      <w:r>
        <w:rPr>
          <w:rStyle w:val="tlid-translation"/>
          <w:rFonts w:cs="Tahoma"/>
          <w:lang w:val="pt-PT"/>
        </w:rPr>
        <w:t>.</w:t>
      </w:r>
    </w:p>
    <w:p w14:paraId="4D98F447" w14:textId="77777777" w:rsidR="0076097D" w:rsidRDefault="0076097D" w:rsidP="00142A4D">
      <w:pPr>
        <w:jc w:val="both"/>
        <w:rPr>
          <w:rStyle w:val="tlid-translation"/>
          <w:rFonts w:cs="Tahoma"/>
          <w:lang w:val="pt-PT"/>
        </w:rPr>
      </w:pPr>
      <w:r w:rsidRPr="009E3A86">
        <w:rPr>
          <w:rStyle w:val="tlid-translation"/>
          <w:rFonts w:cs="Tahoma"/>
          <w:lang w:val="pt-PT"/>
        </w:rPr>
        <w:t>Embora a estrutura de capital ótima possa diferir entre operadoras eficientes, as atuais semelhanças no âmbito e dimensão da Orange e da MTN provavelmente significam estruturas de capital ideais semelhantes.</w:t>
      </w:r>
      <w:r>
        <w:rPr>
          <w:rStyle w:val="tlid-translation"/>
          <w:rFonts w:cs="Tahoma"/>
          <w:lang w:val="pt-PT"/>
        </w:rPr>
        <w:t xml:space="preserve"> A tabela seguinte mostra rácios da dívida (Gearing) conforme reportado no estudo BEREC:</w:t>
      </w:r>
    </w:p>
    <w:p w14:paraId="7FE0309D" w14:textId="77777777" w:rsidR="0076097D" w:rsidRDefault="0076097D" w:rsidP="0076097D">
      <w:pPr>
        <w:jc w:val="center"/>
        <w:rPr>
          <w:rStyle w:val="tlid-translation"/>
          <w:rFonts w:cs="Tahoma"/>
          <w:lang w:val="pt-PT"/>
        </w:rPr>
      </w:pPr>
      <w:r w:rsidRPr="00501053">
        <w:rPr>
          <w:noProof/>
        </w:rPr>
        <w:lastRenderedPageBreak/>
        <w:drawing>
          <wp:inline distT="0" distB="0" distL="0" distR="0" wp14:anchorId="3C651FC4" wp14:editId="0E806651">
            <wp:extent cx="3333750" cy="332105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3750" cy="3321050"/>
                    </a:xfrm>
                    <a:prstGeom prst="rect">
                      <a:avLst/>
                    </a:prstGeom>
                    <a:noFill/>
                    <a:ln>
                      <a:noFill/>
                    </a:ln>
                  </pic:spPr>
                </pic:pic>
              </a:graphicData>
            </a:graphic>
          </wp:inline>
        </w:drawing>
      </w:r>
    </w:p>
    <w:p w14:paraId="56B5FBA8" w14:textId="77777777" w:rsidR="0076097D" w:rsidRPr="00BB6492" w:rsidRDefault="0076097D" w:rsidP="0076097D">
      <w:pPr>
        <w:rPr>
          <w:rFonts w:cs="Tahoma"/>
          <w:lang w:val="pt-PT"/>
        </w:rPr>
      </w:pPr>
      <w:r w:rsidRPr="00BB6492">
        <w:rPr>
          <w:rStyle w:val="tlid-translation"/>
          <w:rFonts w:cs="Tahoma"/>
          <w:lang w:val="pt-PT"/>
        </w:rPr>
        <w:t xml:space="preserve">Os reguladores geralmente escolhem um rácio de dívida </w:t>
      </w:r>
      <w:r>
        <w:rPr>
          <w:rStyle w:val="tlid-translation"/>
          <w:rFonts w:cs="Tahoma"/>
          <w:lang w:val="pt-PT"/>
        </w:rPr>
        <w:t>eficiente numa gama de</w:t>
      </w:r>
      <w:r w:rsidRPr="00BB6492">
        <w:rPr>
          <w:rStyle w:val="tlid-translation"/>
          <w:rFonts w:cs="Tahoma"/>
          <w:lang w:val="pt-PT"/>
        </w:rPr>
        <w:t xml:space="preserve"> </w:t>
      </w:r>
      <w:r>
        <w:rPr>
          <w:rStyle w:val="tlid-translation"/>
          <w:rFonts w:cs="Tahoma"/>
          <w:lang w:val="pt-PT"/>
        </w:rPr>
        <w:t xml:space="preserve">valores que varia entre </w:t>
      </w:r>
      <w:r w:rsidRPr="00BB6492">
        <w:rPr>
          <w:rStyle w:val="tlid-translation"/>
          <w:rFonts w:cs="Tahoma"/>
          <w:lang w:val="pt-PT"/>
        </w:rPr>
        <w:t>25</w:t>
      </w:r>
      <w:r>
        <w:rPr>
          <w:rStyle w:val="tlid-translation"/>
          <w:rFonts w:cs="Tahoma"/>
          <w:lang w:val="pt-PT"/>
        </w:rPr>
        <w:t xml:space="preserve"> e </w:t>
      </w:r>
      <w:r w:rsidRPr="00BB6492">
        <w:rPr>
          <w:rStyle w:val="tlid-translation"/>
          <w:rFonts w:cs="Tahoma"/>
          <w:lang w:val="pt-PT"/>
        </w:rPr>
        <w:t xml:space="preserve">40%. Para o cálculo do CMPC para um operador móvel moderno e eficiente na Guiné Bissau, </w:t>
      </w:r>
      <w:r>
        <w:rPr>
          <w:rStyle w:val="tlid-translation"/>
          <w:rFonts w:cs="Tahoma"/>
          <w:lang w:val="pt-PT"/>
        </w:rPr>
        <w:t>considera-se como</w:t>
      </w:r>
      <w:r w:rsidRPr="00BB6492">
        <w:rPr>
          <w:rStyle w:val="tlid-translation"/>
          <w:rFonts w:cs="Tahoma"/>
          <w:lang w:val="pt-PT"/>
        </w:rPr>
        <w:t xml:space="preserve"> </w:t>
      </w:r>
      <w:r w:rsidRPr="00BB6492">
        <w:rPr>
          <w:rFonts w:cs="Tahoma"/>
          <w:lang w:val="pt-PT"/>
        </w:rPr>
        <w:t>adequado</w:t>
      </w:r>
      <w:r>
        <w:rPr>
          <w:rStyle w:val="tlid-translation"/>
          <w:rFonts w:cs="Tahoma"/>
          <w:lang w:val="pt-PT"/>
        </w:rPr>
        <w:t xml:space="preserve"> utilizar </w:t>
      </w:r>
      <w:r w:rsidRPr="00BB6492">
        <w:rPr>
          <w:rStyle w:val="tlid-translation"/>
          <w:rFonts w:cs="Tahoma"/>
          <w:lang w:val="pt-PT"/>
        </w:rPr>
        <w:t xml:space="preserve">um rácio de </w:t>
      </w:r>
      <w:r>
        <w:rPr>
          <w:rStyle w:val="tlid-translation"/>
          <w:rFonts w:cs="Tahoma"/>
          <w:lang w:val="pt-PT"/>
        </w:rPr>
        <w:t>35</w:t>
      </w:r>
      <w:r w:rsidRPr="00BB6492">
        <w:rPr>
          <w:rStyle w:val="tlid-translation"/>
          <w:rFonts w:cs="Tahoma"/>
          <w:lang w:val="pt-PT"/>
        </w:rPr>
        <w:t xml:space="preserve">% </w:t>
      </w:r>
      <w:r>
        <w:rPr>
          <w:rStyle w:val="tlid-translation"/>
          <w:rFonts w:cs="Tahoma"/>
          <w:lang w:val="pt-PT"/>
        </w:rPr>
        <w:t>correspondente ao valor médio (média aritmética simples) obtido na tabela acima</w:t>
      </w:r>
      <w:r w:rsidRPr="00BB6492">
        <w:rPr>
          <w:rFonts w:cs="Tahoma"/>
          <w:lang w:val="pt-PT"/>
        </w:rPr>
        <w:t>.</w:t>
      </w:r>
    </w:p>
    <w:p w14:paraId="1E84495B" w14:textId="77777777" w:rsidR="0076097D" w:rsidRDefault="0076097D" w:rsidP="0076097D">
      <w:pPr>
        <w:pStyle w:val="Heading2"/>
        <w:numPr>
          <w:ilvl w:val="0"/>
          <w:numId w:val="0"/>
        </w:numPr>
        <w:rPr>
          <w:lang w:val="pt-PT"/>
        </w:rPr>
      </w:pPr>
      <w:bookmarkStart w:id="42" w:name="_Toc75349744"/>
      <w:bookmarkStart w:id="43" w:name="_Toc532482104"/>
      <w:bookmarkStart w:id="44" w:name="_Toc6841762"/>
      <w:bookmarkStart w:id="45" w:name="_Toc8819896"/>
      <w:r w:rsidRPr="00FB3401">
        <w:rPr>
          <w:lang w:val="pt-PT"/>
        </w:rPr>
        <w:t>6</w:t>
      </w:r>
      <w:r>
        <w:rPr>
          <w:lang w:val="pt-PT"/>
        </w:rPr>
        <w:tab/>
      </w:r>
      <w:bookmarkStart w:id="46" w:name="_Hlk65657356"/>
      <w:r>
        <w:rPr>
          <w:lang w:val="pt-PT"/>
        </w:rPr>
        <w:t xml:space="preserve">Cálculo do </w:t>
      </w:r>
      <w:r w:rsidRPr="00FB3401">
        <w:rPr>
          <w:lang w:val="pt-PT"/>
        </w:rPr>
        <w:t xml:space="preserve">CMPC para um Operador Móvel </w:t>
      </w:r>
      <w:r>
        <w:rPr>
          <w:lang w:val="pt-PT"/>
        </w:rPr>
        <w:t xml:space="preserve">Eficiente </w:t>
      </w:r>
      <w:r w:rsidRPr="00FB3401">
        <w:rPr>
          <w:lang w:val="pt-PT"/>
        </w:rPr>
        <w:t>(MEO)</w:t>
      </w:r>
      <w:bookmarkEnd w:id="42"/>
      <w:bookmarkEnd w:id="46"/>
      <w:r>
        <w:rPr>
          <w:lang w:val="pt-PT"/>
        </w:rPr>
        <w:t xml:space="preserve"> </w:t>
      </w:r>
    </w:p>
    <w:p w14:paraId="53FEDC0F" w14:textId="77777777" w:rsidR="0076097D" w:rsidRDefault="0076097D" w:rsidP="0076097D">
      <w:pPr>
        <w:rPr>
          <w:lang w:val="pt-PT"/>
        </w:rPr>
      </w:pPr>
    </w:p>
    <w:p w14:paraId="734D0789" w14:textId="77777777" w:rsidR="0076097D" w:rsidRDefault="0076097D" w:rsidP="0076097D">
      <w:pPr>
        <w:rPr>
          <w:rFonts w:cs="Tahoma"/>
          <w:lang w:val="pt-PT"/>
        </w:rPr>
      </w:pPr>
      <w:r w:rsidRPr="00BB6492">
        <w:rPr>
          <w:rStyle w:val="tlid-translation"/>
          <w:rFonts w:cs="Tahoma"/>
          <w:lang w:val="pt-PT"/>
        </w:rPr>
        <w:t xml:space="preserve">O CMPC antes de impostos é calculado </w:t>
      </w:r>
      <w:r w:rsidRPr="00BB6492">
        <w:rPr>
          <w:rFonts w:cs="Tahoma"/>
          <w:lang w:val="pt-PT"/>
        </w:rPr>
        <w:t>de acordo com a seguinte fórmula:</w:t>
      </w:r>
    </w:p>
    <w:p w14:paraId="6D26F5AC" w14:textId="77777777" w:rsidR="0076097D" w:rsidRDefault="0076097D" w:rsidP="0076097D">
      <w:pPr>
        <w:rPr>
          <w:rFonts w:cs="Tahoma"/>
          <w:lang w:val="pt-PT"/>
        </w:rPr>
      </w:pPr>
    </w:p>
    <w:p w14:paraId="0AABBEB3" w14:textId="77777777" w:rsidR="0076097D" w:rsidRPr="00AB3542" w:rsidRDefault="0076097D" w:rsidP="0076097D">
      <w:pPr>
        <w:jc w:val="center"/>
        <w:rPr>
          <w:rFonts w:cs="Tahoma"/>
          <w:i/>
          <w:iCs/>
          <w:lang w:val="pt-PT"/>
        </w:rPr>
      </w:pPr>
      <w:r w:rsidRPr="00AB3542">
        <w:rPr>
          <w:rFonts w:cs="Tahoma"/>
          <w:i/>
          <w:iCs/>
          <w:lang w:val="pt-PT"/>
        </w:rPr>
        <w:t>CMPC = Custo da dívida x Gearing + Custo dos capitais próprios x (1 – Gearing)</w:t>
      </w:r>
    </w:p>
    <w:p w14:paraId="79BF8C33" w14:textId="77777777" w:rsidR="0076097D" w:rsidRDefault="0076097D" w:rsidP="0076097D">
      <w:pPr>
        <w:rPr>
          <w:rStyle w:val="tlid-translation"/>
          <w:rFonts w:cs="Tahoma"/>
          <w:lang w:val="pt-PT"/>
        </w:rPr>
      </w:pPr>
    </w:p>
    <w:p w14:paraId="4472830D" w14:textId="77777777" w:rsidR="0076097D" w:rsidRPr="00B047E9" w:rsidRDefault="0076097D" w:rsidP="0076097D">
      <w:pPr>
        <w:rPr>
          <w:rFonts w:cs="Tahoma"/>
          <w:lang w:val="pt-PT"/>
        </w:rPr>
      </w:pPr>
      <w:r w:rsidRPr="00B047E9">
        <w:rPr>
          <w:rStyle w:val="tlid-translation"/>
          <w:rFonts w:cs="Tahoma"/>
          <w:lang w:val="pt-PT"/>
        </w:rPr>
        <w:t>onde o custo do capital próprio é o valor antes de impostos.</w:t>
      </w:r>
      <w:r>
        <w:rPr>
          <w:rFonts w:cs="Tahoma"/>
          <w:lang w:val="pt-PT"/>
        </w:rPr>
        <w:t xml:space="preserve"> </w:t>
      </w:r>
      <w:r w:rsidRPr="00B047E9">
        <w:rPr>
          <w:rStyle w:val="tlid-translation"/>
          <w:rFonts w:cs="Tahoma"/>
          <w:lang w:val="pt-PT"/>
        </w:rPr>
        <w:t xml:space="preserve">Com os valores acima calculados e assumindo uma taxa de </w:t>
      </w:r>
      <w:r>
        <w:rPr>
          <w:rStyle w:val="tlid-translation"/>
          <w:rFonts w:cs="Tahoma"/>
          <w:lang w:val="pt-PT"/>
        </w:rPr>
        <w:t>imposto nas empresas</w:t>
      </w:r>
      <w:r w:rsidRPr="00B047E9">
        <w:rPr>
          <w:rStyle w:val="tlid-translation"/>
          <w:rFonts w:cs="Tahoma"/>
          <w:lang w:val="pt-PT"/>
        </w:rPr>
        <w:t xml:space="preserve"> de 20%, obtém-se um CMPC antes de impostos de </w:t>
      </w:r>
      <w:r>
        <w:rPr>
          <w:rStyle w:val="tlid-translation"/>
          <w:rFonts w:cs="Tahoma"/>
          <w:lang w:val="pt-PT"/>
        </w:rPr>
        <w:t>15,01</w:t>
      </w:r>
      <w:r w:rsidRPr="00B047E9">
        <w:rPr>
          <w:rStyle w:val="tlid-translation"/>
          <w:rFonts w:cs="Tahoma"/>
          <w:lang w:val="pt-PT"/>
        </w:rPr>
        <w:t xml:space="preserve">%. O cálculo completo </w:t>
      </w:r>
      <w:r>
        <w:rPr>
          <w:rStyle w:val="tlid-translation"/>
          <w:rFonts w:cs="Tahoma"/>
          <w:lang w:val="pt-PT"/>
        </w:rPr>
        <w:t xml:space="preserve">do CMPC </w:t>
      </w:r>
      <w:r w:rsidRPr="00B047E9">
        <w:rPr>
          <w:rStyle w:val="tlid-translation"/>
          <w:rFonts w:cs="Tahoma"/>
          <w:lang w:val="pt-PT"/>
        </w:rPr>
        <w:t xml:space="preserve">é resumido no </w:t>
      </w:r>
      <w:r w:rsidRPr="00B047E9">
        <w:rPr>
          <w:rFonts w:cs="Tahoma"/>
          <w:lang w:val="pt-PT"/>
        </w:rPr>
        <w:t>quadro seguinte:</w:t>
      </w:r>
    </w:p>
    <w:p w14:paraId="781A73BE" w14:textId="77777777" w:rsidR="0076097D" w:rsidRPr="005D273E" w:rsidRDefault="0076097D" w:rsidP="0076097D">
      <w:pPr>
        <w:rPr>
          <w:lang w:val="pt-PT"/>
        </w:rPr>
      </w:pPr>
    </w:p>
    <w:p w14:paraId="29D7410D" w14:textId="77777777" w:rsidR="0076097D" w:rsidRPr="005D273E" w:rsidRDefault="0076097D" w:rsidP="0076097D">
      <w:pPr>
        <w:spacing w:before="0" w:after="0" w:line="240" w:lineRule="auto"/>
        <w:jc w:val="center"/>
        <w:rPr>
          <w:lang w:val="pt-PT"/>
        </w:rPr>
      </w:pPr>
      <w:r w:rsidRPr="005D273E">
        <w:rPr>
          <w:lang w:val="pt-PT"/>
        </w:rPr>
        <w:br w:type="page"/>
      </w:r>
      <w:r w:rsidRPr="00007DFC">
        <w:rPr>
          <w:noProof/>
        </w:rPr>
        <w:lastRenderedPageBreak/>
        <w:drawing>
          <wp:inline distT="0" distB="0" distL="0" distR="0" wp14:anchorId="6EE1E92B" wp14:editId="6BBB1C37">
            <wp:extent cx="5461000" cy="2876550"/>
            <wp:effectExtent l="0" t="0" r="635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61000" cy="2876550"/>
                    </a:xfrm>
                    <a:prstGeom prst="rect">
                      <a:avLst/>
                    </a:prstGeom>
                    <a:noFill/>
                    <a:ln>
                      <a:noFill/>
                    </a:ln>
                  </pic:spPr>
                </pic:pic>
              </a:graphicData>
            </a:graphic>
          </wp:inline>
        </w:drawing>
      </w:r>
    </w:p>
    <w:p w14:paraId="41E76178" w14:textId="77777777" w:rsidR="0076097D" w:rsidRDefault="0076097D" w:rsidP="0076097D">
      <w:pPr>
        <w:spacing w:before="0" w:after="0" w:line="240" w:lineRule="auto"/>
        <w:rPr>
          <w:lang w:val="pt-PT"/>
        </w:rPr>
      </w:pPr>
      <w:r>
        <w:rPr>
          <w:lang w:val="pt-PT"/>
        </w:rPr>
        <w:br w:type="page"/>
      </w:r>
    </w:p>
    <w:p w14:paraId="649318F3" w14:textId="77777777" w:rsidR="0076097D" w:rsidRPr="007D7326" w:rsidRDefault="0076097D" w:rsidP="0076097D">
      <w:pPr>
        <w:rPr>
          <w:lang w:val="pt-PT"/>
        </w:rPr>
      </w:pPr>
    </w:p>
    <w:p w14:paraId="7A3112BE" w14:textId="77777777" w:rsidR="0076097D" w:rsidRPr="00EE0B21" w:rsidRDefault="0076097D" w:rsidP="0076097D">
      <w:pPr>
        <w:pStyle w:val="Heading2"/>
        <w:numPr>
          <w:ilvl w:val="0"/>
          <w:numId w:val="0"/>
        </w:numPr>
        <w:rPr>
          <w:lang w:val="pt-PT"/>
        </w:rPr>
      </w:pPr>
      <w:bookmarkStart w:id="47" w:name="_Toc75349745"/>
      <w:r>
        <w:rPr>
          <w:lang w:val="pt-PT"/>
        </w:rPr>
        <w:t>7</w:t>
      </w:r>
      <w:r>
        <w:rPr>
          <w:lang w:val="pt-PT"/>
        </w:rPr>
        <w:tab/>
        <w:t>Referências</w:t>
      </w:r>
      <w:bookmarkEnd w:id="47"/>
      <w:r w:rsidRPr="00FB3401">
        <w:rPr>
          <w:lang w:val="pt-PT"/>
        </w:rPr>
        <w:tab/>
      </w:r>
      <w:bookmarkEnd w:id="43"/>
      <w:bookmarkEnd w:id="44"/>
      <w:bookmarkEnd w:id="45"/>
    </w:p>
    <w:p w14:paraId="47A8F584" w14:textId="77777777" w:rsidR="0076097D" w:rsidRPr="007D7326" w:rsidRDefault="0076097D" w:rsidP="0076097D">
      <w:pPr>
        <w:rPr>
          <w:lang w:val="pt-PT"/>
        </w:rPr>
      </w:pPr>
    </w:p>
    <w:p w14:paraId="37DF9169" w14:textId="77777777" w:rsidR="0076097D" w:rsidRPr="003A6726" w:rsidRDefault="0076097D" w:rsidP="008B6165">
      <w:pPr>
        <w:pStyle w:val="FootnoteText"/>
        <w:numPr>
          <w:ilvl w:val="0"/>
          <w:numId w:val="18"/>
        </w:numPr>
        <w:rPr>
          <w:rFonts w:cs="Tahoma"/>
          <w:sz w:val="22"/>
          <w:lang w:val="fr-FR"/>
        </w:rPr>
      </w:pPr>
      <w:r w:rsidRPr="003A6726">
        <w:rPr>
          <w:rFonts w:cs="Tahoma"/>
          <w:sz w:val="22"/>
          <w:lang w:val="fr-FR"/>
        </w:rPr>
        <w:t>BCEAO, Marché des titres publics et privés émis par appel public</w:t>
      </w:r>
      <w:r>
        <w:rPr>
          <w:rFonts w:cs="Tahoma"/>
          <w:sz w:val="22"/>
          <w:lang w:val="fr-FR"/>
        </w:rPr>
        <w:t xml:space="preserve">, </w:t>
      </w:r>
      <w:r w:rsidRPr="003A6726">
        <w:rPr>
          <w:rFonts w:cs="Tahoma"/>
          <w:sz w:val="22"/>
          <w:lang w:val="fr-FR"/>
        </w:rPr>
        <w:t xml:space="preserve">disponível em: </w:t>
      </w:r>
      <w:hyperlink r:id="rId33" w:history="1">
        <w:r w:rsidRPr="003A6726">
          <w:rPr>
            <w:rStyle w:val="Hyperlink0"/>
            <w:rFonts w:cs="Tahoma"/>
            <w:sz w:val="22"/>
            <w:lang w:val="fr-FR"/>
          </w:rPr>
          <w:t>https://www.bceao.int/fr/documents/marche-des-titres-publics-et-prives-emis-par-appel-public</w:t>
        </w:r>
      </w:hyperlink>
    </w:p>
    <w:p w14:paraId="16DA356D" w14:textId="77777777" w:rsidR="0076097D" w:rsidRPr="003A6726" w:rsidRDefault="0076097D" w:rsidP="008B6165">
      <w:pPr>
        <w:pStyle w:val="FootnoteText"/>
        <w:numPr>
          <w:ilvl w:val="0"/>
          <w:numId w:val="18"/>
        </w:numPr>
        <w:rPr>
          <w:rFonts w:cs="Tahoma"/>
          <w:sz w:val="22"/>
        </w:rPr>
      </w:pPr>
      <w:r w:rsidRPr="003A6726">
        <w:rPr>
          <w:rFonts w:cs="Tahoma"/>
          <w:sz w:val="22"/>
        </w:rPr>
        <w:t>BEREC, “Report on WACC parameter calculations according to the European Commission’s WACC Notice of 7th November 2019 (WACC parameters Report 2020)</w:t>
      </w:r>
      <w:r>
        <w:rPr>
          <w:rFonts w:cs="Tahoma"/>
          <w:sz w:val="22"/>
        </w:rPr>
        <w:t>, disponível em:</w:t>
      </w:r>
      <w:r w:rsidRPr="003A6726">
        <w:t xml:space="preserve"> </w:t>
      </w:r>
      <w:hyperlink r:id="rId34" w:history="1">
        <w:r w:rsidRPr="00E81F13">
          <w:rPr>
            <w:rStyle w:val="Hyperlink0"/>
            <w:rFonts w:cs="Tahoma"/>
            <w:sz w:val="22"/>
          </w:rPr>
          <w:t>https://berec.europa.eu/eng/document_register/subject_matter/berec/reports/9364-berec-report-on-wacc-parameter-calculations-according-to-the-european-commission8217s-wacc-notice</w:t>
        </w:r>
      </w:hyperlink>
    </w:p>
    <w:p w14:paraId="4C4046A0" w14:textId="77777777" w:rsidR="0076097D" w:rsidRPr="003A6726" w:rsidRDefault="0076097D" w:rsidP="008B6165">
      <w:pPr>
        <w:pStyle w:val="FootnoteText"/>
        <w:numPr>
          <w:ilvl w:val="0"/>
          <w:numId w:val="18"/>
        </w:numPr>
        <w:rPr>
          <w:rFonts w:cs="Tahoma"/>
          <w:sz w:val="22"/>
        </w:rPr>
      </w:pPr>
      <w:r w:rsidRPr="003A6726">
        <w:rPr>
          <w:rFonts w:cs="Tahoma"/>
          <w:sz w:val="22"/>
        </w:rPr>
        <w:t>Comissão Europeia: CE 2019/C 375/01, designada “Commission Notice on the calculation of the cost of capital for legacy infrastructure in the context of the Commission’s review of national notifications in the EU electronic communications”.</w:t>
      </w:r>
    </w:p>
    <w:p w14:paraId="58E25286" w14:textId="77777777" w:rsidR="0076097D" w:rsidRPr="003A6726" w:rsidRDefault="0076097D" w:rsidP="008B6165">
      <w:pPr>
        <w:pStyle w:val="FootnoteText"/>
        <w:numPr>
          <w:ilvl w:val="0"/>
          <w:numId w:val="18"/>
        </w:numPr>
        <w:rPr>
          <w:rFonts w:cs="Tahoma"/>
          <w:sz w:val="22"/>
          <w:lang w:val="pt-PT"/>
        </w:rPr>
      </w:pPr>
      <w:r w:rsidRPr="003A6726">
        <w:rPr>
          <w:rFonts w:cs="Tahoma"/>
          <w:sz w:val="22"/>
          <w:lang w:val="pt-PT"/>
        </w:rPr>
        <w:t xml:space="preserve">Damodaran online, disponível em: </w:t>
      </w:r>
      <w:hyperlink r:id="rId35" w:history="1">
        <w:r w:rsidRPr="003A6726">
          <w:rPr>
            <w:rStyle w:val="Hyperlink0"/>
            <w:rFonts w:cs="Tahoma"/>
            <w:sz w:val="22"/>
            <w:lang w:val="pt-PT"/>
          </w:rPr>
          <w:t>http://pages.stern.nyu.edu/~adamodar/</w:t>
        </w:r>
      </w:hyperlink>
    </w:p>
    <w:p w14:paraId="7D84B5D1" w14:textId="77777777" w:rsidR="0076097D" w:rsidRPr="003A6726" w:rsidRDefault="0076097D" w:rsidP="008B6165">
      <w:pPr>
        <w:pStyle w:val="ListParagraph"/>
        <w:numPr>
          <w:ilvl w:val="0"/>
          <w:numId w:val="18"/>
        </w:numPr>
        <w:rPr>
          <w:rFonts w:cs="Tahoma"/>
          <w:lang w:val="pt-PT"/>
        </w:rPr>
      </w:pPr>
      <w:r w:rsidRPr="003A6726">
        <w:rPr>
          <w:rFonts w:cs="Tahoma"/>
          <w:lang w:val="pt-PT"/>
        </w:rPr>
        <w:t xml:space="preserve">Banco de Portugal: Evolução das economias dos Palop e Timor Leste, 2019/2020, Relatório do Banco de Portugal, disponível em: </w:t>
      </w:r>
      <w:hyperlink r:id="rId36" w:history="1">
        <w:r w:rsidRPr="003A6726">
          <w:rPr>
            <w:rStyle w:val="Hyperlink0"/>
            <w:rFonts w:cs="Tahoma"/>
            <w:lang w:val="pt-PT"/>
          </w:rPr>
          <w:t>https://www.bcplp.org/sites/default/files/2020-10/Evolucao%20das%20Economias%20dos%20PALOP%20e%20de%20Timor%20Leste_2019-2020_web3_0.pdf</w:t>
        </w:r>
      </w:hyperlink>
    </w:p>
    <w:p w14:paraId="67401CA4" w14:textId="77777777" w:rsidR="0076097D" w:rsidRDefault="0076097D" w:rsidP="008B6165">
      <w:pPr>
        <w:pStyle w:val="ListParagraph"/>
        <w:numPr>
          <w:ilvl w:val="0"/>
          <w:numId w:val="18"/>
        </w:numPr>
        <w:rPr>
          <w:rStyle w:val="Hyperlink0"/>
          <w:rFonts w:cs="Tahoma"/>
          <w:color w:val="auto"/>
          <w:u w:val="none"/>
        </w:rPr>
      </w:pPr>
      <w:r w:rsidRPr="003A6726">
        <w:rPr>
          <w:rStyle w:val="Hyperlink0"/>
          <w:rFonts w:cs="Tahoma"/>
          <w:color w:val="auto"/>
          <w:u w:val="none"/>
        </w:rPr>
        <w:t>Relatório Brattle: Um estudo preparado para a Comissão Europeia, DG Communications Networks, Content &amp; Technology, “Review of approaches to estimate a reasonable rate of return for investments in telecoms networks in regulatory proceedings and options for EU harmonization”, usualmente conhecido por relatório Brattle</w:t>
      </w:r>
      <w:r>
        <w:rPr>
          <w:rStyle w:val="Hyperlink0"/>
          <w:rFonts w:cs="Tahoma"/>
          <w:color w:val="auto"/>
          <w:u w:val="none"/>
        </w:rPr>
        <w:t>, disponível em:</w:t>
      </w:r>
      <w:r w:rsidRPr="00E546C4">
        <w:t xml:space="preserve"> </w:t>
      </w:r>
      <w:hyperlink r:id="rId37" w:history="1">
        <w:r w:rsidRPr="00E81F13">
          <w:rPr>
            <w:rStyle w:val="Hyperlink0"/>
            <w:rFonts w:cs="Tahoma"/>
          </w:rPr>
          <w:t>https://op.europa.eu/en/publication-detail/-/publication/da1cbe44-4a4e-11e6-9c64-01aa75ed71a1/language-en</w:t>
        </w:r>
      </w:hyperlink>
    </w:p>
    <w:p w14:paraId="2197BA63" w14:textId="77777777" w:rsidR="0076097D" w:rsidRDefault="0076097D" w:rsidP="008B6165">
      <w:pPr>
        <w:pStyle w:val="ListParagraph"/>
        <w:numPr>
          <w:ilvl w:val="0"/>
          <w:numId w:val="18"/>
        </w:numPr>
        <w:rPr>
          <w:rStyle w:val="Hyperlink0"/>
          <w:rFonts w:cs="Tahoma"/>
          <w:color w:val="auto"/>
          <w:u w:val="none"/>
          <w:lang w:val="pt-PT"/>
        </w:rPr>
      </w:pPr>
      <w:r w:rsidRPr="00E546C4">
        <w:rPr>
          <w:rStyle w:val="Hyperlink0"/>
          <w:rFonts w:cs="Tahoma"/>
          <w:color w:val="auto"/>
          <w:u w:val="none"/>
          <w:lang w:val="pt-PT"/>
        </w:rPr>
        <w:t xml:space="preserve">Orange, </w:t>
      </w:r>
      <w:r>
        <w:rPr>
          <w:rStyle w:val="Hyperlink0"/>
          <w:rFonts w:cs="Tahoma"/>
          <w:color w:val="auto"/>
          <w:u w:val="none"/>
          <w:lang w:val="pt-PT"/>
        </w:rPr>
        <w:t xml:space="preserve">disponível em: </w:t>
      </w:r>
      <w:hyperlink r:id="rId38" w:history="1">
        <w:r w:rsidRPr="00E81F13">
          <w:rPr>
            <w:rStyle w:val="Hyperlink0"/>
            <w:rFonts w:cs="Tahoma"/>
            <w:lang w:val="pt-PT"/>
          </w:rPr>
          <w:t>https://www.orange.com/en/debt-and-rating</w:t>
        </w:r>
      </w:hyperlink>
    </w:p>
    <w:p w14:paraId="54D636A3" w14:textId="77777777" w:rsidR="0076097D" w:rsidRDefault="0076097D" w:rsidP="008B6165">
      <w:pPr>
        <w:pStyle w:val="ListParagraph"/>
        <w:numPr>
          <w:ilvl w:val="0"/>
          <w:numId w:val="18"/>
        </w:numPr>
        <w:rPr>
          <w:rStyle w:val="Hyperlink0"/>
          <w:rFonts w:cs="Tahoma"/>
          <w:color w:val="auto"/>
          <w:u w:val="none"/>
          <w:lang w:val="pt-PT"/>
        </w:rPr>
      </w:pPr>
      <w:r>
        <w:rPr>
          <w:rStyle w:val="Hyperlink0"/>
          <w:rFonts w:cs="Tahoma"/>
          <w:color w:val="auto"/>
          <w:u w:val="none"/>
          <w:lang w:val="pt-PT"/>
        </w:rPr>
        <w:t xml:space="preserve">Damodaran online, disponível em: </w:t>
      </w:r>
      <w:hyperlink r:id="rId39" w:history="1">
        <w:r w:rsidRPr="00E81F13">
          <w:rPr>
            <w:rStyle w:val="Hyperlink0"/>
            <w:rFonts w:cs="Tahoma"/>
            <w:lang w:val="pt-PT"/>
          </w:rPr>
          <w:t>http://pages.stern.nyu.edu/~adamodar/New_Home_Page/datafile/ratings.htm</w:t>
        </w:r>
      </w:hyperlink>
    </w:p>
    <w:p w14:paraId="38FB00C7" w14:textId="77777777" w:rsidR="0076097D" w:rsidRPr="003A6726" w:rsidRDefault="0076097D" w:rsidP="008B6165">
      <w:pPr>
        <w:pStyle w:val="ListParagraph"/>
        <w:numPr>
          <w:ilvl w:val="0"/>
          <w:numId w:val="18"/>
        </w:numPr>
        <w:rPr>
          <w:rStyle w:val="Hyperlink0"/>
          <w:rFonts w:cs="Tahoma"/>
          <w:color w:val="auto"/>
          <w:u w:val="none"/>
          <w:lang w:val="pt-PT"/>
        </w:rPr>
      </w:pPr>
      <w:r w:rsidRPr="003A6726">
        <w:rPr>
          <w:rStyle w:val="Hyperlink0"/>
          <w:rFonts w:cs="Tahoma"/>
          <w:color w:val="auto"/>
          <w:u w:val="none"/>
        </w:rPr>
        <w:t xml:space="preserve">IRG, “Regulatory Accounting, Principles of Implementation and Best Practice for WACC calculation”, February 2007. </w:t>
      </w:r>
      <w:r w:rsidRPr="003A6726">
        <w:rPr>
          <w:rStyle w:val="Hyperlink0"/>
          <w:rFonts w:cs="Tahoma"/>
          <w:color w:val="auto"/>
          <w:u w:val="none"/>
          <w:lang w:val="pt-PT"/>
        </w:rPr>
        <w:t xml:space="preserve">Disponível em: </w:t>
      </w:r>
      <w:hyperlink r:id="rId40" w:history="1">
        <w:r w:rsidRPr="003A6726">
          <w:rPr>
            <w:rStyle w:val="Hyperlink0"/>
            <w:rFonts w:cs="Tahoma"/>
            <w:lang w:val="pt-PT"/>
          </w:rPr>
          <w:t>http://berec.europa.eu/doc/publications/consult_principles_best_implem/erg_07_04_pibs_on_wacc_public_cons_summary_mar2007_final.pdf</w:t>
        </w:r>
      </w:hyperlink>
    </w:p>
    <w:p w14:paraId="1059ABE9" w14:textId="77777777" w:rsidR="0076097D" w:rsidRPr="003A6726" w:rsidRDefault="0076097D" w:rsidP="008B6165">
      <w:pPr>
        <w:pStyle w:val="ListParagraph"/>
        <w:numPr>
          <w:ilvl w:val="0"/>
          <w:numId w:val="18"/>
        </w:numPr>
        <w:rPr>
          <w:rFonts w:cs="Tahoma"/>
        </w:rPr>
      </w:pPr>
      <w:r w:rsidRPr="003A6726">
        <w:rPr>
          <w:rFonts w:cs="Tahoma"/>
        </w:rPr>
        <w:t xml:space="preserve">BEREC Report on the Regulatory Accounting in Practice 2013, disponível em: </w:t>
      </w:r>
      <w:hyperlink r:id="rId41" w:history="1">
        <w:r w:rsidRPr="003A6726">
          <w:rPr>
            <w:rStyle w:val="Hyperlink0"/>
            <w:rFonts w:cs="Tahoma"/>
          </w:rPr>
          <w:t>https://berec.europa.eu/eng/document_register/subject_matter/berec/reports/1451-berec-report-on-the-regulatory-accounting-in-practice-2013</w:t>
        </w:r>
      </w:hyperlink>
    </w:p>
    <w:p w14:paraId="5B24C669" w14:textId="77777777" w:rsidR="0076097D" w:rsidRPr="003A6726" w:rsidRDefault="0076097D" w:rsidP="008B6165">
      <w:pPr>
        <w:pStyle w:val="ListParagraph"/>
        <w:numPr>
          <w:ilvl w:val="0"/>
          <w:numId w:val="18"/>
        </w:numPr>
        <w:rPr>
          <w:rFonts w:cs="Tahoma"/>
        </w:rPr>
      </w:pPr>
      <w:r w:rsidRPr="003A6726">
        <w:rPr>
          <w:rFonts w:cs="Tahoma"/>
        </w:rPr>
        <w:t xml:space="preserve">Annex to the BEREC 2013 RA Report “Cost of Capital in Europe – Cost of Capital Parameters in 27 European Countries” (Data as of 1st January 2012)  </w:t>
      </w:r>
    </w:p>
    <w:p w14:paraId="2CDC8FE6" w14:textId="77777777" w:rsidR="0076097D" w:rsidRPr="003A6726" w:rsidRDefault="0076097D" w:rsidP="008B6165">
      <w:pPr>
        <w:pStyle w:val="ListParagraph"/>
        <w:numPr>
          <w:ilvl w:val="0"/>
          <w:numId w:val="18"/>
        </w:numPr>
        <w:rPr>
          <w:rFonts w:cs="Tahoma"/>
        </w:rPr>
      </w:pPr>
      <w:r w:rsidRPr="003A6726">
        <w:rPr>
          <w:rFonts w:cs="Tahoma"/>
        </w:rPr>
        <w:lastRenderedPageBreak/>
        <w:t xml:space="preserve">BEREC Report Regulatory Accounting in Practice 2016, BoR (16) 159, disponível em: </w:t>
      </w:r>
      <w:hyperlink r:id="rId42" w:history="1">
        <w:r w:rsidRPr="003A6726">
          <w:rPr>
            <w:rStyle w:val="Hyperlink0"/>
            <w:rFonts w:cs="Tahoma"/>
          </w:rPr>
          <w:t>https://berec.europa.eu/eng/document_register/subject_matter/berec/reports/6479-berec-report-regulatory-accounting-in-practice-2016</w:t>
        </w:r>
      </w:hyperlink>
    </w:p>
    <w:p w14:paraId="248937A8" w14:textId="77777777" w:rsidR="0076097D" w:rsidRDefault="0076097D" w:rsidP="008B6165">
      <w:pPr>
        <w:pStyle w:val="FootnoteText"/>
        <w:numPr>
          <w:ilvl w:val="0"/>
          <w:numId w:val="18"/>
        </w:numPr>
        <w:rPr>
          <w:rFonts w:cs="Tahoma"/>
          <w:sz w:val="22"/>
        </w:rPr>
      </w:pPr>
      <w:r w:rsidRPr="003A6726">
        <w:rPr>
          <w:rFonts w:cs="Tahoma"/>
          <w:sz w:val="22"/>
        </w:rPr>
        <w:t>Aswath Damodaran, Stern School of Business, “Equity Risk Premiums (ERP): Determinants, Estimation and Implications – The 2020 Edition Updated: March 2020”, disponível em:</w:t>
      </w:r>
      <w:r>
        <w:rPr>
          <w:rFonts w:cs="Tahoma"/>
          <w:sz w:val="22"/>
        </w:rPr>
        <w:t xml:space="preserve"> </w:t>
      </w:r>
      <w:hyperlink r:id="rId43" w:history="1">
        <w:r w:rsidRPr="00E81F13">
          <w:rPr>
            <w:rStyle w:val="Hyperlink0"/>
            <w:rFonts w:cs="Tahoma"/>
            <w:sz w:val="22"/>
          </w:rPr>
          <w:t>https://papers.ssrn.com/sol3/papers.cfm?abstract_id=3550293</w:t>
        </w:r>
      </w:hyperlink>
    </w:p>
    <w:p w14:paraId="3F28FE59" w14:textId="77777777" w:rsidR="0076097D" w:rsidRPr="003A6726" w:rsidRDefault="0076097D" w:rsidP="008B6165">
      <w:pPr>
        <w:pStyle w:val="FootnoteText"/>
        <w:numPr>
          <w:ilvl w:val="0"/>
          <w:numId w:val="18"/>
        </w:numPr>
        <w:rPr>
          <w:rFonts w:cs="Tahoma"/>
          <w:sz w:val="22"/>
        </w:rPr>
      </w:pPr>
      <w:r w:rsidRPr="003A6726">
        <w:rPr>
          <w:rFonts w:cs="Tahoma"/>
          <w:sz w:val="22"/>
        </w:rPr>
        <w:t>BEREC, “Report on WACC parameter calculations according to the European Commission’s WACC Notice of 7th November 2019 (WACC parameters Report 2020)</w:t>
      </w:r>
      <w:r>
        <w:rPr>
          <w:rFonts w:cs="Tahoma"/>
          <w:sz w:val="22"/>
        </w:rPr>
        <w:t>, disponível em:</w:t>
      </w:r>
      <w:r w:rsidRPr="003A6726">
        <w:t xml:space="preserve"> </w:t>
      </w:r>
      <w:hyperlink r:id="rId44" w:history="1">
        <w:r w:rsidRPr="00E81F13">
          <w:rPr>
            <w:rStyle w:val="Hyperlink0"/>
            <w:rFonts w:cs="Tahoma"/>
            <w:sz w:val="22"/>
          </w:rPr>
          <w:t>https://berec.europa.eu/eng/document_register/subject_matter/berec/reports/9364-berec-report-on-wacc-parameter-calculations-according-to-the-european-commission8217s-wacc-notice</w:t>
        </w:r>
      </w:hyperlink>
    </w:p>
    <w:p w14:paraId="22B27FC4" w14:textId="77777777" w:rsidR="0076097D" w:rsidRPr="003A6726" w:rsidRDefault="0076097D" w:rsidP="0076097D">
      <w:pPr>
        <w:spacing w:before="0" w:after="0" w:line="240" w:lineRule="auto"/>
        <w:rPr>
          <w:rFonts w:cs="Tahoma"/>
        </w:rPr>
      </w:pPr>
      <w:r w:rsidRPr="003A6726">
        <w:rPr>
          <w:rFonts w:cs="Tahoma"/>
        </w:rPr>
        <w:br w:type="page"/>
      </w:r>
    </w:p>
    <w:p w14:paraId="34DC371A" w14:textId="77777777" w:rsidR="0076097D" w:rsidRPr="00E546C4" w:rsidRDefault="0076097D" w:rsidP="0076097D">
      <w:pPr>
        <w:pStyle w:val="Heading2"/>
        <w:numPr>
          <w:ilvl w:val="0"/>
          <w:numId w:val="0"/>
        </w:numPr>
        <w:rPr>
          <w:lang w:val="pt-PT"/>
        </w:rPr>
      </w:pPr>
      <w:bookmarkStart w:id="48" w:name="_Toc75349746"/>
      <w:r w:rsidRPr="00E546C4">
        <w:rPr>
          <w:lang w:val="pt-PT"/>
        </w:rPr>
        <w:lastRenderedPageBreak/>
        <w:t>Anexo A</w:t>
      </w:r>
      <w:bookmarkEnd w:id="48"/>
    </w:p>
    <w:p w14:paraId="7F3AC36C" w14:textId="77777777" w:rsidR="0076097D" w:rsidRPr="00B4268F" w:rsidRDefault="0076097D" w:rsidP="00236F87">
      <w:pPr>
        <w:rPr>
          <w:rFonts w:ascii="Arial" w:hAnsi="Arial"/>
          <w:color w:val="000000"/>
          <w:shd w:val="clear" w:color="auto" w:fill="FFFFFF"/>
          <w:lang w:val="pt-PT"/>
        </w:rPr>
      </w:pPr>
      <w:r w:rsidRPr="00B4268F">
        <w:rPr>
          <w:rFonts w:ascii="Arial" w:hAnsi="Arial"/>
          <w:color w:val="000000"/>
          <w:shd w:val="clear" w:color="auto" w:fill="FFFFFF"/>
          <w:lang w:val="pt-PT"/>
        </w:rPr>
        <w:t xml:space="preserve">MTN: Rating Fitch disponível em: </w:t>
      </w:r>
      <w:hyperlink r:id="rId45" w:history="1">
        <w:r w:rsidRPr="00B4268F">
          <w:rPr>
            <w:rStyle w:val="Hyperlink0"/>
            <w:rFonts w:ascii="Arial" w:hAnsi="Arial" w:cs="Arial"/>
            <w:shd w:val="clear" w:color="auto" w:fill="FFFFFF"/>
            <w:lang w:val="pt-PT"/>
          </w:rPr>
          <w:t>https://www.fitchratings.com/research/corporate-finance/mtn-group-limited-29-05-2020</w:t>
        </w:r>
      </w:hyperlink>
    </w:p>
    <w:p w14:paraId="0C68046B" w14:textId="4B8660B0" w:rsidR="0076097D" w:rsidRPr="00ED6BB9" w:rsidRDefault="0076097D" w:rsidP="00B4268F">
      <w:pPr>
        <w:rPr>
          <w:rFonts w:ascii="Arial" w:hAnsi="Arial"/>
          <w:color w:val="000000"/>
          <w:shd w:val="clear" w:color="auto" w:fill="FFFFFF"/>
          <w:lang w:val="pt-PT"/>
        </w:rPr>
      </w:pPr>
      <w:r w:rsidRPr="00B4268F">
        <w:rPr>
          <w:rFonts w:ascii="Arial" w:hAnsi="Arial"/>
          <w:color w:val="000000"/>
          <w:shd w:val="clear" w:color="auto" w:fill="FFFFFF"/>
          <w:lang w:val="pt-PT"/>
        </w:rPr>
        <w:t>“</w:t>
      </w:r>
      <w:r w:rsidR="00B4268F" w:rsidRPr="00B4268F">
        <w:rPr>
          <w:rFonts w:ascii="Arial" w:hAnsi="Arial"/>
          <w:color w:val="000000"/>
          <w:shd w:val="clear" w:color="auto" w:fill="FFFFFF"/>
          <w:lang w:val="pt-PT"/>
        </w:rPr>
        <w:t xml:space="preserve">A </w:t>
      </w:r>
      <w:r w:rsidR="00B4268F">
        <w:rPr>
          <w:rFonts w:ascii="Arial" w:hAnsi="Arial"/>
          <w:color w:val="000000"/>
          <w:shd w:val="clear" w:color="auto" w:fill="FFFFFF"/>
          <w:lang w:val="pt-PT"/>
        </w:rPr>
        <w:t>reavaliação do</w:t>
      </w:r>
      <w:r w:rsidR="00B4268F" w:rsidRPr="00B4268F">
        <w:rPr>
          <w:rFonts w:ascii="Arial" w:hAnsi="Arial"/>
          <w:color w:val="000000"/>
          <w:shd w:val="clear" w:color="auto" w:fill="FFFFFF"/>
          <w:lang w:val="pt-PT"/>
        </w:rPr>
        <w:t xml:space="preserve"> rating da MTN Group Limited, com sede na África do Sul, </w:t>
      </w:r>
      <w:r w:rsidR="00B4268F">
        <w:rPr>
          <w:rFonts w:ascii="Arial" w:hAnsi="Arial"/>
          <w:color w:val="000000"/>
          <w:shd w:val="clear" w:color="auto" w:fill="FFFFFF"/>
          <w:lang w:val="pt-PT"/>
        </w:rPr>
        <w:t>é consequência</w:t>
      </w:r>
      <w:r w:rsidR="00B4268F" w:rsidRPr="00B4268F">
        <w:rPr>
          <w:rFonts w:ascii="Arial" w:hAnsi="Arial"/>
          <w:color w:val="000000"/>
          <w:shd w:val="clear" w:color="auto" w:fill="FFFFFF"/>
          <w:lang w:val="pt-PT"/>
        </w:rPr>
        <w:t xml:space="preserve"> </w:t>
      </w:r>
      <w:r w:rsidR="00B4268F">
        <w:rPr>
          <w:rFonts w:ascii="Arial" w:hAnsi="Arial"/>
          <w:color w:val="000000"/>
          <w:shd w:val="clear" w:color="auto" w:fill="FFFFFF"/>
          <w:lang w:val="pt-PT"/>
        </w:rPr>
        <w:t>do decréscimo</w:t>
      </w:r>
      <w:r w:rsidR="00B4268F" w:rsidRPr="00B4268F">
        <w:rPr>
          <w:rFonts w:ascii="Arial" w:hAnsi="Arial"/>
          <w:color w:val="000000"/>
          <w:shd w:val="clear" w:color="auto" w:fill="FFFFFF"/>
          <w:lang w:val="pt-PT"/>
        </w:rPr>
        <w:t xml:space="preserve"> dos Long-Term Issuer Default Ratings (IDRs) da África do Sul e da Nigéria para ‘BB’ de ‘BB +’ e para ‘B’ de ‘B +’ respetivamente. A classificação da MTN reflete a fraqueza dos ambientes macroeconômicos e operacionais d</w:t>
      </w:r>
      <w:r w:rsidR="00B4268F">
        <w:rPr>
          <w:rFonts w:ascii="Arial" w:hAnsi="Arial"/>
          <w:color w:val="000000"/>
          <w:shd w:val="clear" w:color="auto" w:fill="FFFFFF"/>
          <w:lang w:val="pt-PT"/>
        </w:rPr>
        <w:t>as</w:t>
      </w:r>
      <w:r w:rsidR="00B4268F" w:rsidRPr="00B4268F">
        <w:rPr>
          <w:rFonts w:ascii="Arial" w:hAnsi="Arial"/>
          <w:color w:val="000000"/>
          <w:shd w:val="clear" w:color="auto" w:fill="FFFFFF"/>
          <w:lang w:val="pt-PT"/>
        </w:rPr>
        <w:t xml:space="preserve"> suas principais subsidiárias operacionais na África do Sul e na Nigéria. A </w:t>
      </w:r>
      <w:r w:rsidR="00B4268F">
        <w:rPr>
          <w:rFonts w:ascii="Arial" w:hAnsi="Arial"/>
          <w:color w:val="000000"/>
          <w:shd w:val="clear" w:color="auto" w:fill="FFFFFF"/>
          <w:lang w:val="pt-PT"/>
        </w:rPr>
        <w:t>p</w:t>
      </w:r>
      <w:r w:rsidR="00B4268F" w:rsidRPr="00B4268F">
        <w:rPr>
          <w:rFonts w:ascii="Arial" w:hAnsi="Arial"/>
          <w:color w:val="000000"/>
          <w:shd w:val="clear" w:color="auto" w:fill="FFFFFF"/>
          <w:lang w:val="pt-PT"/>
        </w:rPr>
        <w:t xml:space="preserve">erspetiva </w:t>
      </w:r>
      <w:r w:rsidR="00B4268F">
        <w:rPr>
          <w:rFonts w:ascii="Arial" w:hAnsi="Arial"/>
          <w:color w:val="000000"/>
          <w:shd w:val="clear" w:color="auto" w:fill="FFFFFF"/>
          <w:lang w:val="pt-PT"/>
        </w:rPr>
        <w:t>n</w:t>
      </w:r>
      <w:r w:rsidR="00B4268F" w:rsidRPr="00B4268F">
        <w:rPr>
          <w:rFonts w:ascii="Arial" w:hAnsi="Arial"/>
          <w:color w:val="000000"/>
          <w:shd w:val="clear" w:color="auto" w:fill="FFFFFF"/>
          <w:lang w:val="pt-PT"/>
        </w:rPr>
        <w:t xml:space="preserve">egativa reflete a correlação das ações de rating com outras mudanças nos ratings soberanos. A avaliação da Fitch </w:t>
      </w:r>
      <w:r w:rsidR="00236F87">
        <w:rPr>
          <w:rFonts w:ascii="Arial" w:hAnsi="Arial"/>
          <w:color w:val="000000"/>
          <w:shd w:val="clear" w:color="auto" w:fill="FFFFFF"/>
          <w:lang w:val="pt-PT"/>
        </w:rPr>
        <w:t>sobre os fundamentais</w:t>
      </w:r>
      <w:r w:rsidR="00B4268F" w:rsidRPr="00B4268F">
        <w:rPr>
          <w:rFonts w:ascii="Arial" w:hAnsi="Arial"/>
          <w:color w:val="000000"/>
          <w:shd w:val="clear" w:color="auto" w:fill="FFFFFF"/>
          <w:lang w:val="pt-PT"/>
        </w:rPr>
        <w:t xml:space="preserve"> não foi alterada. Principais fatores de </w:t>
      </w:r>
      <w:r w:rsidR="00236F87">
        <w:rPr>
          <w:rFonts w:ascii="Arial" w:hAnsi="Arial"/>
          <w:color w:val="000000"/>
          <w:shd w:val="clear" w:color="auto" w:fill="FFFFFF"/>
          <w:lang w:val="pt-PT"/>
        </w:rPr>
        <w:t>alteração</w:t>
      </w:r>
      <w:r w:rsidR="00B4268F" w:rsidRPr="00B4268F">
        <w:rPr>
          <w:rFonts w:ascii="Arial" w:hAnsi="Arial"/>
          <w:color w:val="000000"/>
          <w:shd w:val="clear" w:color="auto" w:fill="FFFFFF"/>
          <w:lang w:val="pt-PT"/>
        </w:rPr>
        <w:t xml:space="preserve"> dos ratings soberanos: Os </w:t>
      </w:r>
      <w:r w:rsidR="00236F87">
        <w:rPr>
          <w:rFonts w:ascii="Arial" w:hAnsi="Arial"/>
          <w:color w:val="000000"/>
          <w:shd w:val="clear" w:color="auto" w:fill="FFFFFF"/>
          <w:lang w:val="pt-PT"/>
        </w:rPr>
        <w:t>decréscimos</w:t>
      </w:r>
      <w:r w:rsidR="00B4268F" w:rsidRPr="00B4268F">
        <w:rPr>
          <w:rFonts w:ascii="Arial" w:hAnsi="Arial"/>
          <w:color w:val="000000"/>
          <w:shd w:val="clear" w:color="auto" w:fill="FFFFFF"/>
          <w:lang w:val="pt-PT"/>
        </w:rPr>
        <w:t xml:space="preserve"> da África do Sul e da Nigéria </w:t>
      </w:r>
      <w:r w:rsidR="00236F87">
        <w:rPr>
          <w:rFonts w:ascii="Arial" w:hAnsi="Arial"/>
          <w:color w:val="000000"/>
          <w:shd w:val="clear" w:color="auto" w:fill="FFFFFF"/>
          <w:lang w:val="pt-PT"/>
        </w:rPr>
        <w:t>resultam</w:t>
      </w:r>
      <w:r w:rsidR="00B4268F" w:rsidRPr="00B4268F">
        <w:rPr>
          <w:rFonts w:ascii="Arial" w:hAnsi="Arial"/>
          <w:color w:val="000000"/>
          <w:shd w:val="clear" w:color="auto" w:fill="FFFFFF"/>
          <w:lang w:val="pt-PT"/>
        </w:rPr>
        <w:t xml:space="preserve"> </w:t>
      </w:r>
      <w:r w:rsidR="00236F87">
        <w:rPr>
          <w:rFonts w:ascii="Arial" w:hAnsi="Arial"/>
          <w:color w:val="000000"/>
          <w:shd w:val="clear" w:color="auto" w:fill="FFFFFF"/>
          <w:lang w:val="pt-PT"/>
        </w:rPr>
        <w:t>d</w:t>
      </w:r>
      <w:r w:rsidR="00B4268F" w:rsidRPr="00B4268F">
        <w:rPr>
          <w:rFonts w:ascii="Arial" w:hAnsi="Arial"/>
          <w:color w:val="000000"/>
          <w:shd w:val="clear" w:color="auto" w:fill="FFFFFF"/>
          <w:lang w:val="pt-PT"/>
        </w:rPr>
        <w:t xml:space="preserve">o aumento do risco operacional para a MTN </w:t>
      </w:r>
      <w:r w:rsidR="00236F87">
        <w:rPr>
          <w:rFonts w:ascii="Arial" w:hAnsi="Arial"/>
          <w:color w:val="000000"/>
          <w:shd w:val="clear" w:color="auto" w:fill="FFFFFF"/>
          <w:lang w:val="pt-PT"/>
        </w:rPr>
        <w:t>em</w:t>
      </w:r>
      <w:r w:rsidR="00B4268F" w:rsidRPr="00B4268F">
        <w:rPr>
          <w:rFonts w:ascii="Arial" w:hAnsi="Arial"/>
          <w:color w:val="000000"/>
          <w:shd w:val="clear" w:color="auto" w:fill="FFFFFF"/>
          <w:lang w:val="pt-PT"/>
        </w:rPr>
        <w:t xml:space="preserve"> dois de seus maiores mercados. O mercado sul-africano contribui com cerca de 30% e o mercado nigeriano com cerca de 40% do EBITDA da MTN (pré-IFRS 16). Qualquer enfraquecimento dessas duas economias pode ter um impacto adverso nas operações da MTN. </w:t>
      </w:r>
      <w:r w:rsidR="00236F87">
        <w:rPr>
          <w:rFonts w:ascii="Arial" w:hAnsi="Arial"/>
          <w:color w:val="000000"/>
          <w:shd w:val="clear" w:color="auto" w:fill="FFFFFF"/>
          <w:lang w:val="pt-PT"/>
        </w:rPr>
        <w:t>A reavaliação do rating</w:t>
      </w:r>
      <w:r w:rsidR="00B4268F" w:rsidRPr="00B4268F">
        <w:rPr>
          <w:rFonts w:ascii="Arial" w:hAnsi="Arial"/>
          <w:color w:val="000000"/>
          <w:shd w:val="clear" w:color="auto" w:fill="FFFFFF"/>
          <w:lang w:val="pt-PT"/>
        </w:rPr>
        <w:t xml:space="preserve"> da África do Sul resulta da falta de um caminho claro para a estabilização da dívida do governo, bem como do impacto que a Fitch espera nas finanças públicas e no crescimento da pandemia de coronavírus e do choque econômico relacionado. A </w:t>
      </w:r>
      <w:r w:rsidR="00B4268F">
        <w:rPr>
          <w:rFonts w:ascii="Arial" w:hAnsi="Arial"/>
          <w:color w:val="000000"/>
          <w:shd w:val="clear" w:color="auto" w:fill="FFFFFF"/>
          <w:lang w:val="pt-PT"/>
        </w:rPr>
        <w:t>p</w:t>
      </w:r>
      <w:r w:rsidR="00B4268F" w:rsidRPr="00B4268F">
        <w:rPr>
          <w:rFonts w:ascii="Arial" w:hAnsi="Arial"/>
          <w:color w:val="000000"/>
          <w:shd w:val="clear" w:color="auto" w:fill="FFFFFF"/>
          <w:lang w:val="pt-PT"/>
        </w:rPr>
        <w:t xml:space="preserve">erspetiva </w:t>
      </w:r>
      <w:r w:rsidR="00B4268F">
        <w:rPr>
          <w:rFonts w:ascii="Arial" w:hAnsi="Arial"/>
          <w:color w:val="000000"/>
          <w:shd w:val="clear" w:color="auto" w:fill="FFFFFF"/>
          <w:lang w:val="pt-PT"/>
        </w:rPr>
        <w:t>n</w:t>
      </w:r>
      <w:r w:rsidR="00B4268F" w:rsidRPr="00B4268F">
        <w:rPr>
          <w:rFonts w:ascii="Arial" w:hAnsi="Arial"/>
          <w:color w:val="000000"/>
          <w:shd w:val="clear" w:color="auto" w:fill="FFFFFF"/>
          <w:lang w:val="pt-PT"/>
        </w:rPr>
        <w:t xml:space="preserve">egativa reflete a </w:t>
      </w:r>
      <w:r w:rsidR="00B4268F">
        <w:rPr>
          <w:rFonts w:ascii="Arial" w:hAnsi="Arial"/>
          <w:color w:val="000000"/>
          <w:shd w:val="clear" w:color="auto" w:fill="FFFFFF"/>
          <w:lang w:val="pt-PT"/>
        </w:rPr>
        <w:t>perceção</w:t>
      </w:r>
      <w:r w:rsidR="00B4268F" w:rsidRPr="00B4268F">
        <w:rPr>
          <w:rFonts w:ascii="Arial" w:hAnsi="Arial"/>
          <w:color w:val="000000"/>
          <w:shd w:val="clear" w:color="auto" w:fill="FFFFFF"/>
          <w:lang w:val="pt-PT"/>
        </w:rPr>
        <w:t xml:space="preserve"> de uma pressão positiva adicional significativa sobre a dívida do governo e riscos negativos adicionais associados ao choque global. O </w:t>
      </w:r>
      <w:r w:rsidR="00B4268F">
        <w:rPr>
          <w:rFonts w:ascii="Arial" w:hAnsi="Arial"/>
          <w:color w:val="000000"/>
          <w:shd w:val="clear" w:color="auto" w:fill="FFFFFF"/>
          <w:lang w:val="pt-PT"/>
        </w:rPr>
        <w:t>decréscimo</w:t>
      </w:r>
      <w:r w:rsidR="00B4268F" w:rsidRPr="00B4268F">
        <w:rPr>
          <w:rFonts w:ascii="Arial" w:hAnsi="Arial"/>
          <w:color w:val="000000"/>
          <w:shd w:val="clear" w:color="auto" w:fill="FFFFFF"/>
          <w:lang w:val="pt-PT"/>
        </w:rPr>
        <w:t xml:space="preserve"> da classificação da Nigéria e </w:t>
      </w:r>
      <w:r w:rsidR="00B4268F">
        <w:rPr>
          <w:rFonts w:ascii="Arial" w:hAnsi="Arial"/>
          <w:color w:val="000000"/>
          <w:shd w:val="clear" w:color="auto" w:fill="FFFFFF"/>
          <w:lang w:val="pt-PT"/>
        </w:rPr>
        <w:t>a perspetiva negativa</w:t>
      </w:r>
      <w:r w:rsidR="00B4268F" w:rsidRPr="00B4268F">
        <w:rPr>
          <w:rFonts w:ascii="Arial" w:hAnsi="Arial"/>
          <w:color w:val="000000"/>
          <w:shd w:val="clear" w:color="auto" w:fill="FFFFFF"/>
          <w:lang w:val="pt-PT"/>
        </w:rPr>
        <w:t xml:space="preserve"> refletem a pressão contínua sobre as finanças externas após a recente queda nos preços do petróleo e o choque econômico relacionado à pandemia. Desempenho sólido em 2019: MTN teve um forte desempenho em toda </w:t>
      </w:r>
      <w:r w:rsidR="00B4268F">
        <w:rPr>
          <w:rFonts w:ascii="Arial" w:hAnsi="Arial"/>
          <w:color w:val="000000"/>
          <w:shd w:val="clear" w:color="auto" w:fill="FFFFFF"/>
          <w:lang w:val="pt-PT"/>
        </w:rPr>
        <w:t>o seu âmbito geográfico de atuação</w:t>
      </w:r>
      <w:r w:rsidR="00B4268F" w:rsidRPr="00B4268F">
        <w:rPr>
          <w:rFonts w:ascii="Arial" w:hAnsi="Arial"/>
          <w:color w:val="000000"/>
          <w:shd w:val="clear" w:color="auto" w:fill="FFFFFF"/>
          <w:lang w:val="pt-PT"/>
        </w:rPr>
        <w:t xml:space="preserve"> em 2019, resultando </w:t>
      </w:r>
      <w:r w:rsidR="00B4268F">
        <w:rPr>
          <w:rFonts w:ascii="Arial" w:hAnsi="Arial"/>
          <w:color w:val="000000"/>
          <w:shd w:val="clear" w:color="auto" w:fill="FFFFFF"/>
          <w:lang w:val="pt-PT"/>
        </w:rPr>
        <w:t xml:space="preserve">num </w:t>
      </w:r>
      <w:r w:rsidR="00B4268F" w:rsidRPr="00B4268F">
        <w:rPr>
          <w:rFonts w:ascii="Arial" w:hAnsi="Arial"/>
          <w:color w:val="000000"/>
          <w:shd w:val="clear" w:color="auto" w:fill="FFFFFF"/>
          <w:lang w:val="pt-PT"/>
        </w:rPr>
        <w:t xml:space="preserve">crescimento </w:t>
      </w:r>
      <w:r w:rsidR="00B4268F">
        <w:rPr>
          <w:rFonts w:ascii="Arial" w:hAnsi="Arial"/>
          <w:color w:val="000000"/>
          <w:shd w:val="clear" w:color="auto" w:fill="FFFFFF"/>
          <w:lang w:val="pt-PT"/>
        </w:rPr>
        <w:t xml:space="preserve">da </w:t>
      </w:r>
      <w:r w:rsidR="00B4268F" w:rsidRPr="00B4268F">
        <w:rPr>
          <w:rFonts w:ascii="Arial" w:hAnsi="Arial"/>
          <w:color w:val="000000"/>
          <w:shd w:val="clear" w:color="auto" w:fill="FFFFFF"/>
          <w:lang w:val="pt-PT"/>
        </w:rPr>
        <w:t>receita total e d</w:t>
      </w:r>
      <w:r w:rsidR="00B4268F">
        <w:rPr>
          <w:rFonts w:ascii="Arial" w:hAnsi="Arial"/>
          <w:color w:val="000000"/>
          <w:shd w:val="clear" w:color="auto" w:fill="FFFFFF"/>
          <w:lang w:val="pt-PT"/>
        </w:rPr>
        <w:t>o</w:t>
      </w:r>
      <w:r w:rsidR="00B4268F" w:rsidRPr="00B4268F">
        <w:rPr>
          <w:rFonts w:ascii="Arial" w:hAnsi="Arial"/>
          <w:color w:val="000000"/>
          <w:shd w:val="clear" w:color="auto" w:fill="FFFFFF"/>
          <w:lang w:val="pt-PT"/>
        </w:rPr>
        <w:t xml:space="preserve"> EBITDA de </w:t>
      </w:r>
      <w:r w:rsidR="00B4268F">
        <w:rPr>
          <w:rFonts w:ascii="Arial" w:hAnsi="Arial"/>
          <w:color w:val="000000"/>
          <w:shd w:val="clear" w:color="auto" w:fill="FFFFFF"/>
          <w:lang w:val="pt-PT"/>
        </w:rPr>
        <w:t xml:space="preserve">respetivamente </w:t>
      </w:r>
      <w:r w:rsidR="00B4268F" w:rsidRPr="00B4268F">
        <w:rPr>
          <w:rFonts w:ascii="Arial" w:hAnsi="Arial"/>
          <w:color w:val="000000"/>
          <w:shd w:val="clear" w:color="auto" w:fill="FFFFFF"/>
          <w:lang w:val="pt-PT"/>
        </w:rPr>
        <w:t xml:space="preserve">9,7% e 13,6% </w:t>
      </w:r>
      <w:r w:rsidR="00B4268F">
        <w:rPr>
          <w:rFonts w:ascii="Arial" w:hAnsi="Arial"/>
          <w:color w:val="000000"/>
          <w:shd w:val="clear" w:color="auto" w:fill="FFFFFF"/>
          <w:lang w:val="pt-PT"/>
        </w:rPr>
        <w:t>numa base anual</w:t>
      </w:r>
      <w:r w:rsidR="00B4268F" w:rsidRPr="00B4268F">
        <w:rPr>
          <w:rFonts w:ascii="Arial" w:hAnsi="Arial"/>
          <w:color w:val="000000"/>
          <w:shd w:val="clear" w:color="auto" w:fill="FFFFFF"/>
          <w:lang w:val="pt-PT"/>
        </w:rPr>
        <w:t xml:space="preserve"> em termos de moeda constante (pré-IFRS 16). O EBITDA da MTN na Nigéria aumentou 15,7% </w:t>
      </w:r>
      <w:r w:rsidR="00B4268F">
        <w:rPr>
          <w:rFonts w:ascii="Arial" w:hAnsi="Arial"/>
          <w:color w:val="000000"/>
          <w:shd w:val="clear" w:color="auto" w:fill="FFFFFF"/>
          <w:lang w:val="pt-PT"/>
        </w:rPr>
        <w:t>em relação ao ano anterior</w:t>
      </w:r>
      <w:r w:rsidR="00B4268F" w:rsidRPr="00B4268F">
        <w:rPr>
          <w:rFonts w:ascii="Arial" w:hAnsi="Arial"/>
          <w:color w:val="000000"/>
          <w:shd w:val="clear" w:color="auto" w:fill="FFFFFF"/>
          <w:lang w:val="pt-PT"/>
        </w:rPr>
        <w:t xml:space="preserve"> em 2019, apoiado por um forte crescimento da receita e iniciativas de otimização. O EBITDA da empresa </w:t>
      </w:r>
      <w:r w:rsidR="00B4268F">
        <w:rPr>
          <w:rFonts w:ascii="Arial" w:hAnsi="Arial"/>
          <w:color w:val="000000"/>
          <w:shd w:val="clear" w:color="auto" w:fill="FFFFFF"/>
          <w:lang w:val="pt-PT"/>
        </w:rPr>
        <w:t>na</w:t>
      </w:r>
      <w:r w:rsidR="00B4268F" w:rsidRPr="00B4268F">
        <w:rPr>
          <w:rFonts w:ascii="Arial" w:hAnsi="Arial"/>
          <w:color w:val="000000"/>
          <w:shd w:val="clear" w:color="auto" w:fill="FFFFFF"/>
          <w:lang w:val="pt-PT"/>
        </w:rPr>
        <w:t xml:space="preserve"> África do Sul diminuiu </w:t>
      </w:r>
      <w:r w:rsidR="00B4268F">
        <w:rPr>
          <w:rFonts w:ascii="Arial" w:hAnsi="Arial"/>
          <w:color w:val="000000"/>
          <w:shd w:val="clear" w:color="auto" w:fill="FFFFFF"/>
          <w:lang w:val="pt-PT"/>
        </w:rPr>
        <w:t>em relação ao ano anterior</w:t>
      </w:r>
      <w:r w:rsidR="00B4268F" w:rsidRPr="00B4268F">
        <w:rPr>
          <w:rFonts w:ascii="Arial" w:hAnsi="Arial"/>
          <w:color w:val="000000"/>
          <w:shd w:val="clear" w:color="auto" w:fill="FFFFFF"/>
          <w:lang w:val="pt-PT"/>
        </w:rPr>
        <w:t xml:space="preserve"> apesar do crescimento da receita, devido à pressão regulatória sobre as tarifas pré-pagas e mudanças </w:t>
      </w:r>
      <w:r w:rsidR="00B4268F">
        <w:rPr>
          <w:rFonts w:ascii="Arial" w:hAnsi="Arial"/>
          <w:color w:val="000000"/>
          <w:shd w:val="clear" w:color="auto" w:fill="FFFFFF"/>
          <w:lang w:val="pt-PT"/>
        </w:rPr>
        <w:t>contabilísticas</w:t>
      </w:r>
      <w:r w:rsidR="00B4268F" w:rsidRPr="00B4268F">
        <w:rPr>
          <w:rFonts w:ascii="Arial" w:hAnsi="Arial"/>
          <w:color w:val="000000"/>
          <w:shd w:val="clear" w:color="auto" w:fill="FFFFFF"/>
          <w:lang w:val="pt-PT"/>
        </w:rPr>
        <w:t xml:space="preserve"> relacionadas </w:t>
      </w:r>
      <w:r w:rsidR="00B4268F">
        <w:rPr>
          <w:rFonts w:ascii="Arial" w:hAnsi="Arial"/>
          <w:color w:val="000000"/>
          <w:shd w:val="clear" w:color="auto" w:fill="FFFFFF"/>
          <w:lang w:val="pt-PT"/>
        </w:rPr>
        <w:t>com o</w:t>
      </w:r>
      <w:r w:rsidR="00B4268F" w:rsidRPr="00B4268F">
        <w:rPr>
          <w:rFonts w:ascii="Arial" w:hAnsi="Arial"/>
          <w:color w:val="000000"/>
          <w:shd w:val="clear" w:color="auto" w:fill="FFFFFF"/>
          <w:lang w:val="pt-PT"/>
        </w:rPr>
        <w:t xml:space="preserve"> reconhecimento </w:t>
      </w:r>
      <w:r w:rsidR="00B4268F">
        <w:rPr>
          <w:rFonts w:ascii="Arial" w:hAnsi="Arial"/>
          <w:color w:val="000000"/>
          <w:shd w:val="clear" w:color="auto" w:fill="FFFFFF"/>
          <w:lang w:val="pt-PT"/>
        </w:rPr>
        <w:t>de receitas grossistas.</w:t>
      </w:r>
      <w:r w:rsidR="00B4268F" w:rsidRPr="00B4268F">
        <w:rPr>
          <w:rFonts w:ascii="Arial" w:hAnsi="Arial"/>
          <w:color w:val="000000"/>
          <w:shd w:val="clear" w:color="auto" w:fill="FFFFFF"/>
          <w:lang w:val="pt-PT"/>
        </w:rPr>
        <w:t xml:space="preserve"> As operações da MTN </w:t>
      </w:r>
      <w:r w:rsidR="00236F87">
        <w:rPr>
          <w:rFonts w:ascii="Arial" w:hAnsi="Arial"/>
          <w:color w:val="000000"/>
          <w:shd w:val="clear" w:color="auto" w:fill="FFFFFF"/>
          <w:lang w:val="pt-PT"/>
        </w:rPr>
        <w:t>no</w:t>
      </w:r>
      <w:r w:rsidR="00B4268F" w:rsidRPr="00B4268F">
        <w:rPr>
          <w:rFonts w:ascii="Arial" w:hAnsi="Arial"/>
          <w:color w:val="000000"/>
          <w:shd w:val="clear" w:color="auto" w:fill="FFFFFF"/>
          <w:lang w:val="pt-PT"/>
        </w:rPr>
        <w:t xml:space="preserve"> Gana e Uganda alcançaram </w:t>
      </w:r>
      <w:r w:rsidR="00236F87" w:rsidRPr="00B4268F">
        <w:rPr>
          <w:rFonts w:ascii="Arial" w:hAnsi="Arial"/>
          <w:color w:val="000000"/>
          <w:shd w:val="clear" w:color="auto" w:fill="FFFFFF"/>
          <w:lang w:val="pt-PT"/>
        </w:rPr>
        <w:t>em 2019</w:t>
      </w:r>
      <w:r w:rsidR="00236F87">
        <w:rPr>
          <w:rFonts w:ascii="Arial" w:hAnsi="Arial"/>
          <w:color w:val="000000"/>
          <w:shd w:val="clear" w:color="auto" w:fill="FFFFFF"/>
          <w:lang w:val="pt-PT"/>
        </w:rPr>
        <w:t xml:space="preserve"> </w:t>
      </w:r>
      <w:r w:rsidR="00B4268F" w:rsidRPr="00B4268F">
        <w:rPr>
          <w:rFonts w:ascii="Arial" w:hAnsi="Arial"/>
          <w:color w:val="000000"/>
          <w:shd w:val="clear" w:color="auto" w:fill="FFFFFF"/>
          <w:lang w:val="pt-PT"/>
        </w:rPr>
        <w:t xml:space="preserve">um forte crescimento de receita </w:t>
      </w:r>
      <w:r w:rsidR="00236F87">
        <w:rPr>
          <w:rFonts w:ascii="Arial" w:hAnsi="Arial"/>
          <w:color w:val="000000"/>
          <w:shd w:val="clear" w:color="auto" w:fill="FFFFFF"/>
          <w:lang w:val="pt-PT"/>
        </w:rPr>
        <w:t>(</w:t>
      </w:r>
      <w:r w:rsidR="00B4268F" w:rsidRPr="00B4268F">
        <w:rPr>
          <w:rFonts w:ascii="Arial" w:hAnsi="Arial"/>
          <w:color w:val="000000"/>
          <w:shd w:val="clear" w:color="auto" w:fill="FFFFFF"/>
          <w:lang w:val="pt-PT"/>
        </w:rPr>
        <w:t>dois dígitos</w:t>
      </w:r>
      <w:r w:rsidR="00236F87">
        <w:rPr>
          <w:rFonts w:ascii="Arial" w:hAnsi="Arial"/>
          <w:color w:val="000000"/>
          <w:shd w:val="clear" w:color="auto" w:fill="FFFFFF"/>
          <w:lang w:val="pt-PT"/>
        </w:rPr>
        <w:t>)</w:t>
      </w:r>
      <w:r w:rsidR="00B4268F" w:rsidRPr="00B4268F">
        <w:rPr>
          <w:rFonts w:ascii="Arial" w:hAnsi="Arial"/>
          <w:color w:val="000000"/>
          <w:shd w:val="clear" w:color="auto" w:fill="FFFFFF"/>
          <w:lang w:val="pt-PT"/>
        </w:rPr>
        <w:t xml:space="preserve"> e crescimento de EBITDA, ainda mais apoiado por movimentos cambiais favoráveis. Os quatro mercados contribuem com mais de 80% do EBITDA da MTN. Alavancagem estável: Esperamos que a alavancagem líquida dos fundos de operações (FFO) da MTN aumente para 1,7x em 2020 de 1,5x no final de 2019, impulsionada principalmente por mudanças adversas na moeda estrangeira. Projetamos a alavancagem da empresa para diminuir gradualmente a partir de 2021, apoiada pela melhoria da geração de EBITDA e diminuição do capex. O plano de eliminação de ativos em andamento deve ajudar a MTN a manter a alavancagem sob controle no médio prazo. Plano de alienação no caminho certo: A MTN está no caminho certo com a implementação de seu programa de realização de ativos de três anos por ZAR15 bilhões e tem como objetivo a venda de ativos adicionais de ZAR25 bilhões, o que deve melhorar seu balanço patrimonial. A empresa concluiu ZAR14 bilhões de alienações em 2019. A volatilidade do </w:t>
      </w:r>
      <w:r w:rsidR="00B4268F" w:rsidRPr="00B4268F">
        <w:rPr>
          <w:rFonts w:ascii="Arial" w:hAnsi="Arial"/>
          <w:color w:val="000000"/>
          <w:shd w:val="clear" w:color="auto" w:fill="FFFFFF"/>
          <w:lang w:val="pt-PT"/>
        </w:rPr>
        <w:lastRenderedPageBreak/>
        <w:t xml:space="preserve">mercado pode atrasar a implementação e não incorporamos quaisquer novas alienações potenciais </w:t>
      </w:r>
      <w:r w:rsidR="00236F87">
        <w:rPr>
          <w:rFonts w:ascii="Arial" w:hAnsi="Arial"/>
          <w:color w:val="000000"/>
          <w:shd w:val="clear" w:color="auto" w:fill="FFFFFF"/>
          <w:lang w:val="pt-PT"/>
        </w:rPr>
        <w:t xml:space="preserve">no </w:t>
      </w:r>
      <w:r w:rsidR="00B4268F" w:rsidRPr="00B4268F">
        <w:rPr>
          <w:rFonts w:ascii="Arial" w:hAnsi="Arial"/>
          <w:color w:val="000000"/>
          <w:shd w:val="clear" w:color="auto" w:fill="FFFFFF"/>
          <w:lang w:val="pt-PT"/>
        </w:rPr>
        <w:t xml:space="preserve">nosso modelo. Incompatibilidade de câmbio: a incompatibilidade de câmbio da MTN entre a dívida líquida e o fluxo de caixa pode levar a uma maior alavancagem se o dólar norte-americano se fortalecer. Cerca de 37% da dívida do grupo era denominada em dólares americanos no final de 2019, enquanto a maior parte do fluxo de caixa da empresa é gerado em rands sul-africanos, nairas nigerianas e outras moedas africanas. </w:t>
      </w:r>
    </w:p>
    <w:p w14:paraId="74196CF7" w14:textId="6448C8FA" w:rsidR="0063445C" w:rsidRDefault="0076097D" w:rsidP="0076097D">
      <w:pPr>
        <w:rPr>
          <w:rFonts w:cs="Tahoma"/>
          <w:sz w:val="24"/>
          <w:szCs w:val="24"/>
          <w:lang w:val="pt-PT"/>
        </w:rPr>
      </w:pPr>
      <w:r>
        <w:rPr>
          <w:rFonts w:cs="Tahoma"/>
          <w:shd w:val="clear" w:color="auto" w:fill="FFFFFF"/>
          <w:lang w:val="pt-PT"/>
        </w:rPr>
        <w:t xml:space="preserve">ORANGE: </w:t>
      </w:r>
      <w:r w:rsidRPr="00A142C5">
        <w:rPr>
          <w:rFonts w:cs="Tahoma"/>
          <w:shd w:val="clear" w:color="auto" w:fill="FFFFFF"/>
          <w:lang w:val="pt-PT"/>
        </w:rPr>
        <w:t>De acordo com informação disponível no website da empresa, “A Orange é uma das principais operadoras de telecomunicações do mundo, com vendas de 42 bilhões de euros em 2019 e 143.000 funcionários em todo o mundo em 30 de junho de 2020, incluindo 84.000 funcionários na França. O Grupo tem uma base total de clientes de 253 milhões de clientes em todo o mundo em 30 de junho de 2020, incluindo 208 milhões de clientes móveis e 21 milhões de clientes de banda larga fixa. O Grupo está presente em 26 países. A Orange também é fornecedora líder de serviços globais de TI e telecomunicações para empresas multinacionais, sob a marca Orange Business Services. Em dezembro de 2019, o Grupo apresentou o seu novo plano estratégico “Engage 2025”, que, pautado pela responsabilidade socioambiental, visa reinventar o seu modelo de operadora. Ao mesmo tempo em que acelera em áreas de crescimento e coloca os dados e a IA no centro de seu modelo de inovação, o Grupo será um empregador atraente e responsável, adaptado às profissões emergentes</w:t>
      </w:r>
      <w:r w:rsidR="00D06DEA" w:rsidRPr="00A142C5">
        <w:rPr>
          <w:rFonts w:cs="Tahoma"/>
          <w:shd w:val="clear" w:color="auto" w:fill="FFFFFF"/>
          <w:lang w:val="pt-PT"/>
        </w:rPr>
        <w:t>.”.</w:t>
      </w:r>
    </w:p>
    <w:sectPr w:rsidR="0063445C" w:rsidSect="00297787">
      <w:headerReference w:type="even" r:id="rId46"/>
      <w:headerReference w:type="default" r:id="rId47"/>
      <w:footerReference w:type="default" r:id="rId48"/>
      <w:headerReference w:type="first" r:id="rId49"/>
      <w:pgSz w:w="11901" w:h="16817"/>
      <w:pgMar w:top="1440" w:right="1440" w:bottom="1440" w:left="1440" w:header="567"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56F3" w14:textId="77777777" w:rsidR="0084595E" w:rsidRDefault="0084595E" w:rsidP="000B3AE0">
      <w:r>
        <w:separator/>
      </w:r>
    </w:p>
    <w:p w14:paraId="27E1724F" w14:textId="77777777" w:rsidR="0084595E" w:rsidRDefault="0084595E" w:rsidP="000B3AE0"/>
  </w:endnote>
  <w:endnote w:type="continuationSeparator" w:id="0">
    <w:p w14:paraId="694C957F" w14:textId="77777777" w:rsidR="0084595E" w:rsidRDefault="0084595E" w:rsidP="000B3AE0">
      <w:r>
        <w:continuationSeparator/>
      </w:r>
    </w:p>
    <w:p w14:paraId="3A101B67" w14:textId="77777777" w:rsidR="0084595E" w:rsidRDefault="0084595E" w:rsidP="000B3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StarSymbol">
    <w:altName w:val="Calibri"/>
    <w:charset w:val="00"/>
    <w:family w:val="auto"/>
    <w:pitch w:val="variable"/>
    <w:sig w:usb0="00000003" w:usb1="10008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jaVu Sans">
    <w:panose1 w:val="00000000000000000000"/>
    <w:charset w:val="4D"/>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notTrueType/>
    <w:pitch w:val="variable"/>
    <w:sig w:usb0="00000003" w:usb1="00000000" w:usb2="00000000" w:usb3="00000000" w:csb0="00000003" w:csb1="00000000"/>
  </w:font>
  <w:font w:name="Times New Roman Bold">
    <w:altName w:val="Times New Roman"/>
    <w:charset w:val="00"/>
    <w:family w:val="auto"/>
    <w:pitch w:val="variable"/>
    <w:sig w:usb0="E0002AFF" w:usb1="C0007841" w:usb2="00000009" w:usb3="00000000" w:csb0="000001FF" w:csb1="00000000"/>
  </w:font>
  <w:font w:name="Liberation Sans">
    <w:altName w:val="Arial"/>
    <w:charset w:val="00"/>
    <w:family w:val="swiss"/>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oefler Text">
    <w:altName w:val="Cambria"/>
    <w:charset w:val="4D"/>
    <w:family w:val="roman"/>
    <w:pitch w:val="variable"/>
    <w:sig w:usb0="800002FF" w:usb1="5000204B" w:usb2="00000004"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CBEA" w14:textId="77777777" w:rsidR="002E1FD4" w:rsidRDefault="002E1FD4" w:rsidP="000B3AE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C2FA02F" w14:textId="77777777" w:rsidR="002E1FD4" w:rsidRDefault="002E1FD4" w:rsidP="000B3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E1FB" w14:textId="77777777" w:rsidR="002E1FD4" w:rsidRDefault="002E1FD4" w:rsidP="000B3AE0">
    <w:pPr>
      <w:pStyle w:val="Footer"/>
      <w:rPr>
        <w:rStyle w:val="PageNumber"/>
        <w:sz w:val="20"/>
      </w:rPr>
    </w:pPr>
  </w:p>
  <w:p w14:paraId="4C8E124E" w14:textId="7604D0F6" w:rsidR="002E1FD4" w:rsidRPr="0023642F" w:rsidRDefault="002E1FD4" w:rsidP="000B3AE0">
    <w:pPr>
      <w:pStyle w:val="Footer"/>
      <w:rPr>
        <w:rStyle w:val="PageNumber"/>
      </w:rPr>
    </w:pPr>
    <w:r w:rsidRPr="008B1E07">
      <w:rPr>
        <w:rStyle w:val="PageNumber"/>
        <w:sz w:val="20"/>
      </w:rPr>
      <w:t>© Incyte Consulting 20</w:t>
    </w:r>
    <w:r>
      <w:rPr>
        <w:rStyle w:val="PageNumber"/>
        <w:sz w:val="20"/>
      </w:rPr>
      <w:t>2</w:t>
    </w:r>
    <w:r w:rsidR="004C341C">
      <w:rPr>
        <w:rStyle w:val="PageNumber"/>
        <w:sz w:val="20"/>
      </w:rPr>
      <w:t>1</w:t>
    </w:r>
    <w:r>
      <w:rPr>
        <w:rStyle w:val="PageNumber"/>
      </w:rPr>
      <w:tab/>
    </w:r>
    <w:r>
      <w:rPr>
        <w:rStyle w:val="PageNumber"/>
      </w:rPr>
      <w:tab/>
    </w:r>
    <w:r w:rsidRPr="0023642F">
      <w:rPr>
        <w:rStyle w:val="PageNumber"/>
      </w:rPr>
      <w:fldChar w:fldCharType="begin"/>
    </w:r>
    <w:r w:rsidRPr="0023642F">
      <w:rPr>
        <w:rStyle w:val="PageNumber"/>
      </w:rPr>
      <w:instrText xml:space="preserve">PAGE  </w:instrText>
    </w:r>
    <w:r w:rsidRPr="0023642F">
      <w:rPr>
        <w:rStyle w:val="PageNumber"/>
      </w:rPr>
      <w:fldChar w:fldCharType="separate"/>
    </w:r>
    <w:r>
      <w:rPr>
        <w:rStyle w:val="PageNumber"/>
        <w:noProof/>
      </w:rPr>
      <w:t>2</w:t>
    </w:r>
    <w:r w:rsidRPr="0023642F">
      <w:rPr>
        <w:rStyle w:val="PageNumber"/>
      </w:rPr>
      <w:fldChar w:fldCharType="end"/>
    </w:r>
  </w:p>
  <w:p w14:paraId="0161160D" w14:textId="77777777" w:rsidR="002E1FD4" w:rsidRDefault="002E1FD4" w:rsidP="000B3AE0"/>
  <w:p w14:paraId="0497B0CA" w14:textId="77777777" w:rsidR="002E1FD4" w:rsidRDefault="002E1FD4" w:rsidP="000B3A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DFA71" w14:textId="77777777" w:rsidR="0084595E" w:rsidRDefault="0084595E" w:rsidP="000B3AE0">
      <w:r>
        <w:separator/>
      </w:r>
    </w:p>
  </w:footnote>
  <w:footnote w:type="continuationSeparator" w:id="0">
    <w:p w14:paraId="0F6E15EE" w14:textId="77777777" w:rsidR="0084595E" w:rsidRDefault="0084595E" w:rsidP="000B3AE0">
      <w:r>
        <w:continuationSeparator/>
      </w:r>
    </w:p>
    <w:p w14:paraId="0D4C151E" w14:textId="77777777" w:rsidR="0084595E" w:rsidRDefault="0084595E" w:rsidP="000B3AE0"/>
  </w:footnote>
  <w:footnote w:id="1">
    <w:p w14:paraId="5F724FF2" w14:textId="555FEE4E" w:rsidR="00A153A4" w:rsidRPr="00AE78C6" w:rsidRDefault="00A153A4" w:rsidP="00A153A4">
      <w:pPr>
        <w:pStyle w:val="FootnoteText"/>
        <w:rPr>
          <w:lang w:val="pt-PT"/>
        </w:rPr>
      </w:pPr>
      <w:r>
        <w:rPr>
          <w:rStyle w:val="FootnoteReference"/>
        </w:rPr>
        <w:footnoteRef/>
      </w:r>
      <w:r w:rsidRPr="00AE78C6">
        <w:rPr>
          <w:lang w:val="pt-PT"/>
        </w:rPr>
        <w:t xml:space="preserve"> </w:t>
      </w:r>
      <w:r>
        <w:rPr>
          <w:lang w:val="pt-PT"/>
        </w:rPr>
        <w:t>Ver em Anexo o “</w:t>
      </w:r>
      <w:r w:rsidRPr="00AE78C6">
        <w:rPr>
          <w:lang w:val="pt-PT"/>
        </w:rPr>
        <w:t>Cálculo do custo médio ponderado do capital para um operador de telefonia móvel eficiente na Guiné Bissau (ANR)</w:t>
      </w:r>
      <w:r>
        <w:rPr>
          <w:lang w:val="pt-PT"/>
        </w:rPr>
        <w:t>”</w:t>
      </w:r>
      <w:r w:rsidR="00BB2775">
        <w:rPr>
          <w:lang w:val="pt-PT"/>
        </w:rPr>
        <w:t>.</w:t>
      </w:r>
    </w:p>
  </w:footnote>
  <w:footnote w:id="2">
    <w:p w14:paraId="3F71D0C1" w14:textId="77777777" w:rsidR="00A153A4" w:rsidRPr="00AE78C6" w:rsidRDefault="00A153A4" w:rsidP="00142A4D">
      <w:pPr>
        <w:pStyle w:val="FootnoteText"/>
        <w:jc w:val="both"/>
        <w:rPr>
          <w:lang w:val="pt-PT"/>
        </w:rPr>
      </w:pPr>
      <w:r>
        <w:rPr>
          <w:rStyle w:val="FootnoteReference"/>
        </w:rPr>
        <w:footnoteRef/>
      </w:r>
      <w:r w:rsidRPr="00AE78C6">
        <w:rPr>
          <w:lang w:val="pt-PT"/>
        </w:rPr>
        <w:t xml:space="preserve"> Em geral, a abordagem mais comum adotada pelos reguladores para estimar o custo do capital próprio é o CAPM (Capital Asset Pricing Model), dado que tem uma base teórica mais clara e a sua implementação é mais simples. Este modelo postula que o custo de oportunidade dos capitais próprios é igual à taxa de remuneração que é possível obter em investimentos sem risco, acrescido de um prémio de risco. O modelo observa o risco e as taxas de retorno e compara-os ao mercado acionista na sua globalidade. O CAPM compensa um investidor pelo risco sistemático inerente ao investimento, ou seja, o risco de investir num mercado específico.</w:t>
      </w:r>
    </w:p>
  </w:footnote>
  <w:footnote w:id="3">
    <w:p w14:paraId="151E4426" w14:textId="47BA88E7" w:rsidR="0042572D" w:rsidRPr="00096661" w:rsidRDefault="0042572D" w:rsidP="0042572D">
      <w:pPr>
        <w:pStyle w:val="FootnoteText"/>
        <w:rPr>
          <w:sz w:val="18"/>
          <w:szCs w:val="18"/>
          <w:lang w:val="pt-PT"/>
        </w:rPr>
      </w:pPr>
      <w:r w:rsidRPr="00096661">
        <w:rPr>
          <w:rStyle w:val="FootnoteReference"/>
          <w:sz w:val="18"/>
          <w:szCs w:val="18"/>
        </w:rPr>
        <w:footnoteRef/>
      </w:r>
      <w:r w:rsidRPr="00096661">
        <w:rPr>
          <w:sz w:val="18"/>
          <w:szCs w:val="18"/>
          <w:lang w:val="pt-PT"/>
        </w:rPr>
        <w:t xml:space="preserve"> Havendo a necessidade de impor preços de terminação orientados para os custos, e enquanto não existir um modelo de custeio implementado</w:t>
      </w:r>
      <w:r>
        <w:rPr>
          <w:sz w:val="18"/>
          <w:szCs w:val="18"/>
          <w:lang w:val="pt-PT"/>
        </w:rPr>
        <w:t xml:space="preserve"> pelo regulador</w:t>
      </w:r>
      <w:r w:rsidRPr="00096661">
        <w:rPr>
          <w:sz w:val="18"/>
          <w:szCs w:val="18"/>
          <w:lang w:val="pt-PT"/>
        </w:rPr>
        <w:t xml:space="preserve">, </w:t>
      </w:r>
      <w:r>
        <w:rPr>
          <w:sz w:val="18"/>
          <w:szCs w:val="18"/>
          <w:lang w:val="pt-PT"/>
        </w:rPr>
        <w:t xml:space="preserve">é </w:t>
      </w:r>
      <w:r w:rsidR="00DB6C5E">
        <w:rPr>
          <w:sz w:val="18"/>
          <w:szCs w:val="18"/>
          <w:lang w:val="pt-PT"/>
        </w:rPr>
        <w:t xml:space="preserve">por vezes </w:t>
      </w:r>
      <w:r>
        <w:rPr>
          <w:sz w:val="18"/>
          <w:szCs w:val="18"/>
          <w:lang w:val="pt-PT"/>
        </w:rPr>
        <w:t>comum</w:t>
      </w:r>
      <w:r w:rsidRPr="00096661">
        <w:rPr>
          <w:sz w:val="18"/>
          <w:szCs w:val="18"/>
          <w:lang w:val="pt-PT"/>
        </w:rPr>
        <w:t xml:space="preserve"> estabelecer os preços máximos de terminação com base num benchmark internacional.</w:t>
      </w:r>
    </w:p>
  </w:footnote>
  <w:footnote w:id="4">
    <w:p w14:paraId="7F81CE67" w14:textId="217512DB" w:rsidR="00F50C2C" w:rsidRDefault="00F50C2C">
      <w:pPr>
        <w:pStyle w:val="FootnoteText"/>
        <w:rPr>
          <w:lang w:val="pt-PT"/>
        </w:rPr>
      </w:pPr>
      <w:r>
        <w:rPr>
          <w:rStyle w:val="FootnoteReference"/>
        </w:rPr>
        <w:footnoteRef/>
      </w:r>
      <w:r w:rsidRPr="00F50C2C">
        <w:rPr>
          <w:lang w:val="pt-PT"/>
        </w:rPr>
        <w:t xml:space="preserve"> </w:t>
      </w:r>
      <w:r>
        <w:rPr>
          <w:lang w:val="pt-PT"/>
        </w:rPr>
        <w:t xml:space="preserve">Disponível em: </w:t>
      </w:r>
      <w:hyperlink r:id="rId1" w:history="1">
        <w:r w:rsidRPr="00A3340C">
          <w:rPr>
            <w:rStyle w:val="Hyperlink0"/>
            <w:rFonts w:cs="Arial"/>
            <w:lang w:val="pt-PT"/>
          </w:rPr>
          <w:t>https://blog.telegeography.com/termination-rates-continue-downward-trend</w:t>
        </w:r>
      </w:hyperlink>
    </w:p>
    <w:p w14:paraId="569AFB34" w14:textId="77777777" w:rsidR="00F50C2C" w:rsidRPr="00F50C2C" w:rsidRDefault="00F50C2C">
      <w:pPr>
        <w:pStyle w:val="FootnoteText"/>
        <w:rPr>
          <w:lang w:val="pt-PT"/>
        </w:rPr>
      </w:pPr>
    </w:p>
  </w:footnote>
  <w:footnote w:id="5">
    <w:p w14:paraId="692E45E5" w14:textId="367FF9BA" w:rsidR="0045574C" w:rsidRPr="003B65AA" w:rsidRDefault="0045574C">
      <w:pPr>
        <w:pStyle w:val="FootnoteText"/>
      </w:pPr>
      <w:r>
        <w:rPr>
          <w:rStyle w:val="FootnoteReference"/>
        </w:rPr>
        <w:footnoteRef/>
      </w:r>
      <w:r w:rsidRPr="003B65AA">
        <w:t xml:space="preserve"> Id.</w:t>
      </w:r>
    </w:p>
  </w:footnote>
  <w:footnote w:id="6">
    <w:p w14:paraId="1E020405" w14:textId="3EEF8DEA" w:rsidR="00F05759" w:rsidRPr="003B65AA" w:rsidRDefault="00F05759">
      <w:pPr>
        <w:pStyle w:val="FootnoteText"/>
      </w:pPr>
      <w:r>
        <w:rPr>
          <w:rStyle w:val="FootnoteReference"/>
        </w:rPr>
        <w:footnoteRef/>
      </w:r>
      <w:r w:rsidRPr="003B65AA">
        <w:t xml:space="preserve"> </w:t>
      </w:r>
      <w:hyperlink r:id="rId2" w:history="1">
        <w:r w:rsidRPr="003B65AA">
          <w:rPr>
            <w:rStyle w:val="Hyperlink0"/>
            <w:rFonts w:cs="Arial"/>
          </w:rPr>
          <w:t>https://www.skype.com/en/international-calls/</w:t>
        </w:r>
      </w:hyperlink>
    </w:p>
    <w:p w14:paraId="5DD4C634" w14:textId="77777777" w:rsidR="00F05759" w:rsidRPr="003B65AA" w:rsidRDefault="00F05759">
      <w:pPr>
        <w:pStyle w:val="FootnoteText"/>
      </w:pPr>
    </w:p>
  </w:footnote>
  <w:footnote w:id="7">
    <w:p w14:paraId="66E36C44" w14:textId="77777777" w:rsidR="0076097D" w:rsidRPr="00DC342C" w:rsidRDefault="0076097D" w:rsidP="0076097D">
      <w:pPr>
        <w:pStyle w:val="FootnoteText"/>
        <w:rPr>
          <w:rFonts w:cs="Tahoma"/>
          <w:sz w:val="18"/>
          <w:szCs w:val="18"/>
          <w:lang w:val="pt-PT"/>
        </w:rPr>
      </w:pPr>
      <w:r w:rsidRPr="00DC342C">
        <w:rPr>
          <w:rStyle w:val="FootnoteReference"/>
          <w:rFonts w:cs="Tahoma"/>
          <w:sz w:val="18"/>
          <w:szCs w:val="18"/>
        </w:rPr>
        <w:footnoteRef/>
      </w:r>
      <w:r w:rsidRPr="00DC342C">
        <w:rPr>
          <w:rFonts w:cs="Tahoma"/>
          <w:sz w:val="18"/>
          <w:szCs w:val="18"/>
          <w:lang w:val="pt-PT"/>
        </w:rPr>
        <w:t xml:space="preserve"> Para que um investimento seja isento de risco, duas condições devem ser atendidas: não pode haver nenhum risco de não pagamento, o que geralmente implica que o título tenha que ser emitido por um governo; Não pode haver incerteza sobre as taxas de reinvestimento, o que implica que não há fluxos de caixa intermediários, como é o caso dos títulos </w:t>
      </w:r>
      <w:r>
        <w:rPr>
          <w:rFonts w:cs="Tahoma"/>
          <w:sz w:val="18"/>
          <w:szCs w:val="18"/>
          <w:lang w:val="pt-PT"/>
        </w:rPr>
        <w:t>de cupão</w:t>
      </w:r>
      <w:r w:rsidRPr="00DC342C">
        <w:rPr>
          <w:rFonts w:cs="Tahoma"/>
          <w:sz w:val="18"/>
          <w:szCs w:val="18"/>
          <w:lang w:val="pt-PT"/>
        </w:rPr>
        <w:t xml:space="preserve"> zero.</w:t>
      </w:r>
    </w:p>
  </w:footnote>
  <w:footnote w:id="8">
    <w:p w14:paraId="3DBD5F32" w14:textId="77777777" w:rsidR="0076097D" w:rsidRPr="00402991" w:rsidRDefault="0076097D" w:rsidP="0076097D">
      <w:pPr>
        <w:pStyle w:val="FootnoteText"/>
        <w:rPr>
          <w:rFonts w:cs="Tahoma"/>
          <w:sz w:val="18"/>
          <w:szCs w:val="18"/>
          <w:lang w:val="pt-PT"/>
        </w:rPr>
      </w:pPr>
      <w:r w:rsidRPr="00402991">
        <w:rPr>
          <w:rStyle w:val="FootnoteReference"/>
          <w:rFonts w:cs="Tahoma"/>
          <w:sz w:val="18"/>
          <w:szCs w:val="18"/>
        </w:rPr>
        <w:footnoteRef/>
      </w:r>
      <w:r w:rsidRPr="00402991">
        <w:rPr>
          <w:rFonts w:cs="Tahoma"/>
          <w:sz w:val="18"/>
          <w:szCs w:val="18"/>
          <w:lang w:val="pt-PT"/>
        </w:rPr>
        <w:t xml:space="preserve"> Além disso, existe a opção de um título do governo ser considerado em termos reais ou nominais. Uma vez que calculamos um CMPC nominal, um título do governo nominal deve ser usado.</w:t>
      </w:r>
    </w:p>
  </w:footnote>
  <w:footnote w:id="9">
    <w:p w14:paraId="24F9E0A0" w14:textId="77777777" w:rsidR="0076097D" w:rsidRPr="00592DB8" w:rsidRDefault="0076097D" w:rsidP="0076097D">
      <w:pPr>
        <w:pStyle w:val="FootnoteText"/>
        <w:rPr>
          <w:lang w:val="pt-PT"/>
        </w:rPr>
      </w:pPr>
      <w:r>
        <w:rPr>
          <w:rStyle w:val="FootnoteReference"/>
        </w:rPr>
        <w:footnoteRef/>
      </w:r>
      <w:r w:rsidRPr="00592DB8">
        <w:rPr>
          <w:lang w:val="pt-PT"/>
        </w:rPr>
        <w:t xml:space="preserve"> Fonte: BCEAO</w:t>
      </w:r>
    </w:p>
  </w:footnote>
  <w:footnote w:id="10">
    <w:p w14:paraId="212B1D56" w14:textId="77777777" w:rsidR="0076097D" w:rsidRPr="00B0565A" w:rsidRDefault="0076097D" w:rsidP="0076097D">
      <w:pPr>
        <w:pStyle w:val="FootnoteText"/>
        <w:rPr>
          <w:lang w:val="pt-PT"/>
        </w:rPr>
      </w:pPr>
      <w:r>
        <w:rPr>
          <w:rStyle w:val="FootnoteReference"/>
        </w:rPr>
        <w:footnoteRef/>
      </w:r>
      <w:r w:rsidRPr="00B0565A">
        <w:rPr>
          <w:lang w:val="pt-PT"/>
        </w:rPr>
        <w:t xml:space="preserve"> </w:t>
      </w:r>
      <w:r>
        <w:rPr>
          <w:lang w:val="pt-PT"/>
        </w:rPr>
        <w:t>Um país com características adequadas a poder afirmar que as suas taxas se aproximam às do investimento sem risco que é um conceito teórico, por exemplo a Alemanha (rating AAA).</w:t>
      </w:r>
    </w:p>
  </w:footnote>
  <w:footnote w:id="11">
    <w:p w14:paraId="0E114376" w14:textId="77777777" w:rsidR="0076097D" w:rsidRPr="00592DB8" w:rsidRDefault="0076097D" w:rsidP="00142A4D">
      <w:pPr>
        <w:pStyle w:val="FootnoteText"/>
        <w:jc w:val="both"/>
        <w:rPr>
          <w:lang w:val="pt-PT"/>
        </w:rPr>
      </w:pPr>
      <w:r>
        <w:rPr>
          <w:rStyle w:val="FootnoteReference"/>
        </w:rPr>
        <w:footnoteRef/>
      </w:r>
      <w:r w:rsidRPr="00592DB8">
        <w:rPr>
          <w:lang w:val="pt-PT"/>
        </w:rPr>
        <w:t xml:space="preserve"> </w:t>
      </w:r>
      <w:r>
        <w:rPr>
          <w:lang w:val="pt-PT"/>
        </w:rPr>
        <w:t>Na prática, se existissem obrigações a 10 anos na Guiné Bissau, o prémio de risco de país seria a diferença entre taxas sem risco entre a Guiné Bissau e o país de referência.</w:t>
      </w:r>
    </w:p>
  </w:footnote>
  <w:footnote w:id="12">
    <w:p w14:paraId="4755C9D4" w14:textId="77777777" w:rsidR="0076097D" w:rsidRPr="00CA613B" w:rsidRDefault="0076097D" w:rsidP="0076097D">
      <w:pPr>
        <w:pStyle w:val="FootnoteText"/>
        <w:rPr>
          <w:rFonts w:cs="Tahoma"/>
          <w:sz w:val="18"/>
          <w:szCs w:val="18"/>
          <w:lang w:val="pt-PT"/>
        </w:rPr>
      </w:pPr>
      <w:r w:rsidRPr="005D273E">
        <w:rPr>
          <w:rStyle w:val="FootnoteReference"/>
          <w:rFonts w:cs="Tahoma"/>
          <w:sz w:val="18"/>
          <w:szCs w:val="18"/>
        </w:rPr>
        <w:footnoteRef/>
      </w:r>
      <w:r w:rsidRPr="00CA613B">
        <w:rPr>
          <w:rFonts w:cs="Tahoma"/>
          <w:sz w:val="18"/>
          <w:szCs w:val="18"/>
          <w:lang w:val="pt-PT"/>
        </w:rPr>
        <w:t xml:space="preserve"> BEREC, WACC parameters Report 2020.</w:t>
      </w:r>
    </w:p>
  </w:footnote>
  <w:footnote w:id="13">
    <w:p w14:paraId="412C9A30" w14:textId="77777777" w:rsidR="0076097D" w:rsidRPr="00007DFC" w:rsidRDefault="0076097D" w:rsidP="0076097D">
      <w:pPr>
        <w:pStyle w:val="FootnoteText"/>
        <w:rPr>
          <w:rFonts w:cs="Tahoma"/>
          <w:sz w:val="18"/>
          <w:szCs w:val="18"/>
          <w:lang w:val="pt-PT"/>
        </w:rPr>
      </w:pPr>
      <w:r w:rsidRPr="005D273E">
        <w:rPr>
          <w:rStyle w:val="FootnoteReference"/>
          <w:rFonts w:cs="Tahoma"/>
          <w:sz w:val="18"/>
          <w:szCs w:val="18"/>
        </w:rPr>
        <w:footnoteRef/>
      </w:r>
      <w:r w:rsidRPr="00007DFC">
        <w:rPr>
          <w:rFonts w:cs="Tahoma"/>
          <w:sz w:val="18"/>
          <w:szCs w:val="18"/>
          <w:lang w:val="pt-PT"/>
        </w:rPr>
        <w:t xml:space="preserve"> Comissão Europeia, CE 2019/C 375/01.</w:t>
      </w:r>
    </w:p>
  </w:footnote>
  <w:footnote w:id="14">
    <w:p w14:paraId="67240AE9" w14:textId="77777777" w:rsidR="0076097D" w:rsidRPr="002140B7" w:rsidRDefault="0076097D" w:rsidP="0076097D">
      <w:pPr>
        <w:pStyle w:val="FootnoteText"/>
        <w:rPr>
          <w:lang w:val="pt-PT"/>
        </w:rPr>
      </w:pPr>
      <w:r>
        <w:rPr>
          <w:rStyle w:val="FootnoteReference"/>
        </w:rPr>
        <w:footnoteRef/>
      </w:r>
      <w:r w:rsidRPr="002140B7">
        <w:rPr>
          <w:lang w:val="pt-PT"/>
        </w:rPr>
        <w:t xml:space="preserve"> Fonte: Damodaran online</w:t>
      </w:r>
    </w:p>
  </w:footnote>
  <w:footnote w:id="15">
    <w:p w14:paraId="6CC386ED" w14:textId="77777777" w:rsidR="0076097D" w:rsidRPr="0080154E" w:rsidRDefault="0076097D" w:rsidP="0076097D">
      <w:pPr>
        <w:pStyle w:val="FootnoteText"/>
        <w:rPr>
          <w:lang w:val="pt-PT"/>
        </w:rPr>
      </w:pPr>
      <w:r>
        <w:rPr>
          <w:rStyle w:val="FootnoteReference"/>
        </w:rPr>
        <w:footnoteRef/>
      </w:r>
      <w:r w:rsidRPr="0080154E">
        <w:rPr>
          <w:lang w:val="pt-PT"/>
        </w:rPr>
        <w:t xml:space="preserve"> De acordo com um relatório do Banco de Portugal a inflação média em 2019 </w:t>
      </w:r>
      <w:r>
        <w:rPr>
          <w:lang w:val="pt-PT"/>
        </w:rPr>
        <w:t xml:space="preserve">na Guiné Bissau </w:t>
      </w:r>
      <w:r w:rsidRPr="0080154E">
        <w:rPr>
          <w:lang w:val="pt-PT"/>
        </w:rPr>
        <w:t>foi de 1%, tendo em abril de 2020 atingido um pico de 3% devido à crise pandémica, descendo posteriormente para 1,2% em junho de 2020.</w:t>
      </w:r>
    </w:p>
  </w:footnote>
  <w:footnote w:id="16">
    <w:p w14:paraId="241C1CB9" w14:textId="77777777" w:rsidR="0076097D" w:rsidRPr="00CA613B" w:rsidRDefault="0076097D" w:rsidP="0076097D">
      <w:pPr>
        <w:pStyle w:val="FootnoteText"/>
      </w:pPr>
      <w:r>
        <w:rPr>
          <w:rStyle w:val="FootnoteReference"/>
        </w:rPr>
        <w:footnoteRef/>
      </w:r>
      <w:r w:rsidRPr="00CA613B">
        <w:t xml:space="preserve"> Relatório Brattle.</w:t>
      </w:r>
      <w:bookmarkStart w:id="29" w:name="_Hlk66608275"/>
    </w:p>
    <w:bookmarkEnd w:id="29"/>
  </w:footnote>
  <w:footnote w:id="17">
    <w:p w14:paraId="6586AAF7" w14:textId="77777777" w:rsidR="0076097D" w:rsidRPr="00CA613B" w:rsidRDefault="0076097D" w:rsidP="0076097D">
      <w:pPr>
        <w:pStyle w:val="FootnoteText"/>
      </w:pPr>
      <w:r>
        <w:rPr>
          <w:rStyle w:val="FootnoteReference"/>
        </w:rPr>
        <w:footnoteRef/>
      </w:r>
      <w:r w:rsidRPr="00CA613B">
        <w:t xml:space="preserve"> Orange</w:t>
      </w:r>
    </w:p>
  </w:footnote>
  <w:footnote w:id="18">
    <w:p w14:paraId="7A59A3B0" w14:textId="77777777" w:rsidR="0076097D" w:rsidRPr="00CA613B" w:rsidRDefault="0076097D" w:rsidP="0076097D">
      <w:pPr>
        <w:pStyle w:val="FootnoteText"/>
      </w:pPr>
      <w:r>
        <w:rPr>
          <w:rStyle w:val="FootnoteReference"/>
        </w:rPr>
        <w:footnoteRef/>
      </w:r>
      <w:r w:rsidRPr="00CA613B">
        <w:t xml:space="preserve"> Damodaran online</w:t>
      </w:r>
    </w:p>
  </w:footnote>
  <w:footnote w:id="19">
    <w:p w14:paraId="5BE98E99" w14:textId="77777777" w:rsidR="0076097D" w:rsidRPr="00CA613B" w:rsidRDefault="0076097D" w:rsidP="0076097D">
      <w:pPr>
        <w:pStyle w:val="FootnoteText"/>
        <w:rPr>
          <w:sz w:val="18"/>
          <w:szCs w:val="18"/>
        </w:rPr>
      </w:pPr>
      <w:r w:rsidRPr="00743FE6">
        <w:rPr>
          <w:rStyle w:val="FootnoteReference"/>
          <w:sz w:val="18"/>
          <w:szCs w:val="18"/>
          <w:lang w:val="pt-PT"/>
        </w:rPr>
        <w:footnoteRef/>
      </w:r>
      <w:r w:rsidRPr="00CA613B">
        <w:rPr>
          <w:sz w:val="18"/>
          <w:szCs w:val="18"/>
        </w:rPr>
        <w:t xml:space="preserve"> IRG</w:t>
      </w:r>
    </w:p>
  </w:footnote>
  <w:footnote w:id="20">
    <w:p w14:paraId="2A106092" w14:textId="77777777" w:rsidR="0076097D" w:rsidRPr="002E2EAA" w:rsidRDefault="0076097D" w:rsidP="0076097D">
      <w:pPr>
        <w:pStyle w:val="FootnoteText"/>
        <w:rPr>
          <w:rFonts w:cs="Tahoma"/>
          <w:sz w:val="18"/>
          <w:szCs w:val="18"/>
        </w:rPr>
      </w:pPr>
      <w:r w:rsidRPr="002E2EAA">
        <w:rPr>
          <w:rStyle w:val="FootnoteReference"/>
          <w:rFonts w:cs="Tahoma"/>
          <w:sz w:val="18"/>
          <w:szCs w:val="18"/>
        </w:rPr>
        <w:footnoteRef/>
      </w:r>
      <w:r w:rsidRPr="002E2EAA">
        <w:rPr>
          <w:rFonts w:cs="Tahoma"/>
          <w:sz w:val="18"/>
          <w:szCs w:val="18"/>
        </w:rPr>
        <w:t xml:space="preserve"> BEREC Report Regulatory Accounting in Practice 2013, BoR (13) 110</w:t>
      </w:r>
    </w:p>
  </w:footnote>
  <w:footnote w:id="21">
    <w:p w14:paraId="51558479" w14:textId="77777777" w:rsidR="0076097D" w:rsidRPr="002E2EAA" w:rsidRDefault="0076097D" w:rsidP="0076097D">
      <w:pPr>
        <w:pStyle w:val="Default"/>
        <w:rPr>
          <w:rFonts w:ascii="Tahoma" w:eastAsia="Calibri" w:hAnsi="Tahoma" w:cs="Tahoma"/>
          <w:sz w:val="18"/>
          <w:szCs w:val="18"/>
          <w:lang w:val="en-US" w:eastAsia="en-AU"/>
        </w:rPr>
      </w:pPr>
      <w:r w:rsidRPr="002E2EAA">
        <w:rPr>
          <w:rStyle w:val="FootnoteReference"/>
          <w:rFonts w:ascii="Tahoma" w:hAnsi="Tahoma" w:cs="Tahoma"/>
          <w:sz w:val="18"/>
          <w:szCs w:val="18"/>
        </w:rPr>
        <w:footnoteRef/>
      </w:r>
      <w:r w:rsidRPr="002E2EAA">
        <w:rPr>
          <w:rFonts w:ascii="Tahoma" w:hAnsi="Tahoma" w:cs="Tahoma"/>
          <w:sz w:val="18"/>
          <w:szCs w:val="18"/>
        </w:rPr>
        <w:t xml:space="preserve"> </w:t>
      </w:r>
      <w:r w:rsidRPr="002E2EAA">
        <w:rPr>
          <w:rFonts w:ascii="Tahoma" w:eastAsia="Calibri" w:hAnsi="Tahoma" w:cs="Tahoma"/>
          <w:sz w:val="18"/>
          <w:szCs w:val="18"/>
          <w:lang w:val="en-US" w:eastAsia="en-AU"/>
        </w:rPr>
        <w:t xml:space="preserve">Annex to the </w:t>
      </w:r>
      <w:r>
        <w:rPr>
          <w:rFonts w:ascii="Tahoma" w:eastAsia="Calibri" w:hAnsi="Tahoma" w:cs="Tahoma"/>
          <w:sz w:val="18"/>
          <w:szCs w:val="18"/>
          <w:lang w:val="en-US" w:eastAsia="en-AU"/>
        </w:rPr>
        <w:t xml:space="preserve">BEREC </w:t>
      </w:r>
      <w:r w:rsidRPr="002E2EAA">
        <w:rPr>
          <w:rFonts w:ascii="Tahoma" w:eastAsia="Calibri" w:hAnsi="Tahoma" w:cs="Tahoma"/>
          <w:sz w:val="18"/>
          <w:szCs w:val="18"/>
          <w:lang w:val="en-US" w:eastAsia="en-AU"/>
        </w:rPr>
        <w:t xml:space="preserve">2013 RA Report “Cost of Capital in Europe – Cost of Capital Parameters in 27 European Countries” (Data as of 1st January 2012)  </w:t>
      </w:r>
    </w:p>
  </w:footnote>
  <w:footnote w:id="22">
    <w:p w14:paraId="58C80214" w14:textId="77777777" w:rsidR="0076097D" w:rsidRPr="005D273E" w:rsidRDefault="0076097D" w:rsidP="0076097D">
      <w:pPr>
        <w:pStyle w:val="FootnoteText"/>
        <w:rPr>
          <w:rFonts w:cs="Tahoma"/>
          <w:sz w:val="18"/>
          <w:szCs w:val="18"/>
        </w:rPr>
      </w:pPr>
      <w:r w:rsidRPr="002E2EAA">
        <w:rPr>
          <w:rStyle w:val="FootnoteReference"/>
          <w:rFonts w:cs="Tahoma"/>
          <w:sz w:val="18"/>
          <w:szCs w:val="18"/>
        </w:rPr>
        <w:footnoteRef/>
      </w:r>
      <w:r w:rsidRPr="002E2EAA">
        <w:rPr>
          <w:rFonts w:cs="Tahoma"/>
          <w:sz w:val="18"/>
          <w:szCs w:val="18"/>
        </w:rPr>
        <w:t xml:space="preserve"> Regulatory Accounting Report</w:t>
      </w:r>
      <w:r>
        <w:rPr>
          <w:rFonts w:cs="Tahoma"/>
          <w:sz w:val="18"/>
          <w:szCs w:val="18"/>
        </w:rPr>
        <w:t xml:space="preserve">, </w:t>
      </w:r>
      <w:r w:rsidRPr="002E2EAA">
        <w:rPr>
          <w:rFonts w:cs="Tahoma"/>
          <w:sz w:val="18"/>
          <w:szCs w:val="18"/>
        </w:rPr>
        <w:t>BoR (16) 159</w:t>
      </w:r>
    </w:p>
  </w:footnote>
  <w:footnote w:id="23">
    <w:p w14:paraId="0C04973B" w14:textId="77777777" w:rsidR="0076097D" w:rsidRPr="00914F93" w:rsidRDefault="0076097D" w:rsidP="0076097D">
      <w:pPr>
        <w:pStyle w:val="FootnoteText"/>
        <w:rPr>
          <w:rFonts w:cs="Tahoma"/>
          <w:sz w:val="18"/>
          <w:szCs w:val="18"/>
        </w:rPr>
      </w:pPr>
      <w:r w:rsidRPr="00914F93">
        <w:rPr>
          <w:rStyle w:val="FootnoteReference"/>
          <w:rFonts w:cs="Tahoma"/>
          <w:sz w:val="18"/>
          <w:szCs w:val="18"/>
        </w:rPr>
        <w:footnoteRef/>
      </w:r>
      <w:r w:rsidRPr="00914F93">
        <w:rPr>
          <w:rFonts w:cs="Tahoma"/>
          <w:sz w:val="18"/>
          <w:szCs w:val="18"/>
        </w:rPr>
        <w:t xml:space="preserve"> Aswath Damodaran, Stern School of Business</w:t>
      </w:r>
      <w:r>
        <w:rPr>
          <w:rFonts w:cs="Tahoma"/>
          <w:sz w:val="18"/>
          <w:szCs w:val="18"/>
        </w:rPr>
        <w:t>.</w:t>
      </w:r>
    </w:p>
  </w:footnote>
  <w:footnote w:id="24">
    <w:p w14:paraId="272A5D5F" w14:textId="77777777" w:rsidR="0076097D" w:rsidRPr="00C73D83" w:rsidRDefault="0076097D" w:rsidP="0076097D">
      <w:pPr>
        <w:pStyle w:val="FootnoteText"/>
        <w:rPr>
          <w:rFonts w:cs="Tahoma"/>
          <w:sz w:val="18"/>
          <w:szCs w:val="18"/>
        </w:rPr>
      </w:pPr>
      <w:r w:rsidRPr="00C73D83">
        <w:rPr>
          <w:rStyle w:val="FootnoteReference"/>
          <w:rFonts w:cs="Tahoma"/>
          <w:sz w:val="18"/>
          <w:szCs w:val="18"/>
        </w:rPr>
        <w:footnoteRef/>
      </w:r>
      <w:r w:rsidRPr="00C73D83">
        <w:rPr>
          <w:rFonts w:cs="Tahoma"/>
          <w:sz w:val="18"/>
          <w:szCs w:val="18"/>
        </w:rPr>
        <w:t xml:space="preserve"> BEREC Report on WACC parameter calculations</w:t>
      </w:r>
      <w:r>
        <w:rPr>
          <w:rFonts w:cs="Tahom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06E3" w14:textId="348C5F29" w:rsidR="00F83753" w:rsidRDefault="00F83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AA1C" w14:textId="082B876F" w:rsidR="00F83753" w:rsidRDefault="00F83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C15C" w14:textId="29837E2D" w:rsidR="002E1FD4" w:rsidRDefault="002E1FD4" w:rsidP="000B3AE0">
    <w:pPr>
      <w:pStyle w:val="Header"/>
    </w:pPr>
    <w:r>
      <w:rPr>
        <w:noProof/>
        <w:lang w:eastAsia="en-US"/>
      </w:rPr>
      <w:drawing>
        <wp:inline distT="0" distB="0" distL="0" distR="0" wp14:anchorId="4B41F8D7" wp14:editId="3CF434E2">
          <wp:extent cx="2130831" cy="813970"/>
          <wp:effectExtent l="0" t="0" r="317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831" cy="81397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E65A" w14:textId="12F0A52D" w:rsidR="00F83753" w:rsidRDefault="00F837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CAD7" w14:textId="34FD73AF" w:rsidR="002E1FD4" w:rsidRPr="00351041" w:rsidRDefault="002E1FD4" w:rsidP="00351041">
    <w:pPr>
      <w:pStyle w:val="Header"/>
      <w:rPr>
        <w:rStyle w:val="SubtleReference"/>
        <w:color w:val="1F497D" w:themeColor="text2"/>
        <w:sz w:val="16"/>
        <w:szCs w:val="16"/>
        <w:lang w:val="pt-PT" w:eastAsia="en-GB"/>
      </w:rPr>
    </w:pPr>
    <w:r w:rsidRPr="00351041">
      <w:rPr>
        <w:rStyle w:val="SubtleReference"/>
        <w:color w:val="1F497D" w:themeColor="text2"/>
        <w:sz w:val="16"/>
        <w:szCs w:val="16"/>
        <w:lang w:val="pt-PT" w:eastAsia="en-GB"/>
      </w:rPr>
      <w:t>Modelo de custeio de serviços de telecomunicação a grosso e retalho</w:t>
    </w:r>
  </w:p>
  <w:p w14:paraId="47F565DD" w14:textId="73BC1B20" w:rsidR="002E1FD4" w:rsidRPr="00351041" w:rsidRDefault="002E1FD4" w:rsidP="00351041">
    <w:pPr>
      <w:pStyle w:val="Header"/>
      <w:rPr>
        <w:rStyle w:val="Strong"/>
        <w:b w:val="0"/>
        <w:bCs/>
        <w:sz w:val="16"/>
        <w:szCs w:val="16"/>
        <w:lang w:val="pt-PT"/>
      </w:rPr>
    </w:pPr>
    <w:r w:rsidRPr="00351041">
      <w:rPr>
        <w:rStyle w:val="Strong"/>
        <w:b w:val="0"/>
        <w:bCs/>
        <w:sz w:val="16"/>
        <w:szCs w:val="16"/>
        <w:lang w:val="pt-PT"/>
      </w:rPr>
      <w:t xml:space="preserve">Relatório </w:t>
    </w:r>
    <w:r w:rsidR="004C341C">
      <w:rPr>
        <w:rStyle w:val="Strong"/>
        <w:b w:val="0"/>
        <w:bCs/>
        <w:sz w:val="16"/>
        <w:szCs w:val="16"/>
        <w:lang w:val="pt-PT"/>
      </w:rPr>
      <w:t>sobre modelo de custeio</w:t>
    </w:r>
    <w:r w:rsidRPr="00351041">
      <w:rPr>
        <w:rStyle w:val="Strong"/>
        <w:b w:val="0"/>
        <w:bCs/>
        <w:sz w:val="16"/>
        <w:szCs w:val="16"/>
        <w:lang w:val="pt-PT"/>
      </w:rPr>
      <w:t xml:space="preserve"> para a ARN, Guiné Bissau</w:t>
    </w:r>
  </w:p>
  <w:p w14:paraId="6AC31A82" w14:textId="77777777" w:rsidR="002E1FD4" w:rsidRPr="003B4226" w:rsidRDefault="002E1FD4" w:rsidP="000B3AE0">
    <w:pPr>
      <w:rPr>
        <w:lang w:val="pt-PT"/>
      </w:rPr>
    </w:pPr>
    <w:r w:rsidRPr="003B4226">
      <w:rPr>
        <w:rStyle w:val="Strong"/>
        <w:lang w:val="pt-PT"/>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16EF" w14:textId="08F75125" w:rsidR="00F83753" w:rsidRDefault="00F83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3BE"/>
    <w:multiLevelType w:val="hybridMultilevel"/>
    <w:tmpl w:val="5E9CEB9E"/>
    <w:name w:val="*Incyte numbering132"/>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 w15:restartNumberingAfterBreak="0">
    <w:nsid w:val="013F7475"/>
    <w:multiLevelType w:val="multilevel"/>
    <w:tmpl w:val="A5B45DD4"/>
    <w:name w:val="WW8Num28"/>
    <w:lvl w:ilvl="0">
      <w:start w:val="1"/>
      <w:numFmt w:val="upperLetter"/>
      <w:lvlText w:val="Annex %1"/>
      <w:lvlJc w:val="left"/>
      <w:pPr>
        <w:tabs>
          <w:tab w:val="num" w:pos="1582"/>
        </w:tabs>
        <w:ind w:left="1222" w:hanging="1080"/>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1.%2"/>
      <w:lvlJc w:val="left"/>
      <w:pPr>
        <w:tabs>
          <w:tab w:val="num" w:pos="1222"/>
        </w:tabs>
        <w:ind w:left="1222" w:hanging="1080"/>
      </w:pPr>
      <w:rPr>
        <w:rFonts w:hint="default"/>
      </w:rPr>
    </w:lvl>
    <w:lvl w:ilvl="2">
      <w:start w:val="1"/>
      <w:numFmt w:val="decimal"/>
      <w:lvlText w:val="%1.%2.%3"/>
      <w:lvlJc w:val="left"/>
      <w:pPr>
        <w:tabs>
          <w:tab w:val="num" w:pos="1222"/>
        </w:tabs>
        <w:ind w:left="1222" w:hanging="108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2" w15:restartNumberingAfterBreak="0">
    <w:nsid w:val="09036C09"/>
    <w:multiLevelType w:val="singleLevel"/>
    <w:tmpl w:val="8DFED432"/>
    <w:lvl w:ilvl="0">
      <w:start w:val="1"/>
      <w:numFmt w:val="bullet"/>
      <w:pStyle w:val="mtlistbullet"/>
      <w:lvlText w:val=""/>
      <w:lvlJc w:val="left"/>
      <w:pPr>
        <w:tabs>
          <w:tab w:val="num" w:pos="720"/>
        </w:tabs>
        <w:ind w:left="720" w:hanging="720"/>
      </w:pPr>
      <w:rPr>
        <w:rFonts w:ascii="Symbol" w:hAnsi="Symbol" w:hint="default"/>
      </w:rPr>
    </w:lvl>
  </w:abstractNum>
  <w:abstractNum w:abstractNumId="3" w15:restartNumberingAfterBreak="0">
    <w:nsid w:val="0D7865AA"/>
    <w:multiLevelType w:val="hybridMultilevel"/>
    <w:tmpl w:val="F2FC68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4F77E71"/>
    <w:multiLevelType w:val="hybridMultilevel"/>
    <w:tmpl w:val="0932444E"/>
    <w:name w:val="*Incyte numbering13222"/>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 w15:restartNumberingAfterBreak="0">
    <w:nsid w:val="16E213A9"/>
    <w:multiLevelType w:val="hybridMultilevel"/>
    <w:tmpl w:val="DCECE372"/>
    <w:name w:val="*Incyte numbering1322"/>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6" w15:restartNumberingAfterBreak="0">
    <w:nsid w:val="2AA94EBE"/>
    <w:multiLevelType w:val="hybridMultilevel"/>
    <w:tmpl w:val="2DC2B6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BD95867"/>
    <w:multiLevelType w:val="multilevel"/>
    <w:tmpl w:val="A5D43510"/>
    <w:name w:val="Incyte Proposal2"/>
    <w:lvl w:ilvl="0">
      <w:start w:val="1"/>
      <w:numFmt w:val="decimal"/>
      <w:suff w:val="space"/>
      <w:lvlText w:val="Chapter %1"/>
      <w:lvlJc w:val="left"/>
      <w:pPr>
        <w:ind w:left="0" w:firstLine="0"/>
      </w:pPr>
      <w:rPr>
        <w:rFonts w:hint="default"/>
      </w:rPr>
    </w:lvl>
    <w:lvl w:ilvl="1">
      <w:start w:val="1"/>
      <w:numFmt w:val="decimal"/>
      <w:suff w:val="nothing"/>
      <w:lvlText w:val="%1.%2"/>
      <w:lvlJc w:val="left"/>
      <w:pPr>
        <w:ind w:left="1134" w:hanging="1134"/>
      </w:pPr>
      <w:rPr>
        <w:rFonts w:hint="default"/>
      </w:rPr>
    </w:lvl>
    <w:lvl w:ilvl="2">
      <w:start w:val="1"/>
      <w:numFmt w:val="decimal"/>
      <w:suff w:val="nothing"/>
      <w:lvlText w:val="%1.%2.%3"/>
      <w:lvlJc w:val="left"/>
      <w:pPr>
        <w:ind w:left="1418" w:hanging="1418"/>
      </w:pPr>
      <w:rPr>
        <w:rFonts w:hint="default"/>
      </w:rPr>
    </w:lvl>
    <w:lvl w:ilvl="3">
      <w:start w:val="1"/>
      <w:numFmt w:val="none"/>
      <w:suff w:val="nothing"/>
      <w:lvlText w:val=""/>
      <w:lvlJc w:val="left"/>
      <w:pPr>
        <w:ind w:left="57" w:hanging="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DEA29BC"/>
    <w:multiLevelType w:val="hybridMultilevel"/>
    <w:tmpl w:val="68F6FDB4"/>
    <w:name w:val="BulletListTemplate"/>
    <w:lvl w:ilvl="0" w:tplc="98F2FC92">
      <w:start w:val="1"/>
      <w:numFmt w:val="bullet"/>
      <w:lvlText w:val=""/>
      <w:lvlJc w:val="left"/>
      <w:pPr>
        <w:tabs>
          <w:tab w:val="num" w:pos="644"/>
        </w:tabs>
        <w:ind w:left="568" w:hanging="284"/>
      </w:pPr>
      <w:rPr>
        <w:rFonts w:ascii="Symbol" w:hAnsi="Symbol" w:hint="default"/>
      </w:rPr>
    </w:lvl>
    <w:lvl w:ilvl="1" w:tplc="FF702724">
      <w:start w:val="1"/>
      <w:numFmt w:val="bullet"/>
      <w:lvlText w:val=""/>
      <w:lvlJc w:val="left"/>
      <w:pPr>
        <w:tabs>
          <w:tab w:val="num" w:pos="1440"/>
        </w:tabs>
        <w:ind w:left="1364" w:hanging="284"/>
      </w:pPr>
      <w:rPr>
        <w:rFonts w:ascii="Symbol" w:hAnsi="Symbol" w:hint="default"/>
      </w:rPr>
    </w:lvl>
    <w:lvl w:ilvl="2" w:tplc="D5E0880E" w:tentative="1">
      <w:start w:val="1"/>
      <w:numFmt w:val="bullet"/>
      <w:lvlText w:val=""/>
      <w:lvlJc w:val="left"/>
      <w:pPr>
        <w:tabs>
          <w:tab w:val="num" w:pos="2160"/>
        </w:tabs>
        <w:ind w:left="2160" w:hanging="360"/>
      </w:pPr>
      <w:rPr>
        <w:rFonts w:ascii="Wingdings" w:hAnsi="Wingdings" w:hint="default"/>
      </w:rPr>
    </w:lvl>
    <w:lvl w:ilvl="3" w:tplc="25849006" w:tentative="1">
      <w:start w:val="1"/>
      <w:numFmt w:val="bullet"/>
      <w:lvlText w:val=""/>
      <w:lvlJc w:val="left"/>
      <w:pPr>
        <w:tabs>
          <w:tab w:val="num" w:pos="2880"/>
        </w:tabs>
        <w:ind w:left="2880" w:hanging="360"/>
      </w:pPr>
      <w:rPr>
        <w:rFonts w:ascii="Symbol" w:hAnsi="Symbol" w:hint="default"/>
      </w:rPr>
    </w:lvl>
    <w:lvl w:ilvl="4" w:tplc="D5048B32" w:tentative="1">
      <w:start w:val="1"/>
      <w:numFmt w:val="bullet"/>
      <w:lvlText w:val="o"/>
      <w:lvlJc w:val="left"/>
      <w:pPr>
        <w:tabs>
          <w:tab w:val="num" w:pos="3600"/>
        </w:tabs>
        <w:ind w:left="3600" w:hanging="360"/>
      </w:pPr>
      <w:rPr>
        <w:rFonts w:ascii="Courier New" w:hAnsi="Courier New" w:hint="default"/>
      </w:rPr>
    </w:lvl>
    <w:lvl w:ilvl="5" w:tplc="63A405E0" w:tentative="1">
      <w:start w:val="1"/>
      <w:numFmt w:val="bullet"/>
      <w:lvlText w:val=""/>
      <w:lvlJc w:val="left"/>
      <w:pPr>
        <w:tabs>
          <w:tab w:val="num" w:pos="4320"/>
        </w:tabs>
        <w:ind w:left="4320" w:hanging="360"/>
      </w:pPr>
      <w:rPr>
        <w:rFonts w:ascii="Wingdings" w:hAnsi="Wingdings" w:hint="default"/>
      </w:rPr>
    </w:lvl>
    <w:lvl w:ilvl="6" w:tplc="A74CA5AA" w:tentative="1">
      <w:start w:val="1"/>
      <w:numFmt w:val="bullet"/>
      <w:lvlText w:val=""/>
      <w:lvlJc w:val="left"/>
      <w:pPr>
        <w:tabs>
          <w:tab w:val="num" w:pos="5040"/>
        </w:tabs>
        <w:ind w:left="5040" w:hanging="360"/>
      </w:pPr>
      <w:rPr>
        <w:rFonts w:ascii="Symbol" w:hAnsi="Symbol" w:hint="default"/>
      </w:rPr>
    </w:lvl>
    <w:lvl w:ilvl="7" w:tplc="1188E65A" w:tentative="1">
      <w:start w:val="1"/>
      <w:numFmt w:val="bullet"/>
      <w:lvlText w:val="o"/>
      <w:lvlJc w:val="left"/>
      <w:pPr>
        <w:tabs>
          <w:tab w:val="num" w:pos="5760"/>
        </w:tabs>
        <w:ind w:left="5760" w:hanging="360"/>
      </w:pPr>
      <w:rPr>
        <w:rFonts w:ascii="Courier New" w:hAnsi="Courier New" w:hint="default"/>
      </w:rPr>
    </w:lvl>
    <w:lvl w:ilvl="8" w:tplc="9AB4876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561EAA"/>
    <w:multiLevelType w:val="singleLevel"/>
    <w:tmpl w:val="FC16836C"/>
    <w:lvl w:ilvl="0">
      <w:start w:val="1"/>
      <w:numFmt w:val="bullet"/>
      <w:pStyle w:val="mtlistnoindent"/>
      <w:lvlText w:val=""/>
      <w:lvlJc w:val="left"/>
      <w:pPr>
        <w:tabs>
          <w:tab w:val="num" w:pos="432"/>
        </w:tabs>
        <w:ind w:left="360" w:hanging="288"/>
      </w:pPr>
      <w:rPr>
        <w:rFonts w:ascii="Symbol" w:hAnsi="Symbol" w:hint="default"/>
      </w:rPr>
    </w:lvl>
  </w:abstractNum>
  <w:abstractNum w:abstractNumId="10" w15:restartNumberingAfterBreak="0">
    <w:nsid w:val="3CB9471B"/>
    <w:multiLevelType w:val="hybridMultilevel"/>
    <w:tmpl w:val="285461BC"/>
    <w:name w:val="INYCTE222"/>
    <w:lvl w:ilvl="0" w:tplc="1AF809F8">
      <w:start w:val="1"/>
      <w:numFmt w:val="lowerLetter"/>
      <w:lvlText w:val="(%1)"/>
      <w:lvlJc w:val="center"/>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313601D"/>
    <w:multiLevelType w:val="multilevel"/>
    <w:tmpl w:val="35149FDC"/>
    <w:name w:val="*Incyte numbering1"/>
    <w:lvl w:ilvl="0">
      <w:start w:val="1"/>
      <w:numFmt w:val="decimal"/>
      <w:lvlText w:val="%1"/>
      <w:lvlJc w:val="left"/>
      <w:pPr>
        <w:ind w:left="432" w:hanging="432"/>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6654CFF"/>
    <w:multiLevelType w:val="multilevel"/>
    <w:tmpl w:val="9ADA48CC"/>
    <w:name w:val="Incyte Proposal"/>
    <w:lvl w:ilvl="0">
      <w:start w:val="1"/>
      <w:numFmt w:val="decimal"/>
      <w:suff w:val="space"/>
      <w:lvlText w:val="Chapter %1"/>
      <w:lvlJc w:val="left"/>
      <w:pPr>
        <w:ind w:left="0" w:firstLine="0"/>
      </w:pPr>
      <w:rPr>
        <w:rFonts w:hint="default"/>
      </w:rPr>
    </w:lvl>
    <w:lvl w:ilvl="1">
      <w:start w:val="1"/>
      <w:numFmt w:val="decimal"/>
      <w:suff w:val="nothing"/>
      <w:lvlText w:val="%1.%2"/>
      <w:lvlJc w:val="left"/>
      <w:pPr>
        <w:ind w:left="2268" w:hanging="2268"/>
      </w:pPr>
      <w:rPr>
        <w:rFonts w:hint="default"/>
      </w:rPr>
    </w:lvl>
    <w:lvl w:ilvl="2">
      <w:start w:val="1"/>
      <w:numFmt w:val="decimal"/>
      <w:suff w:val="nothing"/>
      <w:lvlText w:val="%1.%2.%3"/>
      <w:lvlJc w:val="left"/>
      <w:pPr>
        <w:ind w:left="2552" w:hanging="2552"/>
      </w:pPr>
      <w:rPr>
        <w:rFonts w:hint="default"/>
      </w:rPr>
    </w:lvl>
    <w:lvl w:ilvl="3">
      <w:start w:val="1"/>
      <w:numFmt w:val="none"/>
      <w:suff w:val="nothing"/>
      <w:lvlText w:val=""/>
      <w:lvlJc w:val="left"/>
      <w:pPr>
        <w:ind w:left="57" w:hanging="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7555734"/>
    <w:multiLevelType w:val="multilevel"/>
    <w:tmpl w:val="2996E928"/>
    <w:name w:val="INYCTE"/>
    <w:lvl w:ilvl="0">
      <w:start w:val="3"/>
      <w:numFmt w:val="decimal"/>
      <w:lvlText w:val="Chapter %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418" w:hanging="1418"/>
      </w:pPr>
      <w:rPr>
        <w:rFonts w:hint="default"/>
      </w:rPr>
    </w:lvl>
    <w:lvl w:ilvl="3">
      <w:start w:val="1"/>
      <w:numFmt w:val="none"/>
      <w:lvlRestart w:val="0"/>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8176AF2"/>
    <w:multiLevelType w:val="multilevel"/>
    <w:tmpl w:val="254E7E9A"/>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5" w15:restartNumberingAfterBreak="0">
    <w:nsid w:val="49806987"/>
    <w:multiLevelType w:val="multilevel"/>
    <w:tmpl w:val="B648883E"/>
    <w:name w:val="*Incyte numbering12"/>
    <w:lvl w:ilvl="0">
      <w:start w:val="1"/>
      <w:numFmt w:val="decimal"/>
      <w:lvlText w:val="Chapter %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Restart w:val="0"/>
      <w:lvlText w:val="%1.%2.%3"/>
      <w:lvlJc w:val="left"/>
      <w:pPr>
        <w:ind w:left="1418" w:hanging="1418"/>
      </w:pPr>
      <w:rPr>
        <w:rFonts w:hint="default"/>
      </w:rPr>
    </w:lvl>
    <w:lvl w:ilvl="3">
      <w:start w:val="1"/>
      <w:numFmt w:val="none"/>
      <w:lvlRestart w:val="0"/>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A9C0C68"/>
    <w:multiLevelType w:val="hybridMultilevel"/>
    <w:tmpl w:val="CC206554"/>
    <w:lvl w:ilvl="0" w:tplc="08160001">
      <w:start w:val="1"/>
      <w:numFmt w:val="bullet"/>
      <w:lvlText w:val=""/>
      <w:lvlJc w:val="left"/>
      <w:pPr>
        <w:ind w:left="786" w:hanging="360"/>
      </w:pPr>
      <w:rPr>
        <w:rFonts w:ascii="Symbol" w:hAnsi="Symbol"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17" w15:restartNumberingAfterBreak="0">
    <w:nsid w:val="50AD3163"/>
    <w:multiLevelType w:val="hybridMultilevel"/>
    <w:tmpl w:val="AD7601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53AA603B"/>
    <w:multiLevelType w:val="singleLevel"/>
    <w:tmpl w:val="4D9E11AA"/>
    <w:name w:val="HeadingListTemplate"/>
    <w:lvl w:ilvl="0">
      <w:start w:val="1"/>
      <w:numFmt w:val="bullet"/>
      <w:lvlText w:val=""/>
      <w:lvlJc w:val="left"/>
      <w:pPr>
        <w:tabs>
          <w:tab w:val="num" w:pos="216"/>
        </w:tabs>
        <w:ind w:left="216" w:hanging="216"/>
      </w:pPr>
      <w:rPr>
        <w:rFonts w:ascii="Symbol" w:hAnsi="Symbol" w:hint="default"/>
        <w:sz w:val="12"/>
      </w:rPr>
    </w:lvl>
  </w:abstractNum>
  <w:abstractNum w:abstractNumId="19" w15:restartNumberingAfterBreak="0">
    <w:nsid w:val="55404D7C"/>
    <w:multiLevelType w:val="hybridMultilevel"/>
    <w:tmpl w:val="B94C2C2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558511EF"/>
    <w:multiLevelType w:val="hybridMultilevel"/>
    <w:tmpl w:val="ADCE269E"/>
    <w:lvl w:ilvl="0" w:tplc="AE187C0E">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5C027BDB"/>
    <w:multiLevelType w:val="hybridMultilevel"/>
    <w:tmpl w:val="FCB0A33A"/>
    <w:lvl w:ilvl="0" w:tplc="3C18B8CC">
      <w:start w:val="1"/>
      <w:numFmt w:val="bullet"/>
      <w:pStyle w:val="Hyperlink"/>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F5807A3"/>
    <w:multiLevelType w:val="hybridMultilevel"/>
    <w:tmpl w:val="3956F5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61A5444A"/>
    <w:multiLevelType w:val="hybridMultilevel"/>
    <w:tmpl w:val="02D4E20C"/>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4" w15:restartNumberingAfterBreak="0">
    <w:nsid w:val="622916A8"/>
    <w:multiLevelType w:val="multilevel"/>
    <w:tmpl w:val="701C4A38"/>
    <w:name w:val="INYCTE22"/>
    <w:lvl w:ilvl="0">
      <w:start w:val="1"/>
      <w:numFmt w:val="decimal"/>
      <w:lvlText w:val="Chapter %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418" w:hanging="1418"/>
      </w:pPr>
      <w:rPr>
        <w:rFonts w:hint="default"/>
      </w:rPr>
    </w:lvl>
    <w:lvl w:ilvl="3">
      <w:start w:val="1"/>
      <w:numFmt w:val="none"/>
      <w:lvlRestart w:val="0"/>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4305A2F"/>
    <w:multiLevelType w:val="multilevel"/>
    <w:tmpl w:val="5ED208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AA63FDA"/>
    <w:multiLevelType w:val="singleLevel"/>
    <w:tmpl w:val="91DC1046"/>
    <w:name w:val="INYCTE2"/>
    <w:lvl w:ilvl="0">
      <w:start w:val="1"/>
      <w:numFmt w:val="bullet"/>
      <w:pStyle w:val="List1"/>
      <w:lvlText w:val="-"/>
      <w:lvlJc w:val="left"/>
      <w:pPr>
        <w:tabs>
          <w:tab w:val="num" w:pos="360"/>
        </w:tabs>
        <w:ind w:left="360" w:hanging="360"/>
      </w:pPr>
      <w:rPr>
        <w:rFonts w:ascii="Book Antiqua" w:hAnsi="Arial Rounded MT Bold" w:hint="default"/>
      </w:rPr>
    </w:lvl>
  </w:abstractNum>
  <w:abstractNum w:abstractNumId="27" w15:restartNumberingAfterBreak="0">
    <w:nsid w:val="6B3D5CC0"/>
    <w:multiLevelType w:val="multilevel"/>
    <w:tmpl w:val="34FE5C7C"/>
    <w:name w:val="Incyte Proposal1"/>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Restart w:val="0"/>
      <w:lvlText w:val="%1.%2.%3"/>
      <w:lvlJc w:val="left"/>
      <w:pPr>
        <w:ind w:left="1418" w:hanging="1418"/>
      </w:pPr>
      <w:rPr>
        <w:rFonts w:hint="default"/>
      </w:rPr>
    </w:lvl>
    <w:lvl w:ilvl="3">
      <w:start w:val="1"/>
      <w:numFmt w:val="none"/>
      <w:lvlRestart w:val="0"/>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C084EFD"/>
    <w:multiLevelType w:val="singleLevel"/>
    <w:tmpl w:val="C8D4F51C"/>
    <w:name w:val="*Incyte numbering2"/>
    <w:lvl w:ilvl="0">
      <w:start w:val="1"/>
      <w:numFmt w:val="bullet"/>
      <w:pStyle w:val="Style1"/>
      <w:lvlText w:val=""/>
      <w:lvlJc w:val="left"/>
      <w:pPr>
        <w:tabs>
          <w:tab w:val="num" w:pos="360"/>
        </w:tabs>
        <w:ind w:left="357" w:hanging="357"/>
      </w:pPr>
      <w:rPr>
        <w:rFonts w:ascii="Symbol" w:hAnsi="Symbol" w:hint="default"/>
        <w:sz w:val="24"/>
      </w:rPr>
    </w:lvl>
  </w:abstractNum>
  <w:abstractNum w:abstractNumId="29" w15:restartNumberingAfterBreak="0">
    <w:nsid w:val="6FA73C03"/>
    <w:multiLevelType w:val="singleLevel"/>
    <w:tmpl w:val="430A6622"/>
    <w:lvl w:ilvl="0">
      <w:start w:val="1"/>
      <w:numFmt w:val="bullet"/>
      <w:pStyle w:val="TableText"/>
      <w:lvlText w:val=""/>
      <w:lvlJc w:val="left"/>
      <w:pPr>
        <w:tabs>
          <w:tab w:val="num" w:pos="360"/>
        </w:tabs>
        <w:ind w:left="360" w:hanging="360"/>
      </w:pPr>
      <w:rPr>
        <w:rFonts w:ascii="Symbol" w:hAnsi="Symbol" w:hint="default"/>
      </w:rPr>
    </w:lvl>
  </w:abstractNum>
  <w:abstractNum w:abstractNumId="30" w15:restartNumberingAfterBreak="0">
    <w:nsid w:val="723C47B9"/>
    <w:multiLevelType w:val="hybridMultilevel"/>
    <w:tmpl w:val="99C80B8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76CF2DF9"/>
    <w:multiLevelType w:val="hybridMultilevel"/>
    <w:tmpl w:val="E1CE3BE0"/>
    <w:name w:val="*Incyte numbering1"/>
    <w:lvl w:ilvl="0" w:tplc="5162B760">
      <w:start w:val="1"/>
      <w:numFmt w:val="bullet"/>
      <w:lvlText w:val=""/>
      <w:lvlJc w:val="left"/>
      <w:pPr>
        <w:ind w:left="530" w:hanging="360"/>
      </w:pPr>
      <w:rPr>
        <w:rFonts w:ascii="Symbol" w:hAnsi="Symbol" w:hint="default"/>
      </w:rPr>
    </w:lvl>
    <w:lvl w:ilvl="1" w:tplc="90E4E10A" w:tentative="1">
      <w:start w:val="1"/>
      <w:numFmt w:val="bullet"/>
      <w:lvlText w:val="o"/>
      <w:lvlJc w:val="left"/>
      <w:pPr>
        <w:ind w:left="1250" w:hanging="360"/>
      </w:pPr>
      <w:rPr>
        <w:rFonts w:ascii="Courier New" w:hAnsi="Courier New" w:cs="Courier New" w:hint="default"/>
      </w:rPr>
    </w:lvl>
    <w:lvl w:ilvl="2" w:tplc="D00C0C04" w:tentative="1">
      <w:start w:val="1"/>
      <w:numFmt w:val="bullet"/>
      <w:lvlText w:val=""/>
      <w:lvlJc w:val="left"/>
      <w:pPr>
        <w:ind w:left="1970" w:hanging="360"/>
      </w:pPr>
      <w:rPr>
        <w:rFonts w:ascii="Wingdings" w:hAnsi="Wingdings" w:hint="default"/>
      </w:rPr>
    </w:lvl>
    <w:lvl w:ilvl="3" w:tplc="759C4C62" w:tentative="1">
      <w:start w:val="1"/>
      <w:numFmt w:val="bullet"/>
      <w:lvlText w:val=""/>
      <w:lvlJc w:val="left"/>
      <w:pPr>
        <w:ind w:left="2690" w:hanging="360"/>
      </w:pPr>
      <w:rPr>
        <w:rFonts w:ascii="Symbol" w:hAnsi="Symbol" w:hint="default"/>
      </w:rPr>
    </w:lvl>
    <w:lvl w:ilvl="4" w:tplc="C28055B8" w:tentative="1">
      <w:start w:val="1"/>
      <w:numFmt w:val="bullet"/>
      <w:lvlText w:val="o"/>
      <w:lvlJc w:val="left"/>
      <w:pPr>
        <w:ind w:left="3410" w:hanging="360"/>
      </w:pPr>
      <w:rPr>
        <w:rFonts w:ascii="Courier New" w:hAnsi="Courier New" w:cs="Courier New" w:hint="default"/>
      </w:rPr>
    </w:lvl>
    <w:lvl w:ilvl="5" w:tplc="C8DC55E4" w:tentative="1">
      <w:start w:val="1"/>
      <w:numFmt w:val="bullet"/>
      <w:lvlText w:val=""/>
      <w:lvlJc w:val="left"/>
      <w:pPr>
        <w:ind w:left="4130" w:hanging="360"/>
      </w:pPr>
      <w:rPr>
        <w:rFonts w:ascii="Wingdings" w:hAnsi="Wingdings" w:hint="default"/>
      </w:rPr>
    </w:lvl>
    <w:lvl w:ilvl="6" w:tplc="6FCC654A" w:tentative="1">
      <w:start w:val="1"/>
      <w:numFmt w:val="bullet"/>
      <w:lvlText w:val=""/>
      <w:lvlJc w:val="left"/>
      <w:pPr>
        <w:ind w:left="4850" w:hanging="360"/>
      </w:pPr>
      <w:rPr>
        <w:rFonts w:ascii="Symbol" w:hAnsi="Symbol" w:hint="default"/>
      </w:rPr>
    </w:lvl>
    <w:lvl w:ilvl="7" w:tplc="4AEC9BC4" w:tentative="1">
      <w:start w:val="1"/>
      <w:numFmt w:val="bullet"/>
      <w:lvlText w:val="o"/>
      <w:lvlJc w:val="left"/>
      <w:pPr>
        <w:ind w:left="5570" w:hanging="360"/>
      </w:pPr>
      <w:rPr>
        <w:rFonts w:ascii="Courier New" w:hAnsi="Courier New" w:cs="Courier New" w:hint="default"/>
      </w:rPr>
    </w:lvl>
    <w:lvl w:ilvl="8" w:tplc="46B4E5C2" w:tentative="1">
      <w:start w:val="1"/>
      <w:numFmt w:val="bullet"/>
      <w:lvlText w:val=""/>
      <w:lvlJc w:val="left"/>
      <w:pPr>
        <w:ind w:left="6290" w:hanging="360"/>
      </w:pPr>
      <w:rPr>
        <w:rFonts w:ascii="Wingdings" w:hAnsi="Wingdings" w:hint="default"/>
      </w:rPr>
    </w:lvl>
  </w:abstractNum>
  <w:abstractNum w:abstractNumId="32" w15:restartNumberingAfterBreak="0">
    <w:nsid w:val="77E97C1D"/>
    <w:multiLevelType w:val="multilevel"/>
    <w:tmpl w:val="96826C2E"/>
    <w:name w:val="*Incyte numbering1"/>
    <w:lvl w:ilvl="0">
      <w:start w:val="1"/>
      <w:numFmt w:val="decimal"/>
      <w:lvlText w:val="Chapter %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418" w:hanging="1418"/>
      </w:pPr>
      <w:rPr>
        <w:rFonts w:hint="default"/>
      </w:rPr>
    </w:lvl>
    <w:lvl w:ilvl="3">
      <w:start w:val="1"/>
      <w:numFmt w:val="none"/>
      <w:lvlRestart w:val="0"/>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798A6830"/>
    <w:multiLevelType w:val="multilevel"/>
    <w:tmpl w:val="0BF07AD2"/>
    <w:name w:val="INYCTE"/>
    <w:lvl w:ilvl="0">
      <w:start w:val="1"/>
      <w:numFmt w:val="decimal"/>
      <w:lvlText w:val="%1"/>
      <w:lvlJc w:val="left"/>
      <w:pPr>
        <w:ind w:left="432" w:hanging="432"/>
      </w:pPr>
      <w:rPr>
        <w:rFonts w:hint="default"/>
      </w:rPr>
    </w:lvl>
    <w:lvl w:ilvl="1">
      <w:start w:val="1"/>
      <w:numFmt w:val="decimal"/>
      <w:lvlText w:val="%1.%2"/>
      <w:lvlJc w:val="left"/>
      <w:pPr>
        <w:ind w:left="851" w:hanging="851"/>
      </w:pPr>
      <w:rPr>
        <w:rFonts w:asciiTheme="minorHAnsi" w:hAnsiTheme="minorHAnsi" w:cs="Times New Roman" w:hint="default"/>
        <w:b/>
        <w:bCs w:val="0"/>
        <w:i w:val="0"/>
        <w:iCs w:val="0"/>
        <w:caps w:val="0"/>
        <w:smallCaps w:val="0"/>
        <w:strike w:val="0"/>
        <w:dstrike w:val="0"/>
        <w:noProof w:val="0"/>
        <w:vanish w:val="0"/>
        <w:color w:val="002D62" w:themeColor="accent1"/>
        <w:spacing w:val="0"/>
        <w:kern w:val="0"/>
        <w:position w:val="0"/>
        <w:u w:val="none"/>
        <w:vertAlign w:val="baseline"/>
        <w:em w:val="none"/>
      </w:rPr>
    </w:lvl>
    <w:lvl w:ilvl="2">
      <w:start w:val="1"/>
      <w:numFmt w:val="decimal"/>
      <w:lvlText w:val="%1.%2.%3"/>
      <w:lvlJc w:val="left"/>
      <w:pPr>
        <w:ind w:left="1134" w:hanging="1134"/>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34" w15:restartNumberingAfterBreak="0">
    <w:nsid w:val="79FF6FD5"/>
    <w:multiLevelType w:val="hybridMultilevel"/>
    <w:tmpl w:val="939E8C58"/>
    <w:lvl w:ilvl="0" w:tplc="03983B90">
      <w:start w:val="1"/>
      <w:numFmt w:val="bullet"/>
      <w:pStyle w:val="IncyteBullets"/>
      <w:lvlText w:val=""/>
      <w:lvlJc w:val="left"/>
      <w:pPr>
        <w:ind w:left="1069" w:hanging="360"/>
      </w:pPr>
      <w:rPr>
        <w:rFonts w:ascii="Symbol" w:hAnsi="Symbol" w:hint="default"/>
        <w:color w:val="FF0000"/>
        <w:sz w:val="24"/>
        <w:szCs w:val="24"/>
      </w:rPr>
    </w:lvl>
    <w:lvl w:ilvl="1" w:tplc="6C3CC456">
      <w:start w:val="1"/>
      <w:numFmt w:val="bullet"/>
      <w:lvlText w:val="o"/>
      <w:lvlJc w:val="left"/>
      <w:pPr>
        <w:ind w:left="1250" w:hanging="360"/>
      </w:pPr>
      <w:rPr>
        <w:rFonts w:ascii="Courier New" w:hAnsi="Courier New" w:cs="Courier New" w:hint="default"/>
      </w:rPr>
    </w:lvl>
    <w:lvl w:ilvl="2" w:tplc="617076C0">
      <w:start w:val="1"/>
      <w:numFmt w:val="bullet"/>
      <w:lvlText w:val=""/>
      <w:lvlJc w:val="left"/>
      <w:pPr>
        <w:ind w:left="1970" w:hanging="360"/>
      </w:pPr>
      <w:rPr>
        <w:rFonts w:ascii="Wingdings" w:hAnsi="Wingdings" w:hint="default"/>
      </w:rPr>
    </w:lvl>
    <w:lvl w:ilvl="3" w:tplc="0C090001">
      <w:start w:val="1"/>
      <w:numFmt w:val="bullet"/>
      <w:lvlText w:val=""/>
      <w:lvlJc w:val="left"/>
      <w:pPr>
        <w:ind w:left="2690" w:hanging="360"/>
      </w:pPr>
      <w:rPr>
        <w:rFonts w:ascii="Symbol" w:hAnsi="Symbol" w:hint="default"/>
      </w:rPr>
    </w:lvl>
    <w:lvl w:ilvl="4" w:tplc="0C090003">
      <w:start w:val="1"/>
      <w:numFmt w:val="bullet"/>
      <w:lvlText w:val="o"/>
      <w:lvlJc w:val="left"/>
      <w:pPr>
        <w:ind w:left="3410" w:hanging="360"/>
      </w:pPr>
      <w:rPr>
        <w:rFonts w:ascii="Courier New" w:hAnsi="Courier New" w:cs="Courier New" w:hint="default"/>
      </w:rPr>
    </w:lvl>
    <w:lvl w:ilvl="5" w:tplc="0C090005">
      <w:start w:val="1"/>
      <w:numFmt w:val="bullet"/>
      <w:lvlText w:val=""/>
      <w:lvlJc w:val="left"/>
      <w:pPr>
        <w:ind w:left="4130" w:hanging="360"/>
      </w:pPr>
      <w:rPr>
        <w:rFonts w:ascii="Wingdings" w:hAnsi="Wingdings" w:hint="default"/>
      </w:rPr>
    </w:lvl>
    <w:lvl w:ilvl="6" w:tplc="0C09000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5" w15:restartNumberingAfterBreak="0">
    <w:nsid w:val="7EC10CC3"/>
    <w:multiLevelType w:val="hybridMultilevel"/>
    <w:tmpl w:val="93AE07DC"/>
    <w:name w:val="*Incyte numbering1"/>
    <w:lvl w:ilvl="0" w:tplc="D28A8F10">
      <w:start w:val="1"/>
      <w:numFmt w:val="lowerLetter"/>
      <w:lvlText w:val="%1."/>
      <w:lvlJc w:val="left"/>
      <w:pPr>
        <w:ind w:left="360" w:hanging="360"/>
      </w:pPr>
      <w:rPr>
        <w:rFonts w:hint="default"/>
        <w:color w:val="EF3C39"/>
      </w:rPr>
    </w:lvl>
    <w:lvl w:ilvl="1" w:tplc="E0F0F932" w:tentative="1">
      <w:start w:val="1"/>
      <w:numFmt w:val="bullet"/>
      <w:lvlText w:val="o"/>
      <w:lvlJc w:val="left"/>
      <w:pPr>
        <w:ind w:left="1080" w:hanging="360"/>
      </w:pPr>
      <w:rPr>
        <w:rFonts w:ascii="Courier New" w:hAnsi="Courier New" w:cs="Courier New" w:hint="default"/>
      </w:rPr>
    </w:lvl>
    <w:lvl w:ilvl="2" w:tplc="AC7CC104" w:tentative="1">
      <w:start w:val="1"/>
      <w:numFmt w:val="bullet"/>
      <w:lvlText w:val=""/>
      <w:lvlJc w:val="left"/>
      <w:pPr>
        <w:ind w:left="1800" w:hanging="360"/>
      </w:pPr>
      <w:rPr>
        <w:rFonts w:ascii="Wingdings" w:hAnsi="Wingdings" w:hint="default"/>
      </w:rPr>
    </w:lvl>
    <w:lvl w:ilvl="3" w:tplc="63CAC924" w:tentative="1">
      <w:start w:val="1"/>
      <w:numFmt w:val="bullet"/>
      <w:lvlText w:val=""/>
      <w:lvlJc w:val="left"/>
      <w:pPr>
        <w:ind w:left="2520" w:hanging="360"/>
      </w:pPr>
      <w:rPr>
        <w:rFonts w:ascii="Symbol" w:hAnsi="Symbol" w:hint="default"/>
      </w:rPr>
    </w:lvl>
    <w:lvl w:ilvl="4" w:tplc="F83CC9DA" w:tentative="1">
      <w:start w:val="1"/>
      <w:numFmt w:val="bullet"/>
      <w:lvlText w:val="o"/>
      <w:lvlJc w:val="left"/>
      <w:pPr>
        <w:ind w:left="3240" w:hanging="360"/>
      </w:pPr>
      <w:rPr>
        <w:rFonts w:ascii="Courier New" w:hAnsi="Courier New" w:cs="Courier New" w:hint="default"/>
      </w:rPr>
    </w:lvl>
    <w:lvl w:ilvl="5" w:tplc="5664C46E" w:tentative="1">
      <w:start w:val="1"/>
      <w:numFmt w:val="bullet"/>
      <w:lvlText w:val=""/>
      <w:lvlJc w:val="left"/>
      <w:pPr>
        <w:ind w:left="3960" w:hanging="360"/>
      </w:pPr>
      <w:rPr>
        <w:rFonts w:ascii="Wingdings" w:hAnsi="Wingdings" w:hint="default"/>
      </w:rPr>
    </w:lvl>
    <w:lvl w:ilvl="6" w:tplc="3DB47478" w:tentative="1">
      <w:start w:val="1"/>
      <w:numFmt w:val="bullet"/>
      <w:lvlText w:val=""/>
      <w:lvlJc w:val="left"/>
      <w:pPr>
        <w:ind w:left="4680" w:hanging="360"/>
      </w:pPr>
      <w:rPr>
        <w:rFonts w:ascii="Symbol" w:hAnsi="Symbol" w:hint="default"/>
      </w:rPr>
    </w:lvl>
    <w:lvl w:ilvl="7" w:tplc="7D6E7F26" w:tentative="1">
      <w:start w:val="1"/>
      <w:numFmt w:val="bullet"/>
      <w:lvlText w:val="o"/>
      <w:lvlJc w:val="left"/>
      <w:pPr>
        <w:ind w:left="5400" w:hanging="360"/>
      </w:pPr>
      <w:rPr>
        <w:rFonts w:ascii="Courier New" w:hAnsi="Courier New" w:cs="Courier New" w:hint="default"/>
      </w:rPr>
    </w:lvl>
    <w:lvl w:ilvl="8" w:tplc="7A14AE90" w:tentative="1">
      <w:start w:val="1"/>
      <w:numFmt w:val="bullet"/>
      <w:lvlText w:val=""/>
      <w:lvlJc w:val="left"/>
      <w:pPr>
        <w:ind w:left="6120" w:hanging="360"/>
      </w:pPr>
      <w:rPr>
        <w:rFonts w:ascii="Wingdings" w:hAnsi="Wingdings" w:hint="default"/>
      </w:rPr>
    </w:lvl>
  </w:abstractNum>
  <w:abstractNum w:abstractNumId="36" w15:restartNumberingAfterBreak="0">
    <w:nsid w:val="7ED7641B"/>
    <w:multiLevelType w:val="hybridMultilevel"/>
    <w:tmpl w:val="1B201510"/>
    <w:lvl w:ilvl="0" w:tplc="63866552">
      <w:start w:val="1"/>
      <w:numFmt w:val="bullet"/>
      <w:pStyle w:val="Subtitle"/>
      <w:lvlText w:val=""/>
      <w:lvlJc w:val="left"/>
      <w:pPr>
        <w:ind w:left="1250" w:hanging="360"/>
      </w:pPr>
      <w:rPr>
        <w:rFonts w:ascii="Symbol" w:hAnsi="Symbol" w:hint="default"/>
        <w:color w:val="456E7F" w:themeColor="accent2"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9"/>
  </w:num>
  <w:num w:numId="4">
    <w:abstractNumId w:val="29"/>
  </w:num>
  <w:num w:numId="5">
    <w:abstractNumId w:val="2"/>
  </w:num>
  <w:num w:numId="6">
    <w:abstractNumId w:val="21"/>
  </w:num>
  <w:num w:numId="7">
    <w:abstractNumId w:val="25"/>
  </w:num>
  <w:num w:numId="8">
    <w:abstractNumId w:val="34"/>
  </w:num>
  <w:num w:numId="9">
    <w:abstractNumId w:val="36"/>
  </w:num>
  <w:num w:numId="10">
    <w:abstractNumId w:val="23"/>
  </w:num>
  <w:num w:numId="11">
    <w:abstractNumId w:val="16"/>
  </w:num>
  <w:num w:numId="12">
    <w:abstractNumId w:val="14"/>
  </w:num>
  <w:num w:numId="13">
    <w:abstractNumId w:val="17"/>
  </w:num>
  <w:num w:numId="14">
    <w:abstractNumId w:val="3"/>
  </w:num>
  <w:num w:numId="15">
    <w:abstractNumId w:val="22"/>
  </w:num>
  <w:num w:numId="16">
    <w:abstractNumId w:val="6"/>
  </w:num>
  <w:num w:numId="17">
    <w:abstractNumId w:val="19"/>
  </w:num>
  <w:num w:numId="18">
    <w:abstractNumId w:val="30"/>
  </w:num>
  <w:num w:numId="19">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fr-FR" w:vendorID="64" w:dllVersion="6" w:nlCheck="1" w:checkStyle="1"/>
  <w:activeWritingStyle w:appName="MSWord" w:lang="en-CA" w:vendorID="64" w:dllVersion="6" w:nlCheck="1" w:checkStyle="1"/>
  <w:activeWritingStyle w:appName="MSWord" w:lang="en-ZA"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pt-PT" w:vendorID="64" w:dllVersion="4096" w:nlCheck="1" w:checkStyle="0"/>
  <w:activeWritingStyle w:appName="MSWord" w:lang="en-AU" w:vendorID="64" w:dllVersion="4096" w:nlCheck="1" w:checkStyle="0"/>
  <w:activeWritingStyle w:appName="MSWord" w:lang="en-CA"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pt-PT"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2" w:dllVersion="6" w:checkStyle="1"/>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5E"/>
    <w:rsid w:val="00000A5C"/>
    <w:rsid w:val="00000B6A"/>
    <w:rsid w:val="00001376"/>
    <w:rsid w:val="000015DC"/>
    <w:rsid w:val="000023C1"/>
    <w:rsid w:val="000024BC"/>
    <w:rsid w:val="00002B4B"/>
    <w:rsid w:val="00003607"/>
    <w:rsid w:val="000037AD"/>
    <w:rsid w:val="00003D46"/>
    <w:rsid w:val="00004015"/>
    <w:rsid w:val="00004385"/>
    <w:rsid w:val="0000484F"/>
    <w:rsid w:val="0000486F"/>
    <w:rsid w:val="000054C4"/>
    <w:rsid w:val="000060F8"/>
    <w:rsid w:val="00006340"/>
    <w:rsid w:val="00006696"/>
    <w:rsid w:val="0000783F"/>
    <w:rsid w:val="00007AB0"/>
    <w:rsid w:val="00010429"/>
    <w:rsid w:val="00010ABC"/>
    <w:rsid w:val="0001188C"/>
    <w:rsid w:val="00011C26"/>
    <w:rsid w:val="000124C9"/>
    <w:rsid w:val="00012C0C"/>
    <w:rsid w:val="000134BD"/>
    <w:rsid w:val="000136C4"/>
    <w:rsid w:val="00013B85"/>
    <w:rsid w:val="00013CB7"/>
    <w:rsid w:val="00014EC9"/>
    <w:rsid w:val="00014F96"/>
    <w:rsid w:val="000151F6"/>
    <w:rsid w:val="0001619B"/>
    <w:rsid w:val="000162B9"/>
    <w:rsid w:val="000164FD"/>
    <w:rsid w:val="00016C1E"/>
    <w:rsid w:val="00016F15"/>
    <w:rsid w:val="00017D73"/>
    <w:rsid w:val="0002275F"/>
    <w:rsid w:val="00024617"/>
    <w:rsid w:val="0002488B"/>
    <w:rsid w:val="0002496A"/>
    <w:rsid w:val="000256B8"/>
    <w:rsid w:val="00025C8C"/>
    <w:rsid w:val="00025D1B"/>
    <w:rsid w:val="00025E32"/>
    <w:rsid w:val="00026DFE"/>
    <w:rsid w:val="000272A2"/>
    <w:rsid w:val="000276A3"/>
    <w:rsid w:val="00027922"/>
    <w:rsid w:val="00027C02"/>
    <w:rsid w:val="0003085F"/>
    <w:rsid w:val="00030BFE"/>
    <w:rsid w:val="000314C6"/>
    <w:rsid w:val="00031B27"/>
    <w:rsid w:val="00031CA8"/>
    <w:rsid w:val="00031D5E"/>
    <w:rsid w:val="00032413"/>
    <w:rsid w:val="00033025"/>
    <w:rsid w:val="00033995"/>
    <w:rsid w:val="00033B2E"/>
    <w:rsid w:val="00033C2A"/>
    <w:rsid w:val="00033E04"/>
    <w:rsid w:val="00033E2D"/>
    <w:rsid w:val="00034031"/>
    <w:rsid w:val="00034716"/>
    <w:rsid w:val="0003563A"/>
    <w:rsid w:val="000360BD"/>
    <w:rsid w:val="00037B2E"/>
    <w:rsid w:val="00037FA0"/>
    <w:rsid w:val="00040C26"/>
    <w:rsid w:val="0004118F"/>
    <w:rsid w:val="000418A1"/>
    <w:rsid w:val="00041BF9"/>
    <w:rsid w:val="0004318E"/>
    <w:rsid w:val="000446B0"/>
    <w:rsid w:val="00045982"/>
    <w:rsid w:val="00045CEF"/>
    <w:rsid w:val="0004671F"/>
    <w:rsid w:val="00046AB6"/>
    <w:rsid w:val="0004756B"/>
    <w:rsid w:val="000477FC"/>
    <w:rsid w:val="00047E50"/>
    <w:rsid w:val="00047F33"/>
    <w:rsid w:val="0005110F"/>
    <w:rsid w:val="00051A0F"/>
    <w:rsid w:val="00051F2A"/>
    <w:rsid w:val="00052064"/>
    <w:rsid w:val="00052300"/>
    <w:rsid w:val="0005235E"/>
    <w:rsid w:val="00052942"/>
    <w:rsid w:val="00052B46"/>
    <w:rsid w:val="000533B3"/>
    <w:rsid w:val="000536A5"/>
    <w:rsid w:val="000540E2"/>
    <w:rsid w:val="00054174"/>
    <w:rsid w:val="000546AE"/>
    <w:rsid w:val="00054EFD"/>
    <w:rsid w:val="00055155"/>
    <w:rsid w:val="00055C06"/>
    <w:rsid w:val="000563F3"/>
    <w:rsid w:val="00056446"/>
    <w:rsid w:val="00056E4E"/>
    <w:rsid w:val="00057095"/>
    <w:rsid w:val="000571B5"/>
    <w:rsid w:val="00057380"/>
    <w:rsid w:val="00057B2B"/>
    <w:rsid w:val="0006038B"/>
    <w:rsid w:val="000606AA"/>
    <w:rsid w:val="00060CCF"/>
    <w:rsid w:val="000613DD"/>
    <w:rsid w:val="00062FF4"/>
    <w:rsid w:val="00064306"/>
    <w:rsid w:val="000650DF"/>
    <w:rsid w:val="00065FD5"/>
    <w:rsid w:val="00066069"/>
    <w:rsid w:val="00066ABD"/>
    <w:rsid w:val="00066F65"/>
    <w:rsid w:val="000672A5"/>
    <w:rsid w:val="0006749B"/>
    <w:rsid w:val="00067CD1"/>
    <w:rsid w:val="0007028C"/>
    <w:rsid w:val="00070380"/>
    <w:rsid w:val="00070402"/>
    <w:rsid w:val="000707C4"/>
    <w:rsid w:val="00071215"/>
    <w:rsid w:val="00072372"/>
    <w:rsid w:val="00072AB2"/>
    <w:rsid w:val="00072D1A"/>
    <w:rsid w:val="0007353F"/>
    <w:rsid w:val="0007389F"/>
    <w:rsid w:val="00073B47"/>
    <w:rsid w:val="00074A7D"/>
    <w:rsid w:val="00074CC3"/>
    <w:rsid w:val="00075A95"/>
    <w:rsid w:val="00076EFF"/>
    <w:rsid w:val="0007731A"/>
    <w:rsid w:val="000804FF"/>
    <w:rsid w:val="00080F3A"/>
    <w:rsid w:val="00081236"/>
    <w:rsid w:val="0008155E"/>
    <w:rsid w:val="00081E0C"/>
    <w:rsid w:val="00082844"/>
    <w:rsid w:val="00083BE7"/>
    <w:rsid w:val="00083D01"/>
    <w:rsid w:val="00084A6A"/>
    <w:rsid w:val="000852C2"/>
    <w:rsid w:val="00085E78"/>
    <w:rsid w:val="00085F28"/>
    <w:rsid w:val="00086A79"/>
    <w:rsid w:val="00090558"/>
    <w:rsid w:val="0009056B"/>
    <w:rsid w:val="00090719"/>
    <w:rsid w:val="00090ADF"/>
    <w:rsid w:val="00090B45"/>
    <w:rsid w:val="00091396"/>
    <w:rsid w:val="000915F2"/>
    <w:rsid w:val="00092F78"/>
    <w:rsid w:val="0009323C"/>
    <w:rsid w:val="00093EDC"/>
    <w:rsid w:val="000942BB"/>
    <w:rsid w:val="00094407"/>
    <w:rsid w:val="00094772"/>
    <w:rsid w:val="00094B57"/>
    <w:rsid w:val="00096661"/>
    <w:rsid w:val="00097FC8"/>
    <w:rsid w:val="000A0668"/>
    <w:rsid w:val="000A0F7B"/>
    <w:rsid w:val="000A185D"/>
    <w:rsid w:val="000A1E6A"/>
    <w:rsid w:val="000A2AED"/>
    <w:rsid w:val="000A2EAC"/>
    <w:rsid w:val="000A4392"/>
    <w:rsid w:val="000A54FE"/>
    <w:rsid w:val="000A56C3"/>
    <w:rsid w:val="000A5BF1"/>
    <w:rsid w:val="000A75E7"/>
    <w:rsid w:val="000A7A94"/>
    <w:rsid w:val="000A7E37"/>
    <w:rsid w:val="000A7FA5"/>
    <w:rsid w:val="000B0C07"/>
    <w:rsid w:val="000B10AB"/>
    <w:rsid w:val="000B1958"/>
    <w:rsid w:val="000B3AE0"/>
    <w:rsid w:val="000B3C2B"/>
    <w:rsid w:val="000B4491"/>
    <w:rsid w:val="000B50AB"/>
    <w:rsid w:val="000B5241"/>
    <w:rsid w:val="000B6432"/>
    <w:rsid w:val="000B655C"/>
    <w:rsid w:val="000B705B"/>
    <w:rsid w:val="000B7333"/>
    <w:rsid w:val="000C0254"/>
    <w:rsid w:val="000C13BC"/>
    <w:rsid w:val="000C17DF"/>
    <w:rsid w:val="000C5706"/>
    <w:rsid w:val="000C5BBE"/>
    <w:rsid w:val="000C6CE4"/>
    <w:rsid w:val="000D03B6"/>
    <w:rsid w:val="000D0668"/>
    <w:rsid w:val="000D0E01"/>
    <w:rsid w:val="000D1120"/>
    <w:rsid w:val="000D116C"/>
    <w:rsid w:val="000D3795"/>
    <w:rsid w:val="000D3DBB"/>
    <w:rsid w:val="000D43EA"/>
    <w:rsid w:val="000D4700"/>
    <w:rsid w:val="000D5382"/>
    <w:rsid w:val="000D5461"/>
    <w:rsid w:val="000D72E3"/>
    <w:rsid w:val="000D7631"/>
    <w:rsid w:val="000E0D95"/>
    <w:rsid w:val="000E39E1"/>
    <w:rsid w:val="000E4398"/>
    <w:rsid w:val="000E5463"/>
    <w:rsid w:val="000E5929"/>
    <w:rsid w:val="000E766F"/>
    <w:rsid w:val="000F02E8"/>
    <w:rsid w:val="000F0BEB"/>
    <w:rsid w:val="000F1109"/>
    <w:rsid w:val="000F1878"/>
    <w:rsid w:val="000F1C8A"/>
    <w:rsid w:val="000F1F0A"/>
    <w:rsid w:val="000F4016"/>
    <w:rsid w:val="000F4369"/>
    <w:rsid w:val="000F4A2B"/>
    <w:rsid w:val="000F52C8"/>
    <w:rsid w:val="000F5BF5"/>
    <w:rsid w:val="000F5D98"/>
    <w:rsid w:val="000F5E5D"/>
    <w:rsid w:val="000F6320"/>
    <w:rsid w:val="000F6923"/>
    <w:rsid w:val="000F6A32"/>
    <w:rsid w:val="000F71C1"/>
    <w:rsid w:val="000F735E"/>
    <w:rsid w:val="000F7671"/>
    <w:rsid w:val="000F76C6"/>
    <w:rsid w:val="000F77B2"/>
    <w:rsid w:val="001002E5"/>
    <w:rsid w:val="001006A4"/>
    <w:rsid w:val="001008FB"/>
    <w:rsid w:val="00101207"/>
    <w:rsid w:val="001015D0"/>
    <w:rsid w:val="00101A53"/>
    <w:rsid w:val="00101C51"/>
    <w:rsid w:val="001020E7"/>
    <w:rsid w:val="00103141"/>
    <w:rsid w:val="0010390A"/>
    <w:rsid w:val="00104209"/>
    <w:rsid w:val="00104348"/>
    <w:rsid w:val="0010460A"/>
    <w:rsid w:val="00104C18"/>
    <w:rsid w:val="001054C8"/>
    <w:rsid w:val="001059FD"/>
    <w:rsid w:val="00106504"/>
    <w:rsid w:val="00106B96"/>
    <w:rsid w:val="0010761B"/>
    <w:rsid w:val="0010770F"/>
    <w:rsid w:val="00107D90"/>
    <w:rsid w:val="00110B4A"/>
    <w:rsid w:val="00111501"/>
    <w:rsid w:val="00111724"/>
    <w:rsid w:val="001117F3"/>
    <w:rsid w:val="00112ADF"/>
    <w:rsid w:val="00112BC8"/>
    <w:rsid w:val="0011548F"/>
    <w:rsid w:val="00115896"/>
    <w:rsid w:val="00115B17"/>
    <w:rsid w:val="0011604E"/>
    <w:rsid w:val="001164E2"/>
    <w:rsid w:val="00116797"/>
    <w:rsid w:val="00116E24"/>
    <w:rsid w:val="00116F41"/>
    <w:rsid w:val="001170CB"/>
    <w:rsid w:val="00117899"/>
    <w:rsid w:val="00117A62"/>
    <w:rsid w:val="00117A8D"/>
    <w:rsid w:val="00120AC7"/>
    <w:rsid w:val="00120DAA"/>
    <w:rsid w:val="001212F9"/>
    <w:rsid w:val="00122625"/>
    <w:rsid w:val="00122B0A"/>
    <w:rsid w:val="00122FB6"/>
    <w:rsid w:val="001232DF"/>
    <w:rsid w:val="001234DD"/>
    <w:rsid w:val="00123FB7"/>
    <w:rsid w:val="00124F57"/>
    <w:rsid w:val="0012549C"/>
    <w:rsid w:val="00126290"/>
    <w:rsid w:val="001307DE"/>
    <w:rsid w:val="00131470"/>
    <w:rsid w:val="00132D7D"/>
    <w:rsid w:val="00132EA0"/>
    <w:rsid w:val="00133DD6"/>
    <w:rsid w:val="0013435A"/>
    <w:rsid w:val="001347A4"/>
    <w:rsid w:val="00134B1C"/>
    <w:rsid w:val="00135469"/>
    <w:rsid w:val="00135E48"/>
    <w:rsid w:val="00137762"/>
    <w:rsid w:val="00140103"/>
    <w:rsid w:val="0014054B"/>
    <w:rsid w:val="00140706"/>
    <w:rsid w:val="00140A7F"/>
    <w:rsid w:val="00141266"/>
    <w:rsid w:val="001414A6"/>
    <w:rsid w:val="00141E84"/>
    <w:rsid w:val="00142A08"/>
    <w:rsid w:val="00142A4D"/>
    <w:rsid w:val="0014300A"/>
    <w:rsid w:val="0014314C"/>
    <w:rsid w:val="001436D6"/>
    <w:rsid w:val="00143EA3"/>
    <w:rsid w:val="00144778"/>
    <w:rsid w:val="0014520D"/>
    <w:rsid w:val="001453CA"/>
    <w:rsid w:val="00145733"/>
    <w:rsid w:val="00145FBE"/>
    <w:rsid w:val="00146640"/>
    <w:rsid w:val="001469A0"/>
    <w:rsid w:val="00146BE4"/>
    <w:rsid w:val="00146FF0"/>
    <w:rsid w:val="0014742E"/>
    <w:rsid w:val="001475A3"/>
    <w:rsid w:val="00147C47"/>
    <w:rsid w:val="001506DC"/>
    <w:rsid w:val="001508D8"/>
    <w:rsid w:val="00151859"/>
    <w:rsid w:val="001518C3"/>
    <w:rsid w:val="00151A96"/>
    <w:rsid w:val="00152924"/>
    <w:rsid w:val="00152CEF"/>
    <w:rsid w:val="00153786"/>
    <w:rsid w:val="00154238"/>
    <w:rsid w:val="00154E73"/>
    <w:rsid w:val="00155C67"/>
    <w:rsid w:val="00156A45"/>
    <w:rsid w:val="00156C4A"/>
    <w:rsid w:val="00156DA1"/>
    <w:rsid w:val="00157976"/>
    <w:rsid w:val="001602C4"/>
    <w:rsid w:val="0016053F"/>
    <w:rsid w:val="00161293"/>
    <w:rsid w:val="00161B4F"/>
    <w:rsid w:val="0016246B"/>
    <w:rsid w:val="00162EEE"/>
    <w:rsid w:val="00164537"/>
    <w:rsid w:val="00165F4A"/>
    <w:rsid w:val="00167A7B"/>
    <w:rsid w:val="00170E4E"/>
    <w:rsid w:val="001735AB"/>
    <w:rsid w:val="001735EE"/>
    <w:rsid w:val="001738D7"/>
    <w:rsid w:val="001745E3"/>
    <w:rsid w:val="00174EAA"/>
    <w:rsid w:val="00176582"/>
    <w:rsid w:val="00176C4D"/>
    <w:rsid w:val="001805E3"/>
    <w:rsid w:val="00180DF1"/>
    <w:rsid w:val="0018178C"/>
    <w:rsid w:val="00182E30"/>
    <w:rsid w:val="00182F56"/>
    <w:rsid w:val="00183672"/>
    <w:rsid w:val="00183840"/>
    <w:rsid w:val="001839CC"/>
    <w:rsid w:val="0018401C"/>
    <w:rsid w:val="001845CD"/>
    <w:rsid w:val="001846F2"/>
    <w:rsid w:val="00184B0F"/>
    <w:rsid w:val="00184B5B"/>
    <w:rsid w:val="00185253"/>
    <w:rsid w:val="00185483"/>
    <w:rsid w:val="00185A3D"/>
    <w:rsid w:val="00185D0B"/>
    <w:rsid w:val="00186F8C"/>
    <w:rsid w:val="00187458"/>
    <w:rsid w:val="00187EDB"/>
    <w:rsid w:val="0019088C"/>
    <w:rsid w:val="00190F5F"/>
    <w:rsid w:val="00191A83"/>
    <w:rsid w:val="00194026"/>
    <w:rsid w:val="001943E1"/>
    <w:rsid w:val="001945CF"/>
    <w:rsid w:val="00194D0A"/>
    <w:rsid w:val="00194D5C"/>
    <w:rsid w:val="00194F13"/>
    <w:rsid w:val="001950D9"/>
    <w:rsid w:val="0019635A"/>
    <w:rsid w:val="001966F0"/>
    <w:rsid w:val="001968BC"/>
    <w:rsid w:val="00197070"/>
    <w:rsid w:val="001A14B6"/>
    <w:rsid w:val="001A22C5"/>
    <w:rsid w:val="001A30C4"/>
    <w:rsid w:val="001A318D"/>
    <w:rsid w:val="001A3465"/>
    <w:rsid w:val="001A3D8E"/>
    <w:rsid w:val="001A5285"/>
    <w:rsid w:val="001A609D"/>
    <w:rsid w:val="001A7026"/>
    <w:rsid w:val="001A71D0"/>
    <w:rsid w:val="001B1FE4"/>
    <w:rsid w:val="001B2094"/>
    <w:rsid w:val="001B21FE"/>
    <w:rsid w:val="001B309B"/>
    <w:rsid w:val="001B3449"/>
    <w:rsid w:val="001B3CF5"/>
    <w:rsid w:val="001B3F3B"/>
    <w:rsid w:val="001B424C"/>
    <w:rsid w:val="001B4B7D"/>
    <w:rsid w:val="001B4D97"/>
    <w:rsid w:val="001B4D9A"/>
    <w:rsid w:val="001B4DAE"/>
    <w:rsid w:val="001B642C"/>
    <w:rsid w:val="001B67C9"/>
    <w:rsid w:val="001B70A2"/>
    <w:rsid w:val="001B7559"/>
    <w:rsid w:val="001B7D68"/>
    <w:rsid w:val="001C04F0"/>
    <w:rsid w:val="001C0756"/>
    <w:rsid w:val="001C0A8D"/>
    <w:rsid w:val="001C1078"/>
    <w:rsid w:val="001C1122"/>
    <w:rsid w:val="001C1AA3"/>
    <w:rsid w:val="001C2933"/>
    <w:rsid w:val="001C2E93"/>
    <w:rsid w:val="001C3D3D"/>
    <w:rsid w:val="001C3E7F"/>
    <w:rsid w:val="001C408F"/>
    <w:rsid w:val="001C4264"/>
    <w:rsid w:val="001C45CA"/>
    <w:rsid w:val="001C4F58"/>
    <w:rsid w:val="001C5C82"/>
    <w:rsid w:val="001C60BE"/>
    <w:rsid w:val="001C6465"/>
    <w:rsid w:val="001C6679"/>
    <w:rsid w:val="001C674C"/>
    <w:rsid w:val="001D01DD"/>
    <w:rsid w:val="001D142B"/>
    <w:rsid w:val="001D15D8"/>
    <w:rsid w:val="001D2007"/>
    <w:rsid w:val="001D3099"/>
    <w:rsid w:val="001D3FE3"/>
    <w:rsid w:val="001D4236"/>
    <w:rsid w:val="001D4571"/>
    <w:rsid w:val="001D51B9"/>
    <w:rsid w:val="001D684F"/>
    <w:rsid w:val="001D7163"/>
    <w:rsid w:val="001D77BE"/>
    <w:rsid w:val="001E014F"/>
    <w:rsid w:val="001E0CFC"/>
    <w:rsid w:val="001E0D3F"/>
    <w:rsid w:val="001E1113"/>
    <w:rsid w:val="001E145B"/>
    <w:rsid w:val="001E16A5"/>
    <w:rsid w:val="001E17B0"/>
    <w:rsid w:val="001E22D7"/>
    <w:rsid w:val="001E2CC1"/>
    <w:rsid w:val="001E4864"/>
    <w:rsid w:val="001E48B7"/>
    <w:rsid w:val="001E4EF2"/>
    <w:rsid w:val="001E5280"/>
    <w:rsid w:val="001E58FF"/>
    <w:rsid w:val="001E6F95"/>
    <w:rsid w:val="001F0724"/>
    <w:rsid w:val="001F1FD3"/>
    <w:rsid w:val="001F2C42"/>
    <w:rsid w:val="001F348A"/>
    <w:rsid w:val="001F434B"/>
    <w:rsid w:val="001F6CD2"/>
    <w:rsid w:val="001F735E"/>
    <w:rsid w:val="00200295"/>
    <w:rsid w:val="0020046B"/>
    <w:rsid w:val="00200572"/>
    <w:rsid w:val="00200FE4"/>
    <w:rsid w:val="0020139E"/>
    <w:rsid w:val="002016B3"/>
    <w:rsid w:val="00201942"/>
    <w:rsid w:val="00203761"/>
    <w:rsid w:val="0020392D"/>
    <w:rsid w:val="00204218"/>
    <w:rsid w:val="002049C5"/>
    <w:rsid w:val="002049D0"/>
    <w:rsid w:val="00205002"/>
    <w:rsid w:val="002050E4"/>
    <w:rsid w:val="002051F4"/>
    <w:rsid w:val="002057CF"/>
    <w:rsid w:val="0021005E"/>
    <w:rsid w:val="002121EF"/>
    <w:rsid w:val="002128AD"/>
    <w:rsid w:val="00212929"/>
    <w:rsid w:val="00212A2D"/>
    <w:rsid w:val="00213726"/>
    <w:rsid w:val="0021391A"/>
    <w:rsid w:val="00213A77"/>
    <w:rsid w:val="00213AD1"/>
    <w:rsid w:val="00213EDD"/>
    <w:rsid w:val="00214B9A"/>
    <w:rsid w:val="00214EA2"/>
    <w:rsid w:val="0021585E"/>
    <w:rsid w:val="002158E9"/>
    <w:rsid w:val="002162F0"/>
    <w:rsid w:val="00216314"/>
    <w:rsid w:val="00216E31"/>
    <w:rsid w:val="0021742A"/>
    <w:rsid w:val="00217E3A"/>
    <w:rsid w:val="00220BF4"/>
    <w:rsid w:val="00221B78"/>
    <w:rsid w:val="00222248"/>
    <w:rsid w:val="002224FC"/>
    <w:rsid w:val="002233EA"/>
    <w:rsid w:val="002237CA"/>
    <w:rsid w:val="00223A54"/>
    <w:rsid w:val="00223C5B"/>
    <w:rsid w:val="00223E97"/>
    <w:rsid w:val="00223FC2"/>
    <w:rsid w:val="002240BA"/>
    <w:rsid w:val="0022437A"/>
    <w:rsid w:val="002246C6"/>
    <w:rsid w:val="00226107"/>
    <w:rsid w:val="00226594"/>
    <w:rsid w:val="002265C4"/>
    <w:rsid w:val="00226D2B"/>
    <w:rsid w:val="0022744A"/>
    <w:rsid w:val="00230388"/>
    <w:rsid w:val="00231F97"/>
    <w:rsid w:val="00232D4B"/>
    <w:rsid w:val="00232EDA"/>
    <w:rsid w:val="0023361F"/>
    <w:rsid w:val="002337E4"/>
    <w:rsid w:val="00233D9F"/>
    <w:rsid w:val="002346EA"/>
    <w:rsid w:val="00234A38"/>
    <w:rsid w:val="00235471"/>
    <w:rsid w:val="00235562"/>
    <w:rsid w:val="00235851"/>
    <w:rsid w:val="00235A68"/>
    <w:rsid w:val="00235B40"/>
    <w:rsid w:val="0023608C"/>
    <w:rsid w:val="0023642F"/>
    <w:rsid w:val="002366C0"/>
    <w:rsid w:val="00236C0D"/>
    <w:rsid w:val="00236F6C"/>
    <w:rsid w:val="00236F87"/>
    <w:rsid w:val="002403AD"/>
    <w:rsid w:val="002409DB"/>
    <w:rsid w:val="00240FFB"/>
    <w:rsid w:val="00241B9E"/>
    <w:rsid w:val="00241DE1"/>
    <w:rsid w:val="00241E22"/>
    <w:rsid w:val="0024260F"/>
    <w:rsid w:val="00244ACD"/>
    <w:rsid w:val="00244B93"/>
    <w:rsid w:val="00244EEA"/>
    <w:rsid w:val="002451B9"/>
    <w:rsid w:val="002451D9"/>
    <w:rsid w:val="002459E3"/>
    <w:rsid w:val="002460C2"/>
    <w:rsid w:val="002460D1"/>
    <w:rsid w:val="002461BB"/>
    <w:rsid w:val="00246F69"/>
    <w:rsid w:val="0024724C"/>
    <w:rsid w:val="002476F4"/>
    <w:rsid w:val="00247AE0"/>
    <w:rsid w:val="00252C2A"/>
    <w:rsid w:val="0025310E"/>
    <w:rsid w:val="0025396C"/>
    <w:rsid w:val="00253D3A"/>
    <w:rsid w:val="00253E00"/>
    <w:rsid w:val="0025445D"/>
    <w:rsid w:val="002547E5"/>
    <w:rsid w:val="002556F3"/>
    <w:rsid w:val="00255D44"/>
    <w:rsid w:val="002564CF"/>
    <w:rsid w:val="0025664B"/>
    <w:rsid w:val="00256962"/>
    <w:rsid w:val="002573DD"/>
    <w:rsid w:val="00257731"/>
    <w:rsid w:val="00257A35"/>
    <w:rsid w:val="0026064C"/>
    <w:rsid w:val="002607EE"/>
    <w:rsid w:val="00261353"/>
    <w:rsid w:val="00261805"/>
    <w:rsid w:val="00261B1B"/>
    <w:rsid w:val="00261FDD"/>
    <w:rsid w:val="00262E69"/>
    <w:rsid w:val="00262F58"/>
    <w:rsid w:val="00263DBC"/>
    <w:rsid w:val="00263F56"/>
    <w:rsid w:val="002650E5"/>
    <w:rsid w:val="0026669E"/>
    <w:rsid w:val="002678F1"/>
    <w:rsid w:val="00267CAB"/>
    <w:rsid w:val="002706C1"/>
    <w:rsid w:val="00270E85"/>
    <w:rsid w:val="00271304"/>
    <w:rsid w:val="002715BE"/>
    <w:rsid w:val="00271996"/>
    <w:rsid w:val="00271A56"/>
    <w:rsid w:val="00271C12"/>
    <w:rsid w:val="00271EA5"/>
    <w:rsid w:val="00272C65"/>
    <w:rsid w:val="002733FA"/>
    <w:rsid w:val="00273ECD"/>
    <w:rsid w:val="002746D9"/>
    <w:rsid w:val="00274DA0"/>
    <w:rsid w:val="00275014"/>
    <w:rsid w:val="002753A1"/>
    <w:rsid w:val="0027577C"/>
    <w:rsid w:val="00275EAC"/>
    <w:rsid w:val="002771BB"/>
    <w:rsid w:val="0027769F"/>
    <w:rsid w:val="0027779B"/>
    <w:rsid w:val="002800DA"/>
    <w:rsid w:val="00280633"/>
    <w:rsid w:val="00280F4C"/>
    <w:rsid w:val="00281954"/>
    <w:rsid w:val="00282280"/>
    <w:rsid w:val="00282A3D"/>
    <w:rsid w:val="0028304F"/>
    <w:rsid w:val="00284787"/>
    <w:rsid w:val="00284808"/>
    <w:rsid w:val="0028549C"/>
    <w:rsid w:val="00285EF0"/>
    <w:rsid w:val="002864B7"/>
    <w:rsid w:val="00286D4A"/>
    <w:rsid w:val="00287621"/>
    <w:rsid w:val="00287DD7"/>
    <w:rsid w:val="00290BD8"/>
    <w:rsid w:val="00292215"/>
    <w:rsid w:val="00292733"/>
    <w:rsid w:val="0029318A"/>
    <w:rsid w:val="002939D2"/>
    <w:rsid w:val="00293C7D"/>
    <w:rsid w:val="00297787"/>
    <w:rsid w:val="002A0130"/>
    <w:rsid w:val="002A082C"/>
    <w:rsid w:val="002A1261"/>
    <w:rsid w:val="002A1D28"/>
    <w:rsid w:val="002A236E"/>
    <w:rsid w:val="002A23F9"/>
    <w:rsid w:val="002A2AF4"/>
    <w:rsid w:val="002A3022"/>
    <w:rsid w:val="002A31E2"/>
    <w:rsid w:val="002A443C"/>
    <w:rsid w:val="002A47E4"/>
    <w:rsid w:val="002A4EB8"/>
    <w:rsid w:val="002A577C"/>
    <w:rsid w:val="002A6CBC"/>
    <w:rsid w:val="002A7D3D"/>
    <w:rsid w:val="002B025B"/>
    <w:rsid w:val="002B02CF"/>
    <w:rsid w:val="002B0B1E"/>
    <w:rsid w:val="002B128E"/>
    <w:rsid w:val="002B1435"/>
    <w:rsid w:val="002B349F"/>
    <w:rsid w:val="002B3769"/>
    <w:rsid w:val="002B3E4C"/>
    <w:rsid w:val="002B5301"/>
    <w:rsid w:val="002B5432"/>
    <w:rsid w:val="002B5BC1"/>
    <w:rsid w:val="002B5D8A"/>
    <w:rsid w:val="002B7580"/>
    <w:rsid w:val="002C0912"/>
    <w:rsid w:val="002C156C"/>
    <w:rsid w:val="002C1580"/>
    <w:rsid w:val="002C19DA"/>
    <w:rsid w:val="002C2088"/>
    <w:rsid w:val="002C2B75"/>
    <w:rsid w:val="002C322D"/>
    <w:rsid w:val="002C3324"/>
    <w:rsid w:val="002C34FB"/>
    <w:rsid w:val="002C3F51"/>
    <w:rsid w:val="002C4E35"/>
    <w:rsid w:val="002C5523"/>
    <w:rsid w:val="002C57BC"/>
    <w:rsid w:val="002C5C8B"/>
    <w:rsid w:val="002C5DCC"/>
    <w:rsid w:val="002C6213"/>
    <w:rsid w:val="002C7F98"/>
    <w:rsid w:val="002D019F"/>
    <w:rsid w:val="002D05FD"/>
    <w:rsid w:val="002D1508"/>
    <w:rsid w:val="002D19EF"/>
    <w:rsid w:val="002D23C6"/>
    <w:rsid w:val="002D24EE"/>
    <w:rsid w:val="002D26A5"/>
    <w:rsid w:val="002D279C"/>
    <w:rsid w:val="002D28FE"/>
    <w:rsid w:val="002D2B9F"/>
    <w:rsid w:val="002D3E37"/>
    <w:rsid w:val="002D40CA"/>
    <w:rsid w:val="002D4E0B"/>
    <w:rsid w:val="002D5A19"/>
    <w:rsid w:val="002D5CD1"/>
    <w:rsid w:val="002D5D6B"/>
    <w:rsid w:val="002D5F22"/>
    <w:rsid w:val="002D6BD9"/>
    <w:rsid w:val="002D71B3"/>
    <w:rsid w:val="002D7363"/>
    <w:rsid w:val="002E0894"/>
    <w:rsid w:val="002E0BDE"/>
    <w:rsid w:val="002E0CCE"/>
    <w:rsid w:val="002E18E9"/>
    <w:rsid w:val="002E1FD4"/>
    <w:rsid w:val="002E2024"/>
    <w:rsid w:val="002E2086"/>
    <w:rsid w:val="002E2857"/>
    <w:rsid w:val="002E2B10"/>
    <w:rsid w:val="002E2C9E"/>
    <w:rsid w:val="002E51FF"/>
    <w:rsid w:val="002E5D84"/>
    <w:rsid w:val="002E6055"/>
    <w:rsid w:val="002E6C1E"/>
    <w:rsid w:val="002E71D0"/>
    <w:rsid w:val="002F1D23"/>
    <w:rsid w:val="002F1EAE"/>
    <w:rsid w:val="002F2C56"/>
    <w:rsid w:val="002F2D14"/>
    <w:rsid w:val="002F3612"/>
    <w:rsid w:val="002F3722"/>
    <w:rsid w:val="002F424C"/>
    <w:rsid w:val="002F43C5"/>
    <w:rsid w:val="002F63D3"/>
    <w:rsid w:val="002F64AF"/>
    <w:rsid w:val="002F7689"/>
    <w:rsid w:val="002F7698"/>
    <w:rsid w:val="002F7BDE"/>
    <w:rsid w:val="0030087A"/>
    <w:rsid w:val="00300E81"/>
    <w:rsid w:val="00300EC0"/>
    <w:rsid w:val="00301711"/>
    <w:rsid w:val="00301B4B"/>
    <w:rsid w:val="00301CA9"/>
    <w:rsid w:val="00302034"/>
    <w:rsid w:val="00302B5E"/>
    <w:rsid w:val="003034CA"/>
    <w:rsid w:val="00304004"/>
    <w:rsid w:val="00304AC6"/>
    <w:rsid w:val="00304DE7"/>
    <w:rsid w:val="00304FAB"/>
    <w:rsid w:val="00305196"/>
    <w:rsid w:val="00305563"/>
    <w:rsid w:val="00306EA4"/>
    <w:rsid w:val="00310C01"/>
    <w:rsid w:val="00313247"/>
    <w:rsid w:val="00315AAE"/>
    <w:rsid w:val="00315EBD"/>
    <w:rsid w:val="003179C6"/>
    <w:rsid w:val="00317AC2"/>
    <w:rsid w:val="00317B4F"/>
    <w:rsid w:val="00317DB2"/>
    <w:rsid w:val="00320BDA"/>
    <w:rsid w:val="0032124B"/>
    <w:rsid w:val="00321345"/>
    <w:rsid w:val="00321560"/>
    <w:rsid w:val="00321756"/>
    <w:rsid w:val="00321786"/>
    <w:rsid w:val="003217E5"/>
    <w:rsid w:val="00321EDE"/>
    <w:rsid w:val="00322A43"/>
    <w:rsid w:val="00322D0F"/>
    <w:rsid w:val="0032374A"/>
    <w:rsid w:val="003246BD"/>
    <w:rsid w:val="00324BFD"/>
    <w:rsid w:val="00325671"/>
    <w:rsid w:val="003256F6"/>
    <w:rsid w:val="00326186"/>
    <w:rsid w:val="0032636C"/>
    <w:rsid w:val="00326B41"/>
    <w:rsid w:val="00327C7D"/>
    <w:rsid w:val="00330279"/>
    <w:rsid w:val="003306EF"/>
    <w:rsid w:val="0033176C"/>
    <w:rsid w:val="00333BA1"/>
    <w:rsid w:val="00334D28"/>
    <w:rsid w:val="00334E12"/>
    <w:rsid w:val="00334F7B"/>
    <w:rsid w:val="003355F8"/>
    <w:rsid w:val="00336A23"/>
    <w:rsid w:val="00336C2B"/>
    <w:rsid w:val="003370D8"/>
    <w:rsid w:val="003401B4"/>
    <w:rsid w:val="00340373"/>
    <w:rsid w:val="00340655"/>
    <w:rsid w:val="00340A9C"/>
    <w:rsid w:val="00340E5C"/>
    <w:rsid w:val="003415BF"/>
    <w:rsid w:val="0034244A"/>
    <w:rsid w:val="00342F75"/>
    <w:rsid w:val="0034441A"/>
    <w:rsid w:val="0034446A"/>
    <w:rsid w:val="00344A85"/>
    <w:rsid w:val="00345A4E"/>
    <w:rsid w:val="003470F7"/>
    <w:rsid w:val="00350711"/>
    <w:rsid w:val="00350F5F"/>
    <w:rsid w:val="00351041"/>
    <w:rsid w:val="003512C8"/>
    <w:rsid w:val="003514A6"/>
    <w:rsid w:val="00352174"/>
    <w:rsid w:val="0035235B"/>
    <w:rsid w:val="00352F28"/>
    <w:rsid w:val="00353294"/>
    <w:rsid w:val="003538D9"/>
    <w:rsid w:val="00353C03"/>
    <w:rsid w:val="00354B44"/>
    <w:rsid w:val="00354CCE"/>
    <w:rsid w:val="0035518A"/>
    <w:rsid w:val="00355592"/>
    <w:rsid w:val="00355757"/>
    <w:rsid w:val="00356B51"/>
    <w:rsid w:val="00356C35"/>
    <w:rsid w:val="00356E60"/>
    <w:rsid w:val="003573AD"/>
    <w:rsid w:val="003574CF"/>
    <w:rsid w:val="00357CEE"/>
    <w:rsid w:val="0036002B"/>
    <w:rsid w:val="00360668"/>
    <w:rsid w:val="00360FDE"/>
    <w:rsid w:val="00361568"/>
    <w:rsid w:val="00361C2D"/>
    <w:rsid w:val="00361D95"/>
    <w:rsid w:val="00362B6B"/>
    <w:rsid w:val="00362B78"/>
    <w:rsid w:val="0036342A"/>
    <w:rsid w:val="00364AF6"/>
    <w:rsid w:val="00364D34"/>
    <w:rsid w:val="0036524A"/>
    <w:rsid w:val="0036550E"/>
    <w:rsid w:val="00365F44"/>
    <w:rsid w:val="003663DA"/>
    <w:rsid w:val="003664AF"/>
    <w:rsid w:val="00366863"/>
    <w:rsid w:val="00366AA1"/>
    <w:rsid w:val="003677DA"/>
    <w:rsid w:val="00367AB3"/>
    <w:rsid w:val="00370C6E"/>
    <w:rsid w:val="003715F9"/>
    <w:rsid w:val="00371ECB"/>
    <w:rsid w:val="003723AD"/>
    <w:rsid w:val="00372451"/>
    <w:rsid w:val="00372BD9"/>
    <w:rsid w:val="00373614"/>
    <w:rsid w:val="00374174"/>
    <w:rsid w:val="00374318"/>
    <w:rsid w:val="0037508B"/>
    <w:rsid w:val="00375F9E"/>
    <w:rsid w:val="0037772C"/>
    <w:rsid w:val="003778FC"/>
    <w:rsid w:val="0038004D"/>
    <w:rsid w:val="003809C1"/>
    <w:rsid w:val="00380D17"/>
    <w:rsid w:val="003818D9"/>
    <w:rsid w:val="00381CE7"/>
    <w:rsid w:val="00382716"/>
    <w:rsid w:val="00382FD0"/>
    <w:rsid w:val="003844F4"/>
    <w:rsid w:val="00384F2B"/>
    <w:rsid w:val="00385277"/>
    <w:rsid w:val="00385543"/>
    <w:rsid w:val="0038576B"/>
    <w:rsid w:val="0038594D"/>
    <w:rsid w:val="0038636E"/>
    <w:rsid w:val="00387369"/>
    <w:rsid w:val="003877DB"/>
    <w:rsid w:val="00387E1E"/>
    <w:rsid w:val="00390306"/>
    <w:rsid w:val="003907A8"/>
    <w:rsid w:val="00390901"/>
    <w:rsid w:val="00391920"/>
    <w:rsid w:val="00391BC0"/>
    <w:rsid w:val="00392A9D"/>
    <w:rsid w:val="00392EB8"/>
    <w:rsid w:val="00393A98"/>
    <w:rsid w:val="00393C68"/>
    <w:rsid w:val="003942F9"/>
    <w:rsid w:val="00394524"/>
    <w:rsid w:val="00394D0B"/>
    <w:rsid w:val="00394E89"/>
    <w:rsid w:val="00395076"/>
    <w:rsid w:val="00395557"/>
    <w:rsid w:val="00395982"/>
    <w:rsid w:val="00396605"/>
    <w:rsid w:val="0039708D"/>
    <w:rsid w:val="003A05E2"/>
    <w:rsid w:val="003A0635"/>
    <w:rsid w:val="003A1644"/>
    <w:rsid w:val="003A169F"/>
    <w:rsid w:val="003A22F3"/>
    <w:rsid w:val="003A2B5B"/>
    <w:rsid w:val="003A3AC2"/>
    <w:rsid w:val="003A3BE1"/>
    <w:rsid w:val="003A3E15"/>
    <w:rsid w:val="003A4090"/>
    <w:rsid w:val="003A4803"/>
    <w:rsid w:val="003A4D7C"/>
    <w:rsid w:val="003A4DAC"/>
    <w:rsid w:val="003A5800"/>
    <w:rsid w:val="003A78AC"/>
    <w:rsid w:val="003B106A"/>
    <w:rsid w:val="003B10CE"/>
    <w:rsid w:val="003B14C8"/>
    <w:rsid w:val="003B1697"/>
    <w:rsid w:val="003B1E98"/>
    <w:rsid w:val="003B2118"/>
    <w:rsid w:val="003B2654"/>
    <w:rsid w:val="003B2D42"/>
    <w:rsid w:val="003B2F7E"/>
    <w:rsid w:val="003B38CE"/>
    <w:rsid w:val="003B3C1B"/>
    <w:rsid w:val="003B4226"/>
    <w:rsid w:val="003B4BE8"/>
    <w:rsid w:val="003B4DB1"/>
    <w:rsid w:val="003B4DBE"/>
    <w:rsid w:val="003B4EE8"/>
    <w:rsid w:val="003B5D8A"/>
    <w:rsid w:val="003B65AA"/>
    <w:rsid w:val="003B6684"/>
    <w:rsid w:val="003B68AC"/>
    <w:rsid w:val="003B70ED"/>
    <w:rsid w:val="003B788A"/>
    <w:rsid w:val="003C05DA"/>
    <w:rsid w:val="003C0B85"/>
    <w:rsid w:val="003C1513"/>
    <w:rsid w:val="003C194C"/>
    <w:rsid w:val="003C1983"/>
    <w:rsid w:val="003C1A63"/>
    <w:rsid w:val="003C26A7"/>
    <w:rsid w:val="003C2769"/>
    <w:rsid w:val="003C3056"/>
    <w:rsid w:val="003C3566"/>
    <w:rsid w:val="003C5744"/>
    <w:rsid w:val="003C5BBC"/>
    <w:rsid w:val="003C68DB"/>
    <w:rsid w:val="003C6B01"/>
    <w:rsid w:val="003C6BC8"/>
    <w:rsid w:val="003C6BDE"/>
    <w:rsid w:val="003C7282"/>
    <w:rsid w:val="003C740B"/>
    <w:rsid w:val="003C75D3"/>
    <w:rsid w:val="003C7956"/>
    <w:rsid w:val="003C7979"/>
    <w:rsid w:val="003D08C4"/>
    <w:rsid w:val="003D0A20"/>
    <w:rsid w:val="003D210E"/>
    <w:rsid w:val="003D23A0"/>
    <w:rsid w:val="003D39CA"/>
    <w:rsid w:val="003D4176"/>
    <w:rsid w:val="003D41FC"/>
    <w:rsid w:val="003D4723"/>
    <w:rsid w:val="003D47A2"/>
    <w:rsid w:val="003D55FD"/>
    <w:rsid w:val="003D66B1"/>
    <w:rsid w:val="003D69B9"/>
    <w:rsid w:val="003D6B66"/>
    <w:rsid w:val="003D6E7F"/>
    <w:rsid w:val="003E0967"/>
    <w:rsid w:val="003E0CE4"/>
    <w:rsid w:val="003E1227"/>
    <w:rsid w:val="003E133E"/>
    <w:rsid w:val="003E175A"/>
    <w:rsid w:val="003E1DBD"/>
    <w:rsid w:val="003E1E91"/>
    <w:rsid w:val="003E3045"/>
    <w:rsid w:val="003E3094"/>
    <w:rsid w:val="003E39F8"/>
    <w:rsid w:val="003E4CC2"/>
    <w:rsid w:val="003E5046"/>
    <w:rsid w:val="003E546F"/>
    <w:rsid w:val="003E6103"/>
    <w:rsid w:val="003E73BA"/>
    <w:rsid w:val="003E73CB"/>
    <w:rsid w:val="003F1364"/>
    <w:rsid w:val="003F148F"/>
    <w:rsid w:val="003F1B7C"/>
    <w:rsid w:val="003F275E"/>
    <w:rsid w:val="003F280F"/>
    <w:rsid w:val="003F286B"/>
    <w:rsid w:val="003F4213"/>
    <w:rsid w:val="003F591B"/>
    <w:rsid w:val="003F5F95"/>
    <w:rsid w:val="003F6040"/>
    <w:rsid w:val="003F6E1E"/>
    <w:rsid w:val="00400022"/>
    <w:rsid w:val="004002B1"/>
    <w:rsid w:val="00400B83"/>
    <w:rsid w:val="0040193D"/>
    <w:rsid w:val="00403871"/>
    <w:rsid w:val="00404056"/>
    <w:rsid w:val="00404405"/>
    <w:rsid w:val="004044F3"/>
    <w:rsid w:val="00405678"/>
    <w:rsid w:val="00405911"/>
    <w:rsid w:val="0040633F"/>
    <w:rsid w:val="004068B1"/>
    <w:rsid w:val="00411E35"/>
    <w:rsid w:val="004124A7"/>
    <w:rsid w:val="004128F1"/>
    <w:rsid w:val="00413155"/>
    <w:rsid w:val="0041431C"/>
    <w:rsid w:val="00414793"/>
    <w:rsid w:val="00414BC5"/>
    <w:rsid w:val="00415809"/>
    <w:rsid w:val="00415A13"/>
    <w:rsid w:val="00417150"/>
    <w:rsid w:val="0041722D"/>
    <w:rsid w:val="00417560"/>
    <w:rsid w:val="004209BD"/>
    <w:rsid w:val="0042197C"/>
    <w:rsid w:val="004233C2"/>
    <w:rsid w:val="00423DF6"/>
    <w:rsid w:val="004244DB"/>
    <w:rsid w:val="00424AEB"/>
    <w:rsid w:val="00424BFB"/>
    <w:rsid w:val="00424F4A"/>
    <w:rsid w:val="004255DB"/>
    <w:rsid w:val="0042572D"/>
    <w:rsid w:val="00425922"/>
    <w:rsid w:val="00425A06"/>
    <w:rsid w:val="00425B96"/>
    <w:rsid w:val="00425D38"/>
    <w:rsid w:val="0042604F"/>
    <w:rsid w:val="00426A45"/>
    <w:rsid w:val="00426B39"/>
    <w:rsid w:val="0042778D"/>
    <w:rsid w:val="0043001A"/>
    <w:rsid w:val="004306C3"/>
    <w:rsid w:val="00430C01"/>
    <w:rsid w:val="00431078"/>
    <w:rsid w:val="00431AA8"/>
    <w:rsid w:val="00431F6C"/>
    <w:rsid w:val="00432023"/>
    <w:rsid w:val="004322FD"/>
    <w:rsid w:val="00432506"/>
    <w:rsid w:val="00433276"/>
    <w:rsid w:val="00434291"/>
    <w:rsid w:val="00435AA2"/>
    <w:rsid w:val="00435D02"/>
    <w:rsid w:val="00435DE5"/>
    <w:rsid w:val="004404AC"/>
    <w:rsid w:val="00440948"/>
    <w:rsid w:val="0044145C"/>
    <w:rsid w:val="0044169A"/>
    <w:rsid w:val="0044253D"/>
    <w:rsid w:val="00443D5A"/>
    <w:rsid w:val="00443FED"/>
    <w:rsid w:val="00444119"/>
    <w:rsid w:val="00444A89"/>
    <w:rsid w:val="00444EBC"/>
    <w:rsid w:val="004453C9"/>
    <w:rsid w:val="0044548E"/>
    <w:rsid w:val="00445574"/>
    <w:rsid w:val="004458AA"/>
    <w:rsid w:val="00446191"/>
    <w:rsid w:val="00446654"/>
    <w:rsid w:val="00446C39"/>
    <w:rsid w:val="00446F6A"/>
    <w:rsid w:val="00447635"/>
    <w:rsid w:val="00447B63"/>
    <w:rsid w:val="00447FB6"/>
    <w:rsid w:val="00450D1D"/>
    <w:rsid w:val="00450F06"/>
    <w:rsid w:val="004511B9"/>
    <w:rsid w:val="004518A7"/>
    <w:rsid w:val="00451D67"/>
    <w:rsid w:val="00453BBD"/>
    <w:rsid w:val="00454557"/>
    <w:rsid w:val="00454558"/>
    <w:rsid w:val="0045574C"/>
    <w:rsid w:val="00455C03"/>
    <w:rsid w:val="00456902"/>
    <w:rsid w:val="0045713E"/>
    <w:rsid w:val="00457239"/>
    <w:rsid w:val="004602BD"/>
    <w:rsid w:val="0046080A"/>
    <w:rsid w:val="00460D58"/>
    <w:rsid w:val="00460D77"/>
    <w:rsid w:val="0046138D"/>
    <w:rsid w:val="004619A3"/>
    <w:rsid w:val="00461F59"/>
    <w:rsid w:val="0046209D"/>
    <w:rsid w:val="004622C8"/>
    <w:rsid w:val="00462793"/>
    <w:rsid w:val="00464088"/>
    <w:rsid w:val="00464847"/>
    <w:rsid w:val="0046547B"/>
    <w:rsid w:val="004656C1"/>
    <w:rsid w:val="00465873"/>
    <w:rsid w:val="00465A53"/>
    <w:rsid w:val="004662D3"/>
    <w:rsid w:val="004668BC"/>
    <w:rsid w:val="004672E3"/>
    <w:rsid w:val="0046779D"/>
    <w:rsid w:val="00467888"/>
    <w:rsid w:val="00471958"/>
    <w:rsid w:val="00471BD7"/>
    <w:rsid w:val="00471F2C"/>
    <w:rsid w:val="00472549"/>
    <w:rsid w:val="004737C2"/>
    <w:rsid w:val="00474711"/>
    <w:rsid w:val="00475845"/>
    <w:rsid w:val="00475AA0"/>
    <w:rsid w:val="00475EB1"/>
    <w:rsid w:val="00477255"/>
    <w:rsid w:val="0047759E"/>
    <w:rsid w:val="00477914"/>
    <w:rsid w:val="004801D3"/>
    <w:rsid w:val="004803FC"/>
    <w:rsid w:val="00480E9D"/>
    <w:rsid w:val="00480F4A"/>
    <w:rsid w:val="004819DF"/>
    <w:rsid w:val="004822ED"/>
    <w:rsid w:val="0048268B"/>
    <w:rsid w:val="0048335F"/>
    <w:rsid w:val="004834A1"/>
    <w:rsid w:val="00483933"/>
    <w:rsid w:val="00483B86"/>
    <w:rsid w:val="00484082"/>
    <w:rsid w:val="004844CF"/>
    <w:rsid w:val="004848AA"/>
    <w:rsid w:val="00484FBF"/>
    <w:rsid w:val="00486845"/>
    <w:rsid w:val="004871B9"/>
    <w:rsid w:val="0048724B"/>
    <w:rsid w:val="00487DC8"/>
    <w:rsid w:val="004910EF"/>
    <w:rsid w:val="004919DB"/>
    <w:rsid w:val="00492752"/>
    <w:rsid w:val="004929DC"/>
    <w:rsid w:val="00492EF2"/>
    <w:rsid w:val="00493E68"/>
    <w:rsid w:val="004940AB"/>
    <w:rsid w:val="004946E1"/>
    <w:rsid w:val="004948D3"/>
    <w:rsid w:val="004959B8"/>
    <w:rsid w:val="00495E6F"/>
    <w:rsid w:val="00495F0C"/>
    <w:rsid w:val="004970B2"/>
    <w:rsid w:val="004976F4"/>
    <w:rsid w:val="00497F9A"/>
    <w:rsid w:val="004A00E4"/>
    <w:rsid w:val="004A0101"/>
    <w:rsid w:val="004A0768"/>
    <w:rsid w:val="004A1175"/>
    <w:rsid w:val="004A1394"/>
    <w:rsid w:val="004A1CA0"/>
    <w:rsid w:val="004A2111"/>
    <w:rsid w:val="004A213D"/>
    <w:rsid w:val="004A472C"/>
    <w:rsid w:val="004A4A8B"/>
    <w:rsid w:val="004A4B9C"/>
    <w:rsid w:val="004A5538"/>
    <w:rsid w:val="004A6CCE"/>
    <w:rsid w:val="004A6EAD"/>
    <w:rsid w:val="004A7080"/>
    <w:rsid w:val="004A74C4"/>
    <w:rsid w:val="004A74F9"/>
    <w:rsid w:val="004A7A66"/>
    <w:rsid w:val="004B04BC"/>
    <w:rsid w:val="004B1BB7"/>
    <w:rsid w:val="004B1C25"/>
    <w:rsid w:val="004B20DE"/>
    <w:rsid w:val="004B29D5"/>
    <w:rsid w:val="004B3353"/>
    <w:rsid w:val="004B3889"/>
    <w:rsid w:val="004B4972"/>
    <w:rsid w:val="004B5FE4"/>
    <w:rsid w:val="004B6ED4"/>
    <w:rsid w:val="004B6FAD"/>
    <w:rsid w:val="004B7611"/>
    <w:rsid w:val="004B7856"/>
    <w:rsid w:val="004B7EBB"/>
    <w:rsid w:val="004C05B1"/>
    <w:rsid w:val="004C09A6"/>
    <w:rsid w:val="004C0E23"/>
    <w:rsid w:val="004C143D"/>
    <w:rsid w:val="004C17D2"/>
    <w:rsid w:val="004C1B95"/>
    <w:rsid w:val="004C341C"/>
    <w:rsid w:val="004C4D90"/>
    <w:rsid w:val="004C4FB1"/>
    <w:rsid w:val="004C5397"/>
    <w:rsid w:val="004C57FE"/>
    <w:rsid w:val="004C6558"/>
    <w:rsid w:val="004C6BE3"/>
    <w:rsid w:val="004C71E6"/>
    <w:rsid w:val="004C755E"/>
    <w:rsid w:val="004C780F"/>
    <w:rsid w:val="004C7986"/>
    <w:rsid w:val="004C7B9E"/>
    <w:rsid w:val="004D0028"/>
    <w:rsid w:val="004D176D"/>
    <w:rsid w:val="004D1ADD"/>
    <w:rsid w:val="004D25F1"/>
    <w:rsid w:val="004D2C06"/>
    <w:rsid w:val="004D2F98"/>
    <w:rsid w:val="004D3602"/>
    <w:rsid w:val="004D49F2"/>
    <w:rsid w:val="004D4F7B"/>
    <w:rsid w:val="004D55E3"/>
    <w:rsid w:val="004D5C45"/>
    <w:rsid w:val="004D6821"/>
    <w:rsid w:val="004D6A46"/>
    <w:rsid w:val="004D7479"/>
    <w:rsid w:val="004D7CE4"/>
    <w:rsid w:val="004E0062"/>
    <w:rsid w:val="004E037C"/>
    <w:rsid w:val="004E13E9"/>
    <w:rsid w:val="004E1563"/>
    <w:rsid w:val="004E18F8"/>
    <w:rsid w:val="004E1DA4"/>
    <w:rsid w:val="004E20E6"/>
    <w:rsid w:val="004E239F"/>
    <w:rsid w:val="004E28B7"/>
    <w:rsid w:val="004E2D7A"/>
    <w:rsid w:val="004E41CF"/>
    <w:rsid w:val="004E562B"/>
    <w:rsid w:val="004E58C8"/>
    <w:rsid w:val="004E5A46"/>
    <w:rsid w:val="004E61D2"/>
    <w:rsid w:val="004E636D"/>
    <w:rsid w:val="004E6712"/>
    <w:rsid w:val="004E6A6D"/>
    <w:rsid w:val="004E6C85"/>
    <w:rsid w:val="004E744A"/>
    <w:rsid w:val="004F00B0"/>
    <w:rsid w:val="004F0120"/>
    <w:rsid w:val="004F194C"/>
    <w:rsid w:val="004F1E64"/>
    <w:rsid w:val="004F2A77"/>
    <w:rsid w:val="004F2B46"/>
    <w:rsid w:val="004F30E1"/>
    <w:rsid w:val="004F3681"/>
    <w:rsid w:val="004F4595"/>
    <w:rsid w:val="004F47ED"/>
    <w:rsid w:val="004F4902"/>
    <w:rsid w:val="004F4C00"/>
    <w:rsid w:val="004F57E7"/>
    <w:rsid w:val="004F5D8D"/>
    <w:rsid w:val="004F62A7"/>
    <w:rsid w:val="004F6A79"/>
    <w:rsid w:val="004F71A5"/>
    <w:rsid w:val="004F7443"/>
    <w:rsid w:val="004F7E28"/>
    <w:rsid w:val="00500665"/>
    <w:rsid w:val="00500B1B"/>
    <w:rsid w:val="00501048"/>
    <w:rsid w:val="005017AD"/>
    <w:rsid w:val="00501BCE"/>
    <w:rsid w:val="00501BF4"/>
    <w:rsid w:val="00502622"/>
    <w:rsid w:val="005028DC"/>
    <w:rsid w:val="00502BE4"/>
    <w:rsid w:val="00503870"/>
    <w:rsid w:val="0050396C"/>
    <w:rsid w:val="00503A64"/>
    <w:rsid w:val="00503A6D"/>
    <w:rsid w:val="005041B5"/>
    <w:rsid w:val="0050444C"/>
    <w:rsid w:val="0050465E"/>
    <w:rsid w:val="00504765"/>
    <w:rsid w:val="0050520D"/>
    <w:rsid w:val="00505748"/>
    <w:rsid w:val="00505A33"/>
    <w:rsid w:val="00505B01"/>
    <w:rsid w:val="00505CC1"/>
    <w:rsid w:val="0050604C"/>
    <w:rsid w:val="005061FF"/>
    <w:rsid w:val="005067BF"/>
    <w:rsid w:val="00506922"/>
    <w:rsid w:val="00506AE4"/>
    <w:rsid w:val="00506B11"/>
    <w:rsid w:val="00506C2B"/>
    <w:rsid w:val="00507780"/>
    <w:rsid w:val="00507E9A"/>
    <w:rsid w:val="00507EFC"/>
    <w:rsid w:val="00510C17"/>
    <w:rsid w:val="005112EC"/>
    <w:rsid w:val="00512C64"/>
    <w:rsid w:val="0051436A"/>
    <w:rsid w:val="005147E1"/>
    <w:rsid w:val="0051483E"/>
    <w:rsid w:val="00514A60"/>
    <w:rsid w:val="00515E93"/>
    <w:rsid w:val="005173F6"/>
    <w:rsid w:val="00517E4C"/>
    <w:rsid w:val="00521D6C"/>
    <w:rsid w:val="00522195"/>
    <w:rsid w:val="00523BD2"/>
    <w:rsid w:val="00524242"/>
    <w:rsid w:val="005242A3"/>
    <w:rsid w:val="00524785"/>
    <w:rsid w:val="005247CC"/>
    <w:rsid w:val="00524DCB"/>
    <w:rsid w:val="00525A70"/>
    <w:rsid w:val="00525C95"/>
    <w:rsid w:val="0052645A"/>
    <w:rsid w:val="00526E3E"/>
    <w:rsid w:val="0052717B"/>
    <w:rsid w:val="00527D90"/>
    <w:rsid w:val="005305F1"/>
    <w:rsid w:val="00530B47"/>
    <w:rsid w:val="00531279"/>
    <w:rsid w:val="00531549"/>
    <w:rsid w:val="00531A31"/>
    <w:rsid w:val="00532E74"/>
    <w:rsid w:val="00533CB6"/>
    <w:rsid w:val="00534584"/>
    <w:rsid w:val="00536717"/>
    <w:rsid w:val="00537D46"/>
    <w:rsid w:val="00537ED0"/>
    <w:rsid w:val="005403EB"/>
    <w:rsid w:val="005414D7"/>
    <w:rsid w:val="005416C7"/>
    <w:rsid w:val="005417C2"/>
    <w:rsid w:val="005417F0"/>
    <w:rsid w:val="00541B4F"/>
    <w:rsid w:val="00542F24"/>
    <w:rsid w:val="00543277"/>
    <w:rsid w:val="005435DF"/>
    <w:rsid w:val="00543A3A"/>
    <w:rsid w:val="00543CE0"/>
    <w:rsid w:val="00543EFD"/>
    <w:rsid w:val="00544EE6"/>
    <w:rsid w:val="00544FD7"/>
    <w:rsid w:val="005451FD"/>
    <w:rsid w:val="00545378"/>
    <w:rsid w:val="00545806"/>
    <w:rsid w:val="00545CCE"/>
    <w:rsid w:val="00547638"/>
    <w:rsid w:val="00547ADA"/>
    <w:rsid w:val="005502D9"/>
    <w:rsid w:val="0055082E"/>
    <w:rsid w:val="005515E0"/>
    <w:rsid w:val="005516EE"/>
    <w:rsid w:val="00551887"/>
    <w:rsid w:val="00552A93"/>
    <w:rsid w:val="00552F5E"/>
    <w:rsid w:val="0055355C"/>
    <w:rsid w:val="00553ED0"/>
    <w:rsid w:val="00554194"/>
    <w:rsid w:val="0055508E"/>
    <w:rsid w:val="00555156"/>
    <w:rsid w:val="005555CE"/>
    <w:rsid w:val="00555C4C"/>
    <w:rsid w:val="00556355"/>
    <w:rsid w:val="0055651A"/>
    <w:rsid w:val="0055676C"/>
    <w:rsid w:val="00556D3B"/>
    <w:rsid w:val="00557794"/>
    <w:rsid w:val="005607F3"/>
    <w:rsid w:val="00560AE1"/>
    <w:rsid w:val="0056250B"/>
    <w:rsid w:val="00562CA7"/>
    <w:rsid w:val="00563038"/>
    <w:rsid w:val="005632B4"/>
    <w:rsid w:val="00563A72"/>
    <w:rsid w:val="005641D2"/>
    <w:rsid w:val="0056790E"/>
    <w:rsid w:val="005700E7"/>
    <w:rsid w:val="00570651"/>
    <w:rsid w:val="005713DC"/>
    <w:rsid w:val="00572DE0"/>
    <w:rsid w:val="00573139"/>
    <w:rsid w:val="00574471"/>
    <w:rsid w:val="0057683F"/>
    <w:rsid w:val="0057700A"/>
    <w:rsid w:val="0057702C"/>
    <w:rsid w:val="00577233"/>
    <w:rsid w:val="00577B5F"/>
    <w:rsid w:val="0058176B"/>
    <w:rsid w:val="005824EA"/>
    <w:rsid w:val="00582793"/>
    <w:rsid w:val="0058291A"/>
    <w:rsid w:val="00582F16"/>
    <w:rsid w:val="00583863"/>
    <w:rsid w:val="00583897"/>
    <w:rsid w:val="0058402B"/>
    <w:rsid w:val="0058505F"/>
    <w:rsid w:val="005853A5"/>
    <w:rsid w:val="00585755"/>
    <w:rsid w:val="00585BCE"/>
    <w:rsid w:val="00586B99"/>
    <w:rsid w:val="005874B7"/>
    <w:rsid w:val="00587812"/>
    <w:rsid w:val="00587B94"/>
    <w:rsid w:val="00587DE5"/>
    <w:rsid w:val="005917F3"/>
    <w:rsid w:val="00592310"/>
    <w:rsid w:val="00592638"/>
    <w:rsid w:val="0059284B"/>
    <w:rsid w:val="00592B19"/>
    <w:rsid w:val="005934AF"/>
    <w:rsid w:val="00593836"/>
    <w:rsid w:val="00593A4E"/>
    <w:rsid w:val="00593FED"/>
    <w:rsid w:val="005951B9"/>
    <w:rsid w:val="005965C1"/>
    <w:rsid w:val="00596874"/>
    <w:rsid w:val="00596E3D"/>
    <w:rsid w:val="00596F04"/>
    <w:rsid w:val="00597174"/>
    <w:rsid w:val="005974F1"/>
    <w:rsid w:val="005A0474"/>
    <w:rsid w:val="005A052A"/>
    <w:rsid w:val="005A1324"/>
    <w:rsid w:val="005A1751"/>
    <w:rsid w:val="005A1BAB"/>
    <w:rsid w:val="005A1C28"/>
    <w:rsid w:val="005A1F36"/>
    <w:rsid w:val="005A2676"/>
    <w:rsid w:val="005A2A2D"/>
    <w:rsid w:val="005A2F33"/>
    <w:rsid w:val="005A3C4A"/>
    <w:rsid w:val="005A3E8C"/>
    <w:rsid w:val="005A4266"/>
    <w:rsid w:val="005A461F"/>
    <w:rsid w:val="005A4885"/>
    <w:rsid w:val="005A5165"/>
    <w:rsid w:val="005A612B"/>
    <w:rsid w:val="005A63DF"/>
    <w:rsid w:val="005A6BDE"/>
    <w:rsid w:val="005A7467"/>
    <w:rsid w:val="005A7901"/>
    <w:rsid w:val="005B00F1"/>
    <w:rsid w:val="005B07D1"/>
    <w:rsid w:val="005B0CA7"/>
    <w:rsid w:val="005B243A"/>
    <w:rsid w:val="005B270C"/>
    <w:rsid w:val="005B2779"/>
    <w:rsid w:val="005B30C7"/>
    <w:rsid w:val="005B3871"/>
    <w:rsid w:val="005B3D86"/>
    <w:rsid w:val="005B3FCE"/>
    <w:rsid w:val="005B4658"/>
    <w:rsid w:val="005B4C76"/>
    <w:rsid w:val="005B4D9B"/>
    <w:rsid w:val="005B51BA"/>
    <w:rsid w:val="005B55B8"/>
    <w:rsid w:val="005B608A"/>
    <w:rsid w:val="005B63D4"/>
    <w:rsid w:val="005B6D35"/>
    <w:rsid w:val="005C0ABC"/>
    <w:rsid w:val="005C0CDD"/>
    <w:rsid w:val="005C0E6B"/>
    <w:rsid w:val="005C1AF0"/>
    <w:rsid w:val="005C21E0"/>
    <w:rsid w:val="005C2543"/>
    <w:rsid w:val="005C2E99"/>
    <w:rsid w:val="005C5146"/>
    <w:rsid w:val="005C5393"/>
    <w:rsid w:val="005C5D8B"/>
    <w:rsid w:val="005C5F8C"/>
    <w:rsid w:val="005C63C0"/>
    <w:rsid w:val="005C64CB"/>
    <w:rsid w:val="005C6D61"/>
    <w:rsid w:val="005D0F33"/>
    <w:rsid w:val="005D1A03"/>
    <w:rsid w:val="005D2327"/>
    <w:rsid w:val="005D3610"/>
    <w:rsid w:val="005D3ADB"/>
    <w:rsid w:val="005D3F2E"/>
    <w:rsid w:val="005D438C"/>
    <w:rsid w:val="005D4646"/>
    <w:rsid w:val="005D4B8F"/>
    <w:rsid w:val="005D5673"/>
    <w:rsid w:val="005D68CB"/>
    <w:rsid w:val="005D6A69"/>
    <w:rsid w:val="005D6ACD"/>
    <w:rsid w:val="005D6B92"/>
    <w:rsid w:val="005D7AEF"/>
    <w:rsid w:val="005E1D4E"/>
    <w:rsid w:val="005E2B7B"/>
    <w:rsid w:val="005E2E37"/>
    <w:rsid w:val="005E3EC3"/>
    <w:rsid w:val="005E47B5"/>
    <w:rsid w:val="005E5E11"/>
    <w:rsid w:val="005E7120"/>
    <w:rsid w:val="005E75C2"/>
    <w:rsid w:val="005F0060"/>
    <w:rsid w:val="005F0A4D"/>
    <w:rsid w:val="005F14DF"/>
    <w:rsid w:val="005F1B05"/>
    <w:rsid w:val="005F2DBF"/>
    <w:rsid w:val="005F3E80"/>
    <w:rsid w:val="005F44D0"/>
    <w:rsid w:val="005F5222"/>
    <w:rsid w:val="005F532A"/>
    <w:rsid w:val="005F58A8"/>
    <w:rsid w:val="005F5B97"/>
    <w:rsid w:val="005F5C1D"/>
    <w:rsid w:val="005F64C0"/>
    <w:rsid w:val="005F698B"/>
    <w:rsid w:val="005F6D46"/>
    <w:rsid w:val="005F6E60"/>
    <w:rsid w:val="005F70E6"/>
    <w:rsid w:val="005F72C3"/>
    <w:rsid w:val="006004F3"/>
    <w:rsid w:val="00600DEC"/>
    <w:rsid w:val="00601E30"/>
    <w:rsid w:val="00601FC5"/>
    <w:rsid w:val="00602E86"/>
    <w:rsid w:val="0060362E"/>
    <w:rsid w:val="0060394B"/>
    <w:rsid w:val="006041EB"/>
    <w:rsid w:val="006045D2"/>
    <w:rsid w:val="00604A46"/>
    <w:rsid w:val="00604AC3"/>
    <w:rsid w:val="00604BAB"/>
    <w:rsid w:val="00604D6A"/>
    <w:rsid w:val="00605161"/>
    <w:rsid w:val="00605A47"/>
    <w:rsid w:val="00606A57"/>
    <w:rsid w:val="00606A8E"/>
    <w:rsid w:val="00610682"/>
    <w:rsid w:val="00611AD5"/>
    <w:rsid w:val="00611D13"/>
    <w:rsid w:val="006127DB"/>
    <w:rsid w:val="006134ED"/>
    <w:rsid w:val="00613A96"/>
    <w:rsid w:val="0061515D"/>
    <w:rsid w:val="00615A10"/>
    <w:rsid w:val="00615A29"/>
    <w:rsid w:val="00615B48"/>
    <w:rsid w:val="0061748D"/>
    <w:rsid w:val="006207F5"/>
    <w:rsid w:val="0062155D"/>
    <w:rsid w:val="006215F7"/>
    <w:rsid w:val="00621EBC"/>
    <w:rsid w:val="00622205"/>
    <w:rsid w:val="0062240E"/>
    <w:rsid w:val="00622ADF"/>
    <w:rsid w:val="00623384"/>
    <w:rsid w:val="00623E08"/>
    <w:rsid w:val="006241A9"/>
    <w:rsid w:val="006245F8"/>
    <w:rsid w:val="006247D7"/>
    <w:rsid w:val="00624F36"/>
    <w:rsid w:val="00625043"/>
    <w:rsid w:val="006255CA"/>
    <w:rsid w:val="00625974"/>
    <w:rsid w:val="00626ED1"/>
    <w:rsid w:val="0062772D"/>
    <w:rsid w:val="0063059C"/>
    <w:rsid w:val="00630EAA"/>
    <w:rsid w:val="00630EE7"/>
    <w:rsid w:val="006330E2"/>
    <w:rsid w:val="0063445C"/>
    <w:rsid w:val="006356C7"/>
    <w:rsid w:val="006366B9"/>
    <w:rsid w:val="006368CB"/>
    <w:rsid w:val="00637725"/>
    <w:rsid w:val="0063773C"/>
    <w:rsid w:val="006416C8"/>
    <w:rsid w:val="006422DD"/>
    <w:rsid w:val="00642BE5"/>
    <w:rsid w:val="00642CBC"/>
    <w:rsid w:val="00642F78"/>
    <w:rsid w:val="00643144"/>
    <w:rsid w:val="00643FFA"/>
    <w:rsid w:val="006446A5"/>
    <w:rsid w:val="006453C1"/>
    <w:rsid w:val="00646C33"/>
    <w:rsid w:val="00646FC9"/>
    <w:rsid w:val="006473A9"/>
    <w:rsid w:val="00647A1E"/>
    <w:rsid w:val="00647D40"/>
    <w:rsid w:val="00647EF3"/>
    <w:rsid w:val="006503D9"/>
    <w:rsid w:val="00650B0A"/>
    <w:rsid w:val="00650C5E"/>
    <w:rsid w:val="00650CD4"/>
    <w:rsid w:val="00651253"/>
    <w:rsid w:val="006516B5"/>
    <w:rsid w:val="00651B5B"/>
    <w:rsid w:val="00651B5D"/>
    <w:rsid w:val="00652247"/>
    <w:rsid w:val="006527A5"/>
    <w:rsid w:val="00652BFA"/>
    <w:rsid w:val="00652D01"/>
    <w:rsid w:val="00653709"/>
    <w:rsid w:val="00653BBD"/>
    <w:rsid w:val="00654395"/>
    <w:rsid w:val="00654C8C"/>
    <w:rsid w:val="00654E69"/>
    <w:rsid w:val="0065627A"/>
    <w:rsid w:val="006571C4"/>
    <w:rsid w:val="00657502"/>
    <w:rsid w:val="00657A92"/>
    <w:rsid w:val="00660141"/>
    <w:rsid w:val="00660461"/>
    <w:rsid w:val="00660C25"/>
    <w:rsid w:val="0066109C"/>
    <w:rsid w:val="006610B3"/>
    <w:rsid w:val="00661A0B"/>
    <w:rsid w:val="00662059"/>
    <w:rsid w:val="00663A11"/>
    <w:rsid w:val="006645BB"/>
    <w:rsid w:val="00664671"/>
    <w:rsid w:val="006647C7"/>
    <w:rsid w:val="00664840"/>
    <w:rsid w:val="00665B6B"/>
    <w:rsid w:val="00666286"/>
    <w:rsid w:val="00667FAA"/>
    <w:rsid w:val="00670777"/>
    <w:rsid w:val="00671024"/>
    <w:rsid w:val="00672049"/>
    <w:rsid w:val="006720AC"/>
    <w:rsid w:val="00672213"/>
    <w:rsid w:val="00672B69"/>
    <w:rsid w:val="00672D0F"/>
    <w:rsid w:val="00675363"/>
    <w:rsid w:val="00675A2C"/>
    <w:rsid w:val="00676145"/>
    <w:rsid w:val="00680848"/>
    <w:rsid w:val="00680BE6"/>
    <w:rsid w:val="00681E1D"/>
    <w:rsid w:val="00682456"/>
    <w:rsid w:val="00682AD6"/>
    <w:rsid w:val="00682D72"/>
    <w:rsid w:val="00683625"/>
    <w:rsid w:val="006836F1"/>
    <w:rsid w:val="00685041"/>
    <w:rsid w:val="006852CA"/>
    <w:rsid w:val="00685D9F"/>
    <w:rsid w:val="00685E04"/>
    <w:rsid w:val="00687A5F"/>
    <w:rsid w:val="00687BA9"/>
    <w:rsid w:val="00690F98"/>
    <w:rsid w:val="00690FF3"/>
    <w:rsid w:val="00691EE4"/>
    <w:rsid w:val="00691FA5"/>
    <w:rsid w:val="00692406"/>
    <w:rsid w:val="006924E4"/>
    <w:rsid w:val="0069292E"/>
    <w:rsid w:val="0069327C"/>
    <w:rsid w:val="00693F2B"/>
    <w:rsid w:val="0069416A"/>
    <w:rsid w:val="00694878"/>
    <w:rsid w:val="00694A08"/>
    <w:rsid w:val="00694BFB"/>
    <w:rsid w:val="0069585A"/>
    <w:rsid w:val="00695960"/>
    <w:rsid w:val="006960BB"/>
    <w:rsid w:val="0069674C"/>
    <w:rsid w:val="006970C5"/>
    <w:rsid w:val="006977A6"/>
    <w:rsid w:val="006A009E"/>
    <w:rsid w:val="006A0BBB"/>
    <w:rsid w:val="006A112F"/>
    <w:rsid w:val="006A1E63"/>
    <w:rsid w:val="006A2296"/>
    <w:rsid w:val="006A2404"/>
    <w:rsid w:val="006A2AD4"/>
    <w:rsid w:val="006A2C33"/>
    <w:rsid w:val="006A33A7"/>
    <w:rsid w:val="006A3D37"/>
    <w:rsid w:val="006A4B6C"/>
    <w:rsid w:val="006A4E38"/>
    <w:rsid w:val="006A53ED"/>
    <w:rsid w:val="006A5B11"/>
    <w:rsid w:val="006A6489"/>
    <w:rsid w:val="006A65C9"/>
    <w:rsid w:val="006A6959"/>
    <w:rsid w:val="006A7AAB"/>
    <w:rsid w:val="006B00F0"/>
    <w:rsid w:val="006B1AB8"/>
    <w:rsid w:val="006B2032"/>
    <w:rsid w:val="006B2D30"/>
    <w:rsid w:val="006B3F00"/>
    <w:rsid w:val="006B407F"/>
    <w:rsid w:val="006B4CAE"/>
    <w:rsid w:val="006B545A"/>
    <w:rsid w:val="006B5864"/>
    <w:rsid w:val="006B58FF"/>
    <w:rsid w:val="006B6554"/>
    <w:rsid w:val="006B7011"/>
    <w:rsid w:val="006B7598"/>
    <w:rsid w:val="006B7721"/>
    <w:rsid w:val="006C076C"/>
    <w:rsid w:val="006C15B9"/>
    <w:rsid w:val="006C20B4"/>
    <w:rsid w:val="006C38F5"/>
    <w:rsid w:val="006C3CCE"/>
    <w:rsid w:val="006C3F4C"/>
    <w:rsid w:val="006C4EE3"/>
    <w:rsid w:val="006C5BB7"/>
    <w:rsid w:val="006C5F16"/>
    <w:rsid w:val="006C5F4B"/>
    <w:rsid w:val="006C7AC0"/>
    <w:rsid w:val="006C7F1E"/>
    <w:rsid w:val="006C7F45"/>
    <w:rsid w:val="006D01FF"/>
    <w:rsid w:val="006D07E5"/>
    <w:rsid w:val="006D1721"/>
    <w:rsid w:val="006D1C2E"/>
    <w:rsid w:val="006D1E71"/>
    <w:rsid w:val="006D2459"/>
    <w:rsid w:val="006D2E5C"/>
    <w:rsid w:val="006D2EB8"/>
    <w:rsid w:val="006D32C7"/>
    <w:rsid w:val="006D469B"/>
    <w:rsid w:val="006D4B1F"/>
    <w:rsid w:val="006D58FA"/>
    <w:rsid w:val="006D60A5"/>
    <w:rsid w:val="006D686D"/>
    <w:rsid w:val="006D6D9F"/>
    <w:rsid w:val="006D7B51"/>
    <w:rsid w:val="006E0010"/>
    <w:rsid w:val="006E01E0"/>
    <w:rsid w:val="006E0419"/>
    <w:rsid w:val="006E0837"/>
    <w:rsid w:val="006E0E2B"/>
    <w:rsid w:val="006E1267"/>
    <w:rsid w:val="006E16DC"/>
    <w:rsid w:val="006E1B80"/>
    <w:rsid w:val="006E204D"/>
    <w:rsid w:val="006E2A1A"/>
    <w:rsid w:val="006E352D"/>
    <w:rsid w:val="006E35E3"/>
    <w:rsid w:val="006E363F"/>
    <w:rsid w:val="006E37B9"/>
    <w:rsid w:val="006E3B32"/>
    <w:rsid w:val="006E4767"/>
    <w:rsid w:val="006E4F5A"/>
    <w:rsid w:val="006E5415"/>
    <w:rsid w:val="006E6623"/>
    <w:rsid w:val="006E6D16"/>
    <w:rsid w:val="006E7051"/>
    <w:rsid w:val="006E740F"/>
    <w:rsid w:val="006E7C3E"/>
    <w:rsid w:val="006F0698"/>
    <w:rsid w:val="006F0B14"/>
    <w:rsid w:val="006F1624"/>
    <w:rsid w:val="006F1B1E"/>
    <w:rsid w:val="006F2538"/>
    <w:rsid w:val="006F348B"/>
    <w:rsid w:val="006F3B11"/>
    <w:rsid w:val="006F45E5"/>
    <w:rsid w:val="006F54A3"/>
    <w:rsid w:val="006F647E"/>
    <w:rsid w:val="006F686C"/>
    <w:rsid w:val="006F72A9"/>
    <w:rsid w:val="006F7B49"/>
    <w:rsid w:val="006F7DA9"/>
    <w:rsid w:val="006F7EFE"/>
    <w:rsid w:val="00700284"/>
    <w:rsid w:val="007005FB"/>
    <w:rsid w:val="00701BC7"/>
    <w:rsid w:val="007026CC"/>
    <w:rsid w:val="00702AC8"/>
    <w:rsid w:val="00702B0E"/>
    <w:rsid w:val="00703827"/>
    <w:rsid w:val="00703A47"/>
    <w:rsid w:val="00704747"/>
    <w:rsid w:val="00705676"/>
    <w:rsid w:val="0070596B"/>
    <w:rsid w:val="00705E33"/>
    <w:rsid w:val="00707527"/>
    <w:rsid w:val="00707CD5"/>
    <w:rsid w:val="00710FD5"/>
    <w:rsid w:val="007112DE"/>
    <w:rsid w:val="00711AA7"/>
    <w:rsid w:val="00712986"/>
    <w:rsid w:val="00712A86"/>
    <w:rsid w:val="00713476"/>
    <w:rsid w:val="007136C5"/>
    <w:rsid w:val="00715A9C"/>
    <w:rsid w:val="00717327"/>
    <w:rsid w:val="00717449"/>
    <w:rsid w:val="00720C55"/>
    <w:rsid w:val="00721580"/>
    <w:rsid w:val="007224B9"/>
    <w:rsid w:val="007231C4"/>
    <w:rsid w:val="00723433"/>
    <w:rsid w:val="0072377C"/>
    <w:rsid w:val="00723931"/>
    <w:rsid w:val="00724A03"/>
    <w:rsid w:val="00724E77"/>
    <w:rsid w:val="0072648F"/>
    <w:rsid w:val="007267C9"/>
    <w:rsid w:val="00726925"/>
    <w:rsid w:val="00730FB5"/>
    <w:rsid w:val="00731249"/>
    <w:rsid w:val="0073151F"/>
    <w:rsid w:val="00731FF6"/>
    <w:rsid w:val="007321E7"/>
    <w:rsid w:val="00732A49"/>
    <w:rsid w:val="00733016"/>
    <w:rsid w:val="0073335E"/>
    <w:rsid w:val="00733EA8"/>
    <w:rsid w:val="00734461"/>
    <w:rsid w:val="00734B85"/>
    <w:rsid w:val="007352EC"/>
    <w:rsid w:val="007353C8"/>
    <w:rsid w:val="00735B0F"/>
    <w:rsid w:val="007360A9"/>
    <w:rsid w:val="007360E4"/>
    <w:rsid w:val="007367EF"/>
    <w:rsid w:val="0073711C"/>
    <w:rsid w:val="007376C8"/>
    <w:rsid w:val="00740CEC"/>
    <w:rsid w:val="00740DEE"/>
    <w:rsid w:val="007414EE"/>
    <w:rsid w:val="00743327"/>
    <w:rsid w:val="00743AB8"/>
    <w:rsid w:val="00743C0C"/>
    <w:rsid w:val="00743CFE"/>
    <w:rsid w:val="0074451D"/>
    <w:rsid w:val="007446D2"/>
    <w:rsid w:val="00744EDB"/>
    <w:rsid w:val="00744F5C"/>
    <w:rsid w:val="007462CE"/>
    <w:rsid w:val="0074717F"/>
    <w:rsid w:val="00747425"/>
    <w:rsid w:val="007476FC"/>
    <w:rsid w:val="00747B38"/>
    <w:rsid w:val="00750369"/>
    <w:rsid w:val="007504BA"/>
    <w:rsid w:val="00750DEB"/>
    <w:rsid w:val="0075141D"/>
    <w:rsid w:val="007514FA"/>
    <w:rsid w:val="00751B31"/>
    <w:rsid w:val="00751CFE"/>
    <w:rsid w:val="00752F2D"/>
    <w:rsid w:val="00752F91"/>
    <w:rsid w:val="00753486"/>
    <w:rsid w:val="00753E5D"/>
    <w:rsid w:val="00753E8F"/>
    <w:rsid w:val="007549DD"/>
    <w:rsid w:val="00754FE1"/>
    <w:rsid w:val="00755308"/>
    <w:rsid w:val="00755F22"/>
    <w:rsid w:val="00756197"/>
    <w:rsid w:val="007576ED"/>
    <w:rsid w:val="00757708"/>
    <w:rsid w:val="00757731"/>
    <w:rsid w:val="0075789B"/>
    <w:rsid w:val="007578B6"/>
    <w:rsid w:val="00760291"/>
    <w:rsid w:val="0076097D"/>
    <w:rsid w:val="007617E8"/>
    <w:rsid w:val="00761A06"/>
    <w:rsid w:val="00761E13"/>
    <w:rsid w:val="00762043"/>
    <w:rsid w:val="00762175"/>
    <w:rsid w:val="00764952"/>
    <w:rsid w:val="00764C40"/>
    <w:rsid w:val="00764D5C"/>
    <w:rsid w:val="0076516C"/>
    <w:rsid w:val="00765696"/>
    <w:rsid w:val="00765C65"/>
    <w:rsid w:val="007660EF"/>
    <w:rsid w:val="00766BB0"/>
    <w:rsid w:val="00766D58"/>
    <w:rsid w:val="007672ED"/>
    <w:rsid w:val="00767681"/>
    <w:rsid w:val="007700CE"/>
    <w:rsid w:val="00770A0D"/>
    <w:rsid w:val="00771453"/>
    <w:rsid w:val="007714BF"/>
    <w:rsid w:val="00771548"/>
    <w:rsid w:val="007716A3"/>
    <w:rsid w:val="00771BDC"/>
    <w:rsid w:val="0077245D"/>
    <w:rsid w:val="00773684"/>
    <w:rsid w:val="007741C3"/>
    <w:rsid w:val="007759B3"/>
    <w:rsid w:val="007771A2"/>
    <w:rsid w:val="00777462"/>
    <w:rsid w:val="007802A2"/>
    <w:rsid w:val="00780938"/>
    <w:rsid w:val="00780D34"/>
    <w:rsid w:val="00781012"/>
    <w:rsid w:val="0078103B"/>
    <w:rsid w:val="007816CB"/>
    <w:rsid w:val="00782484"/>
    <w:rsid w:val="00782AD2"/>
    <w:rsid w:val="00782B19"/>
    <w:rsid w:val="00783910"/>
    <w:rsid w:val="00784621"/>
    <w:rsid w:val="00784DD0"/>
    <w:rsid w:val="00784DEE"/>
    <w:rsid w:val="00784E2B"/>
    <w:rsid w:val="007877AF"/>
    <w:rsid w:val="00787DE2"/>
    <w:rsid w:val="00787FF9"/>
    <w:rsid w:val="00790144"/>
    <w:rsid w:val="0079099D"/>
    <w:rsid w:val="00790AB3"/>
    <w:rsid w:val="00790C7F"/>
    <w:rsid w:val="00791924"/>
    <w:rsid w:val="0079213A"/>
    <w:rsid w:val="0079272F"/>
    <w:rsid w:val="007931C5"/>
    <w:rsid w:val="0079357C"/>
    <w:rsid w:val="00794A41"/>
    <w:rsid w:val="00795354"/>
    <w:rsid w:val="00795AEB"/>
    <w:rsid w:val="007961A0"/>
    <w:rsid w:val="007964FA"/>
    <w:rsid w:val="00796672"/>
    <w:rsid w:val="00796E1D"/>
    <w:rsid w:val="00796EBB"/>
    <w:rsid w:val="00796F3F"/>
    <w:rsid w:val="00797BD5"/>
    <w:rsid w:val="00797E3E"/>
    <w:rsid w:val="00797FD4"/>
    <w:rsid w:val="007A13FD"/>
    <w:rsid w:val="007A1DF2"/>
    <w:rsid w:val="007A2728"/>
    <w:rsid w:val="007A2E09"/>
    <w:rsid w:val="007A339A"/>
    <w:rsid w:val="007A419D"/>
    <w:rsid w:val="007A4C2F"/>
    <w:rsid w:val="007A50C3"/>
    <w:rsid w:val="007A550A"/>
    <w:rsid w:val="007A6187"/>
    <w:rsid w:val="007A68FB"/>
    <w:rsid w:val="007A6D77"/>
    <w:rsid w:val="007A7305"/>
    <w:rsid w:val="007A7386"/>
    <w:rsid w:val="007B025D"/>
    <w:rsid w:val="007B0691"/>
    <w:rsid w:val="007B1EE1"/>
    <w:rsid w:val="007B290D"/>
    <w:rsid w:val="007B3A98"/>
    <w:rsid w:val="007B45C3"/>
    <w:rsid w:val="007B4F37"/>
    <w:rsid w:val="007B51CC"/>
    <w:rsid w:val="007B5697"/>
    <w:rsid w:val="007B69AC"/>
    <w:rsid w:val="007B6CF9"/>
    <w:rsid w:val="007C0F67"/>
    <w:rsid w:val="007C2BB5"/>
    <w:rsid w:val="007C31D2"/>
    <w:rsid w:val="007C42E1"/>
    <w:rsid w:val="007C5536"/>
    <w:rsid w:val="007C5E00"/>
    <w:rsid w:val="007C5E37"/>
    <w:rsid w:val="007C5F99"/>
    <w:rsid w:val="007C6960"/>
    <w:rsid w:val="007C6EE0"/>
    <w:rsid w:val="007C6F60"/>
    <w:rsid w:val="007C6FC5"/>
    <w:rsid w:val="007D0520"/>
    <w:rsid w:val="007D110A"/>
    <w:rsid w:val="007D1BCA"/>
    <w:rsid w:val="007D1BD0"/>
    <w:rsid w:val="007D25F0"/>
    <w:rsid w:val="007D2819"/>
    <w:rsid w:val="007D5021"/>
    <w:rsid w:val="007D6AC8"/>
    <w:rsid w:val="007D6CB3"/>
    <w:rsid w:val="007E1E6D"/>
    <w:rsid w:val="007E3A98"/>
    <w:rsid w:val="007E3CC1"/>
    <w:rsid w:val="007E4CA4"/>
    <w:rsid w:val="007E5143"/>
    <w:rsid w:val="007E5784"/>
    <w:rsid w:val="007E5D3C"/>
    <w:rsid w:val="007E648F"/>
    <w:rsid w:val="007E6858"/>
    <w:rsid w:val="007E6C1C"/>
    <w:rsid w:val="007E6C6B"/>
    <w:rsid w:val="007E6F2E"/>
    <w:rsid w:val="007E6F6A"/>
    <w:rsid w:val="007E7CD4"/>
    <w:rsid w:val="007F0710"/>
    <w:rsid w:val="007F0C69"/>
    <w:rsid w:val="007F1F9B"/>
    <w:rsid w:val="007F2758"/>
    <w:rsid w:val="007F29DE"/>
    <w:rsid w:val="007F33E5"/>
    <w:rsid w:val="007F343D"/>
    <w:rsid w:val="007F3B87"/>
    <w:rsid w:val="007F40AA"/>
    <w:rsid w:val="007F4F0A"/>
    <w:rsid w:val="007F4FD1"/>
    <w:rsid w:val="007F5655"/>
    <w:rsid w:val="007F6797"/>
    <w:rsid w:val="007F6B40"/>
    <w:rsid w:val="007F6D42"/>
    <w:rsid w:val="007F7504"/>
    <w:rsid w:val="007F7AA4"/>
    <w:rsid w:val="007F7C31"/>
    <w:rsid w:val="007F7DEC"/>
    <w:rsid w:val="0080048A"/>
    <w:rsid w:val="008006F6"/>
    <w:rsid w:val="0080087D"/>
    <w:rsid w:val="008018A6"/>
    <w:rsid w:val="00803A5B"/>
    <w:rsid w:val="00803E30"/>
    <w:rsid w:val="00804F94"/>
    <w:rsid w:val="0080545E"/>
    <w:rsid w:val="008058D7"/>
    <w:rsid w:val="00805F60"/>
    <w:rsid w:val="00806066"/>
    <w:rsid w:val="008100B8"/>
    <w:rsid w:val="00810249"/>
    <w:rsid w:val="00810731"/>
    <w:rsid w:val="00810AB2"/>
    <w:rsid w:val="00810FC1"/>
    <w:rsid w:val="008112DD"/>
    <w:rsid w:val="0081200E"/>
    <w:rsid w:val="00812893"/>
    <w:rsid w:val="00812F1F"/>
    <w:rsid w:val="00813263"/>
    <w:rsid w:val="00813C7B"/>
    <w:rsid w:val="0081433B"/>
    <w:rsid w:val="008168A0"/>
    <w:rsid w:val="00817FF2"/>
    <w:rsid w:val="0082013F"/>
    <w:rsid w:val="00821115"/>
    <w:rsid w:val="00821412"/>
    <w:rsid w:val="00821E74"/>
    <w:rsid w:val="00822945"/>
    <w:rsid w:val="008230A8"/>
    <w:rsid w:val="008232CE"/>
    <w:rsid w:val="008232D7"/>
    <w:rsid w:val="0082372F"/>
    <w:rsid w:val="0082423A"/>
    <w:rsid w:val="00824C7A"/>
    <w:rsid w:val="008258D6"/>
    <w:rsid w:val="00827785"/>
    <w:rsid w:val="00827C4F"/>
    <w:rsid w:val="00827EFA"/>
    <w:rsid w:val="008311B6"/>
    <w:rsid w:val="00831276"/>
    <w:rsid w:val="00831416"/>
    <w:rsid w:val="00831EF7"/>
    <w:rsid w:val="008325CD"/>
    <w:rsid w:val="00833392"/>
    <w:rsid w:val="008333AA"/>
    <w:rsid w:val="00833837"/>
    <w:rsid w:val="00833D4D"/>
    <w:rsid w:val="00834361"/>
    <w:rsid w:val="008346D5"/>
    <w:rsid w:val="008348FE"/>
    <w:rsid w:val="00834AF8"/>
    <w:rsid w:val="00834D4D"/>
    <w:rsid w:val="00834EC7"/>
    <w:rsid w:val="0083592A"/>
    <w:rsid w:val="00835A59"/>
    <w:rsid w:val="00836624"/>
    <w:rsid w:val="0083691B"/>
    <w:rsid w:val="008371BC"/>
    <w:rsid w:val="00837EF2"/>
    <w:rsid w:val="0084065C"/>
    <w:rsid w:val="00840C78"/>
    <w:rsid w:val="00841485"/>
    <w:rsid w:val="008417FF"/>
    <w:rsid w:val="00841C95"/>
    <w:rsid w:val="00842D5F"/>
    <w:rsid w:val="008431AE"/>
    <w:rsid w:val="0084354A"/>
    <w:rsid w:val="00843BF6"/>
    <w:rsid w:val="00844696"/>
    <w:rsid w:val="0084485E"/>
    <w:rsid w:val="00844B6D"/>
    <w:rsid w:val="00845223"/>
    <w:rsid w:val="0084595E"/>
    <w:rsid w:val="00846EE1"/>
    <w:rsid w:val="008476A7"/>
    <w:rsid w:val="00847ADB"/>
    <w:rsid w:val="00847E0C"/>
    <w:rsid w:val="00850A51"/>
    <w:rsid w:val="00850FAC"/>
    <w:rsid w:val="00851322"/>
    <w:rsid w:val="008513DE"/>
    <w:rsid w:val="00851BE1"/>
    <w:rsid w:val="0085216C"/>
    <w:rsid w:val="00852A0F"/>
    <w:rsid w:val="00853055"/>
    <w:rsid w:val="0085335B"/>
    <w:rsid w:val="00853566"/>
    <w:rsid w:val="00853758"/>
    <w:rsid w:val="00855454"/>
    <w:rsid w:val="00855558"/>
    <w:rsid w:val="00855D17"/>
    <w:rsid w:val="008561CA"/>
    <w:rsid w:val="00856E32"/>
    <w:rsid w:val="00857536"/>
    <w:rsid w:val="008619ED"/>
    <w:rsid w:val="00862AC5"/>
    <w:rsid w:val="008631E7"/>
    <w:rsid w:val="00863B63"/>
    <w:rsid w:val="008649F8"/>
    <w:rsid w:val="00865259"/>
    <w:rsid w:val="00865328"/>
    <w:rsid w:val="008655B8"/>
    <w:rsid w:val="0086590C"/>
    <w:rsid w:val="00865AF5"/>
    <w:rsid w:val="00865C5E"/>
    <w:rsid w:val="008669A7"/>
    <w:rsid w:val="008703DC"/>
    <w:rsid w:val="00870892"/>
    <w:rsid w:val="00870C6F"/>
    <w:rsid w:val="0087123A"/>
    <w:rsid w:val="008735DD"/>
    <w:rsid w:val="0087396A"/>
    <w:rsid w:val="008743F0"/>
    <w:rsid w:val="00874434"/>
    <w:rsid w:val="00874CEA"/>
    <w:rsid w:val="00875357"/>
    <w:rsid w:val="00875D07"/>
    <w:rsid w:val="008769A2"/>
    <w:rsid w:val="00876E70"/>
    <w:rsid w:val="00877CD8"/>
    <w:rsid w:val="00880761"/>
    <w:rsid w:val="00880A8D"/>
    <w:rsid w:val="00881399"/>
    <w:rsid w:val="008813C7"/>
    <w:rsid w:val="00881EE4"/>
    <w:rsid w:val="00882869"/>
    <w:rsid w:val="00882E44"/>
    <w:rsid w:val="00883E43"/>
    <w:rsid w:val="00883F52"/>
    <w:rsid w:val="008844B5"/>
    <w:rsid w:val="00884787"/>
    <w:rsid w:val="00884903"/>
    <w:rsid w:val="00885B60"/>
    <w:rsid w:val="00885ED7"/>
    <w:rsid w:val="00886999"/>
    <w:rsid w:val="00886ADC"/>
    <w:rsid w:val="0088732A"/>
    <w:rsid w:val="00887D05"/>
    <w:rsid w:val="00890403"/>
    <w:rsid w:val="008908CA"/>
    <w:rsid w:val="008908FF"/>
    <w:rsid w:val="00892278"/>
    <w:rsid w:val="008926E8"/>
    <w:rsid w:val="0089291F"/>
    <w:rsid w:val="00892991"/>
    <w:rsid w:val="00892B27"/>
    <w:rsid w:val="00892C43"/>
    <w:rsid w:val="008930AB"/>
    <w:rsid w:val="00893811"/>
    <w:rsid w:val="00893F80"/>
    <w:rsid w:val="00894A36"/>
    <w:rsid w:val="00894E5E"/>
    <w:rsid w:val="00895423"/>
    <w:rsid w:val="0089563D"/>
    <w:rsid w:val="00895E69"/>
    <w:rsid w:val="0089608B"/>
    <w:rsid w:val="00896AA9"/>
    <w:rsid w:val="008A0BA2"/>
    <w:rsid w:val="008A15B8"/>
    <w:rsid w:val="008A2206"/>
    <w:rsid w:val="008A2C7F"/>
    <w:rsid w:val="008A2F78"/>
    <w:rsid w:val="008A3249"/>
    <w:rsid w:val="008A3815"/>
    <w:rsid w:val="008A3C7B"/>
    <w:rsid w:val="008A3FB5"/>
    <w:rsid w:val="008A48C2"/>
    <w:rsid w:val="008A4B5A"/>
    <w:rsid w:val="008A5AA8"/>
    <w:rsid w:val="008A67E9"/>
    <w:rsid w:val="008B0A31"/>
    <w:rsid w:val="008B0A33"/>
    <w:rsid w:val="008B1509"/>
    <w:rsid w:val="008B1E07"/>
    <w:rsid w:val="008B256A"/>
    <w:rsid w:val="008B3F2C"/>
    <w:rsid w:val="008B46DF"/>
    <w:rsid w:val="008B4A75"/>
    <w:rsid w:val="008B5AC7"/>
    <w:rsid w:val="008B6165"/>
    <w:rsid w:val="008B633E"/>
    <w:rsid w:val="008B6391"/>
    <w:rsid w:val="008B6D56"/>
    <w:rsid w:val="008C00F5"/>
    <w:rsid w:val="008C0B64"/>
    <w:rsid w:val="008C0F9E"/>
    <w:rsid w:val="008C180C"/>
    <w:rsid w:val="008C1AE6"/>
    <w:rsid w:val="008C2419"/>
    <w:rsid w:val="008C408C"/>
    <w:rsid w:val="008C4640"/>
    <w:rsid w:val="008C4726"/>
    <w:rsid w:val="008C4C86"/>
    <w:rsid w:val="008C511A"/>
    <w:rsid w:val="008C78B2"/>
    <w:rsid w:val="008D0BD9"/>
    <w:rsid w:val="008D1307"/>
    <w:rsid w:val="008D1441"/>
    <w:rsid w:val="008D1D9B"/>
    <w:rsid w:val="008D316E"/>
    <w:rsid w:val="008D3299"/>
    <w:rsid w:val="008D3683"/>
    <w:rsid w:val="008D37C5"/>
    <w:rsid w:val="008D399F"/>
    <w:rsid w:val="008D411A"/>
    <w:rsid w:val="008D7647"/>
    <w:rsid w:val="008E0419"/>
    <w:rsid w:val="008E1732"/>
    <w:rsid w:val="008E2021"/>
    <w:rsid w:val="008E24CA"/>
    <w:rsid w:val="008E2939"/>
    <w:rsid w:val="008E40F4"/>
    <w:rsid w:val="008E4167"/>
    <w:rsid w:val="008E45D8"/>
    <w:rsid w:val="008E4A71"/>
    <w:rsid w:val="008E57EE"/>
    <w:rsid w:val="008E5BAD"/>
    <w:rsid w:val="008E5FB7"/>
    <w:rsid w:val="008E609C"/>
    <w:rsid w:val="008E60AD"/>
    <w:rsid w:val="008E7707"/>
    <w:rsid w:val="008E7BE7"/>
    <w:rsid w:val="008F092A"/>
    <w:rsid w:val="008F0B3F"/>
    <w:rsid w:val="008F1492"/>
    <w:rsid w:val="008F1B95"/>
    <w:rsid w:val="008F1E57"/>
    <w:rsid w:val="008F22A3"/>
    <w:rsid w:val="008F36A3"/>
    <w:rsid w:val="008F3859"/>
    <w:rsid w:val="008F4089"/>
    <w:rsid w:val="008F46B8"/>
    <w:rsid w:val="008F4F71"/>
    <w:rsid w:val="008F5188"/>
    <w:rsid w:val="008F53A6"/>
    <w:rsid w:val="008F62D4"/>
    <w:rsid w:val="008F6862"/>
    <w:rsid w:val="008F6D42"/>
    <w:rsid w:val="008F7CB4"/>
    <w:rsid w:val="009027D1"/>
    <w:rsid w:val="00903182"/>
    <w:rsid w:val="009035B1"/>
    <w:rsid w:val="00903C59"/>
    <w:rsid w:val="00903CD1"/>
    <w:rsid w:val="00904078"/>
    <w:rsid w:val="0090521E"/>
    <w:rsid w:val="009052F8"/>
    <w:rsid w:val="00907EFF"/>
    <w:rsid w:val="00910039"/>
    <w:rsid w:val="009108DF"/>
    <w:rsid w:val="00910ADE"/>
    <w:rsid w:val="00910BE3"/>
    <w:rsid w:val="009110E4"/>
    <w:rsid w:val="00911713"/>
    <w:rsid w:val="009124BE"/>
    <w:rsid w:val="009125AC"/>
    <w:rsid w:val="00912729"/>
    <w:rsid w:val="00912CE5"/>
    <w:rsid w:val="00913116"/>
    <w:rsid w:val="00913DC1"/>
    <w:rsid w:val="00914209"/>
    <w:rsid w:val="00914C4C"/>
    <w:rsid w:val="00915105"/>
    <w:rsid w:val="009157EA"/>
    <w:rsid w:val="009161C1"/>
    <w:rsid w:val="009162EA"/>
    <w:rsid w:val="00916C72"/>
    <w:rsid w:val="0091711A"/>
    <w:rsid w:val="00920075"/>
    <w:rsid w:val="009208BB"/>
    <w:rsid w:val="009208ED"/>
    <w:rsid w:val="00920D83"/>
    <w:rsid w:val="00921111"/>
    <w:rsid w:val="009212B2"/>
    <w:rsid w:val="00922CDC"/>
    <w:rsid w:val="009234EF"/>
    <w:rsid w:val="00924547"/>
    <w:rsid w:val="009245D9"/>
    <w:rsid w:val="0092465C"/>
    <w:rsid w:val="00924B9D"/>
    <w:rsid w:val="00924FA6"/>
    <w:rsid w:val="009268D6"/>
    <w:rsid w:val="00926969"/>
    <w:rsid w:val="00926A22"/>
    <w:rsid w:val="00926E78"/>
    <w:rsid w:val="00931438"/>
    <w:rsid w:val="009321CC"/>
    <w:rsid w:val="00932445"/>
    <w:rsid w:val="0093270D"/>
    <w:rsid w:val="009327B6"/>
    <w:rsid w:val="00932CBE"/>
    <w:rsid w:val="00932E98"/>
    <w:rsid w:val="009332DE"/>
    <w:rsid w:val="009346BC"/>
    <w:rsid w:val="00934BD1"/>
    <w:rsid w:val="00935D48"/>
    <w:rsid w:val="00936EDC"/>
    <w:rsid w:val="0093722A"/>
    <w:rsid w:val="009374AE"/>
    <w:rsid w:val="00937C93"/>
    <w:rsid w:val="009400A8"/>
    <w:rsid w:val="00940101"/>
    <w:rsid w:val="0094025A"/>
    <w:rsid w:val="009402CD"/>
    <w:rsid w:val="0094098B"/>
    <w:rsid w:val="00941716"/>
    <w:rsid w:val="009426B3"/>
    <w:rsid w:val="00943FCB"/>
    <w:rsid w:val="009442BB"/>
    <w:rsid w:val="009442FF"/>
    <w:rsid w:val="0094459F"/>
    <w:rsid w:val="00944910"/>
    <w:rsid w:val="00944954"/>
    <w:rsid w:val="00944CEC"/>
    <w:rsid w:val="009455ED"/>
    <w:rsid w:val="00946164"/>
    <w:rsid w:val="0094644F"/>
    <w:rsid w:val="0094672E"/>
    <w:rsid w:val="00946EF2"/>
    <w:rsid w:val="009505EB"/>
    <w:rsid w:val="00950AD9"/>
    <w:rsid w:val="00950F96"/>
    <w:rsid w:val="00952438"/>
    <w:rsid w:val="00952478"/>
    <w:rsid w:val="00952BF7"/>
    <w:rsid w:val="009542C2"/>
    <w:rsid w:val="0095494B"/>
    <w:rsid w:val="00954BC8"/>
    <w:rsid w:val="00954E2E"/>
    <w:rsid w:val="00954E7B"/>
    <w:rsid w:val="00954F8C"/>
    <w:rsid w:val="00955D93"/>
    <w:rsid w:val="00957185"/>
    <w:rsid w:val="00957247"/>
    <w:rsid w:val="009577FF"/>
    <w:rsid w:val="00957ABC"/>
    <w:rsid w:val="0096010F"/>
    <w:rsid w:val="009602A4"/>
    <w:rsid w:val="00960357"/>
    <w:rsid w:val="009606EC"/>
    <w:rsid w:val="009608B2"/>
    <w:rsid w:val="00960E8D"/>
    <w:rsid w:val="0096180E"/>
    <w:rsid w:val="00961901"/>
    <w:rsid w:val="009622C6"/>
    <w:rsid w:val="00962542"/>
    <w:rsid w:val="0096305D"/>
    <w:rsid w:val="009634CF"/>
    <w:rsid w:val="0096418A"/>
    <w:rsid w:val="0096474A"/>
    <w:rsid w:val="00964795"/>
    <w:rsid w:val="009652A8"/>
    <w:rsid w:val="009665E5"/>
    <w:rsid w:val="00967A45"/>
    <w:rsid w:val="00967FA8"/>
    <w:rsid w:val="00970C43"/>
    <w:rsid w:val="00972E01"/>
    <w:rsid w:val="00973326"/>
    <w:rsid w:val="0097360F"/>
    <w:rsid w:val="00973A82"/>
    <w:rsid w:val="0097406C"/>
    <w:rsid w:val="00974983"/>
    <w:rsid w:val="00976B10"/>
    <w:rsid w:val="00976C35"/>
    <w:rsid w:val="00976D0D"/>
    <w:rsid w:val="009779F6"/>
    <w:rsid w:val="009806F9"/>
    <w:rsid w:val="00980A95"/>
    <w:rsid w:val="00981CCD"/>
    <w:rsid w:val="009824DD"/>
    <w:rsid w:val="00982707"/>
    <w:rsid w:val="009834DD"/>
    <w:rsid w:val="00984245"/>
    <w:rsid w:val="00984637"/>
    <w:rsid w:val="00984641"/>
    <w:rsid w:val="00984C4F"/>
    <w:rsid w:val="00984F55"/>
    <w:rsid w:val="009855AB"/>
    <w:rsid w:val="0098594C"/>
    <w:rsid w:val="009864FA"/>
    <w:rsid w:val="009866C3"/>
    <w:rsid w:val="009871FF"/>
    <w:rsid w:val="009875C8"/>
    <w:rsid w:val="009903AC"/>
    <w:rsid w:val="00990BF4"/>
    <w:rsid w:val="00991E6C"/>
    <w:rsid w:val="00991EC0"/>
    <w:rsid w:val="00991FE2"/>
    <w:rsid w:val="00992C68"/>
    <w:rsid w:val="009934A7"/>
    <w:rsid w:val="00993976"/>
    <w:rsid w:val="00993A2A"/>
    <w:rsid w:val="00993BB0"/>
    <w:rsid w:val="00993F20"/>
    <w:rsid w:val="00994B2B"/>
    <w:rsid w:val="00994DA8"/>
    <w:rsid w:val="00994EF2"/>
    <w:rsid w:val="00995ABD"/>
    <w:rsid w:val="00995D37"/>
    <w:rsid w:val="00995FA7"/>
    <w:rsid w:val="009962C7"/>
    <w:rsid w:val="00996573"/>
    <w:rsid w:val="0099737B"/>
    <w:rsid w:val="009A0374"/>
    <w:rsid w:val="009A05F9"/>
    <w:rsid w:val="009A1BDC"/>
    <w:rsid w:val="009A2152"/>
    <w:rsid w:val="009A3068"/>
    <w:rsid w:val="009A35EC"/>
    <w:rsid w:val="009A386F"/>
    <w:rsid w:val="009A38DA"/>
    <w:rsid w:val="009A4205"/>
    <w:rsid w:val="009A4C32"/>
    <w:rsid w:val="009A4CDE"/>
    <w:rsid w:val="009A4D75"/>
    <w:rsid w:val="009A5D46"/>
    <w:rsid w:val="009A6136"/>
    <w:rsid w:val="009A65D8"/>
    <w:rsid w:val="009A6F11"/>
    <w:rsid w:val="009A70CB"/>
    <w:rsid w:val="009A7C35"/>
    <w:rsid w:val="009A7F2C"/>
    <w:rsid w:val="009B059D"/>
    <w:rsid w:val="009B0E54"/>
    <w:rsid w:val="009B20F6"/>
    <w:rsid w:val="009B2230"/>
    <w:rsid w:val="009B3621"/>
    <w:rsid w:val="009B56C1"/>
    <w:rsid w:val="009B5879"/>
    <w:rsid w:val="009B6719"/>
    <w:rsid w:val="009B6FAF"/>
    <w:rsid w:val="009B7745"/>
    <w:rsid w:val="009B78B4"/>
    <w:rsid w:val="009C0650"/>
    <w:rsid w:val="009C16A1"/>
    <w:rsid w:val="009C209A"/>
    <w:rsid w:val="009C3BF0"/>
    <w:rsid w:val="009C3C6C"/>
    <w:rsid w:val="009C41F3"/>
    <w:rsid w:val="009C4AD2"/>
    <w:rsid w:val="009C4BD7"/>
    <w:rsid w:val="009C5479"/>
    <w:rsid w:val="009C5AB9"/>
    <w:rsid w:val="009C5B3E"/>
    <w:rsid w:val="009C64A0"/>
    <w:rsid w:val="009C6AE9"/>
    <w:rsid w:val="009C730F"/>
    <w:rsid w:val="009C769B"/>
    <w:rsid w:val="009C7AEA"/>
    <w:rsid w:val="009D1543"/>
    <w:rsid w:val="009D26B9"/>
    <w:rsid w:val="009D2C2D"/>
    <w:rsid w:val="009D3052"/>
    <w:rsid w:val="009D34B6"/>
    <w:rsid w:val="009D36CB"/>
    <w:rsid w:val="009D3D6E"/>
    <w:rsid w:val="009D3F61"/>
    <w:rsid w:val="009D3FC6"/>
    <w:rsid w:val="009D452A"/>
    <w:rsid w:val="009D4BA2"/>
    <w:rsid w:val="009D4BE3"/>
    <w:rsid w:val="009D5C45"/>
    <w:rsid w:val="009D6D81"/>
    <w:rsid w:val="009D7446"/>
    <w:rsid w:val="009D7557"/>
    <w:rsid w:val="009E010A"/>
    <w:rsid w:val="009E0826"/>
    <w:rsid w:val="009E08F7"/>
    <w:rsid w:val="009E0FA3"/>
    <w:rsid w:val="009E123B"/>
    <w:rsid w:val="009E18E1"/>
    <w:rsid w:val="009E275E"/>
    <w:rsid w:val="009E2885"/>
    <w:rsid w:val="009E36BF"/>
    <w:rsid w:val="009E438D"/>
    <w:rsid w:val="009E4862"/>
    <w:rsid w:val="009E5D58"/>
    <w:rsid w:val="009E606C"/>
    <w:rsid w:val="009E6596"/>
    <w:rsid w:val="009E6DE2"/>
    <w:rsid w:val="009E6EFD"/>
    <w:rsid w:val="009E788F"/>
    <w:rsid w:val="009E7C49"/>
    <w:rsid w:val="009F005C"/>
    <w:rsid w:val="009F05EE"/>
    <w:rsid w:val="009F0937"/>
    <w:rsid w:val="009F1CB4"/>
    <w:rsid w:val="009F1CF7"/>
    <w:rsid w:val="009F1F1F"/>
    <w:rsid w:val="009F22BF"/>
    <w:rsid w:val="009F27D3"/>
    <w:rsid w:val="009F449B"/>
    <w:rsid w:val="009F49DD"/>
    <w:rsid w:val="009F4B86"/>
    <w:rsid w:val="009F5295"/>
    <w:rsid w:val="009F5392"/>
    <w:rsid w:val="009F598A"/>
    <w:rsid w:val="009F659C"/>
    <w:rsid w:val="009F68A7"/>
    <w:rsid w:val="009F6D39"/>
    <w:rsid w:val="009F7281"/>
    <w:rsid w:val="009F7F62"/>
    <w:rsid w:val="00A002AB"/>
    <w:rsid w:val="00A0048A"/>
    <w:rsid w:val="00A00766"/>
    <w:rsid w:val="00A00CB3"/>
    <w:rsid w:val="00A01066"/>
    <w:rsid w:val="00A011B9"/>
    <w:rsid w:val="00A016C6"/>
    <w:rsid w:val="00A016F4"/>
    <w:rsid w:val="00A019A5"/>
    <w:rsid w:val="00A01F72"/>
    <w:rsid w:val="00A022D0"/>
    <w:rsid w:val="00A02F3F"/>
    <w:rsid w:val="00A03C97"/>
    <w:rsid w:val="00A04BAD"/>
    <w:rsid w:val="00A05030"/>
    <w:rsid w:val="00A050DA"/>
    <w:rsid w:val="00A060C9"/>
    <w:rsid w:val="00A075CB"/>
    <w:rsid w:val="00A07921"/>
    <w:rsid w:val="00A07A63"/>
    <w:rsid w:val="00A103F5"/>
    <w:rsid w:val="00A10739"/>
    <w:rsid w:val="00A10E58"/>
    <w:rsid w:val="00A110F3"/>
    <w:rsid w:val="00A11649"/>
    <w:rsid w:val="00A12A5E"/>
    <w:rsid w:val="00A1352E"/>
    <w:rsid w:val="00A13E3E"/>
    <w:rsid w:val="00A14680"/>
    <w:rsid w:val="00A14C5B"/>
    <w:rsid w:val="00A15079"/>
    <w:rsid w:val="00A153A4"/>
    <w:rsid w:val="00A156FD"/>
    <w:rsid w:val="00A158AC"/>
    <w:rsid w:val="00A15963"/>
    <w:rsid w:val="00A15A05"/>
    <w:rsid w:val="00A15D98"/>
    <w:rsid w:val="00A16AF1"/>
    <w:rsid w:val="00A16C96"/>
    <w:rsid w:val="00A170DF"/>
    <w:rsid w:val="00A1759D"/>
    <w:rsid w:val="00A175A3"/>
    <w:rsid w:val="00A175BE"/>
    <w:rsid w:val="00A177C7"/>
    <w:rsid w:val="00A20A57"/>
    <w:rsid w:val="00A20C95"/>
    <w:rsid w:val="00A21117"/>
    <w:rsid w:val="00A21F6A"/>
    <w:rsid w:val="00A2205C"/>
    <w:rsid w:val="00A22309"/>
    <w:rsid w:val="00A223B3"/>
    <w:rsid w:val="00A22960"/>
    <w:rsid w:val="00A22A3A"/>
    <w:rsid w:val="00A22EA3"/>
    <w:rsid w:val="00A22F46"/>
    <w:rsid w:val="00A23275"/>
    <w:rsid w:val="00A235FB"/>
    <w:rsid w:val="00A24F72"/>
    <w:rsid w:val="00A25AF9"/>
    <w:rsid w:val="00A25F3D"/>
    <w:rsid w:val="00A2678D"/>
    <w:rsid w:val="00A271CE"/>
    <w:rsid w:val="00A277B4"/>
    <w:rsid w:val="00A278C2"/>
    <w:rsid w:val="00A27C82"/>
    <w:rsid w:val="00A31302"/>
    <w:rsid w:val="00A31579"/>
    <w:rsid w:val="00A31D4F"/>
    <w:rsid w:val="00A31DB5"/>
    <w:rsid w:val="00A341AB"/>
    <w:rsid w:val="00A34A9D"/>
    <w:rsid w:val="00A35E5A"/>
    <w:rsid w:val="00A36CE6"/>
    <w:rsid w:val="00A36F6B"/>
    <w:rsid w:val="00A375D8"/>
    <w:rsid w:val="00A37BAD"/>
    <w:rsid w:val="00A37EBE"/>
    <w:rsid w:val="00A37EE1"/>
    <w:rsid w:val="00A403C9"/>
    <w:rsid w:val="00A42015"/>
    <w:rsid w:val="00A42857"/>
    <w:rsid w:val="00A43036"/>
    <w:rsid w:val="00A43468"/>
    <w:rsid w:val="00A43997"/>
    <w:rsid w:val="00A43C85"/>
    <w:rsid w:val="00A4453D"/>
    <w:rsid w:val="00A45B47"/>
    <w:rsid w:val="00A4627C"/>
    <w:rsid w:val="00A478A9"/>
    <w:rsid w:val="00A47C1C"/>
    <w:rsid w:val="00A50486"/>
    <w:rsid w:val="00A506E9"/>
    <w:rsid w:val="00A50C92"/>
    <w:rsid w:val="00A51156"/>
    <w:rsid w:val="00A52389"/>
    <w:rsid w:val="00A526A5"/>
    <w:rsid w:val="00A5271D"/>
    <w:rsid w:val="00A542D2"/>
    <w:rsid w:val="00A5439D"/>
    <w:rsid w:val="00A54B5E"/>
    <w:rsid w:val="00A54EB7"/>
    <w:rsid w:val="00A5663A"/>
    <w:rsid w:val="00A571BD"/>
    <w:rsid w:val="00A571D6"/>
    <w:rsid w:val="00A57575"/>
    <w:rsid w:val="00A57BCB"/>
    <w:rsid w:val="00A57C35"/>
    <w:rsid w:val="00A6021B"/>
    <w:rsid w:val="00A60258"/>
    <w:rsid w:val="00A610C1"/>
    <w:rsid w:val="00A61953"/>
    <w:rsid w:val="00A629F1"/>
    <w:rsid w:val="00A62EF0"/>
    <w:rsid w:val="00A6326C"/>
    <w:rsid w:val="00A636D4"/>
    <w:rsid w:val="00A63EEA"/>
    <w:rsid w:val="00A645FE"/>
    <w:rsid w:val="00A64FBF"/>
    <w:rsid w:val="00A6553C"/>
    <w:rsid w:val="00A65F1E"/>
    <w:rsid w:val="00A65F39"/>
    <w:rsid w:val="00A672F2"/>
    <w:rsid w:val="00A70355"/>
    <w:rsid w:val="00A719EE"/>
    <w:rsid w:val="00A71CFD"/>
    <w:rsid w:val="00A73BD3"/>
    <w:rsid w:val="00A73CBE"/>
    <w:rsid w:val="00A741FB"/>
    <w:rsid w:val="00A75A3D"/>
    <w:rsid w:val="00A76313"/>
    <w:rsid w:val="00A76383"/>
    <w:rsid w:val="00A76B21"/>
    <w:rsid w:val="00A76C05"/>
    <w:rsid w:val="00A81CAB"/>
    <w:rsid w:val="00A81E22"/>
    <w:rsid w:val="00A81F9B"/>
    <w:rsid w:val="00A829DD"/>
    <w:rsid w:val="00A83310"/>
    <w:rsid w:val="00A83688"/>
    <w:rsid w:val="00A8386B"/>
    <w:rsid w:val="00A8411E"/>
    <w:rsid w:val="00A84C28"/>
    <w:rsid w:val="00A86895"/>
    <w:rsid w:val="00A86D74"/>
    <w:rsid w:val="00A87008"/>
    <w:rsid w:val="00A902EB"/>
    <w:rsid w:val="00A90402"/>
    <w:rsid w:val="00A90800"/>
    <w:rsid w:val="00A91025"/>
    <w:rsid w:val="00A910CB"/>
    <w:rsid w:val="00A910DB"/>
    <w:rsid w:val="00A91B9F"/>
    <w:rsid w:val="00A9258D"/>
    <w:rsid w:val="00A92ACC"/>
    <w:rsid w:val="00A936B0"/>
    <w:rsid w:val="00A93A0F"/>
    <w:rsid w:val="00A940A9"/>
    <w:rsid w:val="00A94460"/>
    <w:rsid w:val="00A94761"/>
    <w:rsid w:val="00A94EBB"/>
    <w:rsid w:val="00A952C2"/>
    <w:rsid w:val="00A9578B"/>
    <w:rsid w:val="00A96405"/>
    <w:rsid w:val="00A96D66"/>
    <w:rsid w:val="00A9711D"/>
    <w:rsid w:val="00A977EB"/>
    <w:rsid w:val="00A978F1"/>
    <w:rsid w:val="00A97D5A"/>
    <w:rsid w:val="00AA0029"/>
    <w:rsid w:val="00AA0336"/>
    <w:rsid w:val="00AA0364"/>
    <w:rsid w:val="00AA2298"/>
    <w:rsid w:val="00AA270B"/>
    <w:rsid w:val="00AA3BAB"/>
    <w:rsid w:val="00AA4048"/>
    <w:rsid w:val="00AA4CE9"/>
    <w:rsid w:val="00AA4DB0"/>
    <w:rsid w:val="00AA511A"/>
    <w:rsid w:val="00AA53AB"/>
    <w:rsid w:val="00AA5B34"/>
    <w:rsid w:val="00AA665C"/>
    <w:rsid w:val="00AA66AA"/>
    <w:rsid w:val="00AA75B4"/>
    <w:rsid w:val="00AA7719"/>
    <w:rsid w:val="00AA7856"/>
    <w:rsid w:val="00AB00E2"/>
    <w:rsid w:val="00AB05F5"/>
    <w:rsid w:val="00AB0CF9"/>
    <w:rsid w:val="00AB1E7B"/>
    <w:rsid w:val="00AB234D"/>
    <w:rsid w:val="00AB2797"/>
    <w:rsid w:val="00AB3C90"/>
    <w:rsid w:val="00AB42D4"/>
    <w:rsid w:val="00AB4D8B"/>
    <w:rsid w:val="00AB604E"/>
    <w:rsid w:val="00AB6D32"/>
    <w:rsid w:val="00AB72BD"/>
    <w:rsid w:val="00AC0B14"/>
    <w:rsid w:val="00AC0EF0"/>
    <w:rsid w:val="00AC3C9D"/>
    <w:rsid w:val="00AC57EA"/>
    <w:rsid w:val="00AC5BDF"/>
    <w:rsid w:val="00AC6E5A"/>
    <w:rsid w:val="00AC7415"/>
    <w:rsid w:val="00AC753B"/>
    <w:rsid w:val="00AC767B"/>
    <w:rsid w:val="00AC7D1B"/>
    <w:rsid w:val="00AC7E0B"/>
    <w:rsid w:val="00AD14A7"/>
    <w:rsid w:val="00AD179B"/>
    <w:rsid w:val="00AD17BB"/>
    <w:rsid w:val="00AD2B15"/>
    <w:rsid w:val="00AD3C82"/>
    <w:rsid w:val="00AD3EC3"/>
    <w:rsid w:val="00AD4694"/>
    <w:rsid w:val="00AD4DC2"/>
    <w:rsid w:val="00AD4E08"/>
    <w:rsid w:val="00AD65E6"/>
    <w:rsid w:val="00AD6B49"/>
    <w:rsid w:val="00AD7096"/>
    <w:rsid w:val="00AD73A8"/>
    <w:rsid w:val="00AD74A8"/>
    <w:rsid w:val="00AD7766"/>
    <w:rsid w:val="00AD7C66"/>
    <w:rsid w:val="00AD7E0F"/>
    <w:rsid w:val="00AE0153"/>
    <w:rsid w:val="00AE0414"/>
    <w:rsid w:val="00AE04E7"/>
    <w:rsid w:val="00AE0607"/>
    <w:rsid w:val="00AE0AE8"/>
    <w:rsid w:val="00AE179D"/>
    <w:rsid w:val="00AE1B8F"/>
    <w:rsid w:val="00AE1F17"/>
    <w:rsid w:val="00AE2427"/>
    <w:rsid w:val="00AE2845"/>
    <w:rsid w:val="00AE3833"/>
    <w:rsid w:val="00AE38CC"/>
    <w:rsid w:val="00AE3C0A"/>
    <w:rsid w:val="00AE3D56"/>
    <w:rsid w:val="00AE4005"/>
    <w:rsid w:val="00AE4605"/>
    <w:rsid w:val="00AE4922"/>
    <w:rsid w:val="00AE5F6E"/>
    <w:rsid w:val="00AE62B3"/>
    <w:rsid w:val="00AE695A"/>
    <w:rsid w:val="00AF0A17"/>
    <w:rsid w:val="00AF0C94"/>
    <w:rsid w:val="00AF0E4B"/>
    <w:rsid w:val="00AF1698"/>
    <w:rsid w:val="00AF20D0"/>
    <w:rsid w:val="00AF33EF"/>
    <w:rsid w:val="00AF427C"/>
    <w:rsid w:val="00AF5841"/>
    <w:rsid w:val="00AF5E19"/>
    <w:rsid w:val="00B00211"/>
    <w:rsid w:val="00B01E7E"/>
    <w:rsid w:val="00B020A8"/>
    <w:rsid w:val="00B0211A"/>
    <w:rsid w:val="00B02607"/>
    <w:rsid w:val="00B03CFF"/>
    <w:rsid w:val="00B040AA"/>
    <w:rsid w:val="00B0431A"/>
    <w:rsid w:val="00B05A45"/>
    <w:rsid w:val="00B0701E"/>
    <w:rsid w:val="00B07529"/>
    <w:rsid w:val="00B07E77"/>
    <w:rsid w:val="00B12247"/>
    <w:rsid w:val="00B12252"/>
    <w:rsid w:val="00B12AC0"/>
    <w:rsid w:val="00B12F73"/>
    <w:rsid w:val="00B15036"/>
    <w:rsid w:val="00B154B2"/>
    <w:rsid w:val="00B15A61"/>
    <w:rsid w:val="00B15F72"/>
    <w:rsid w:val="00B16575"/>
    <w:rsid w:val="00B16D9F"/>
    <w:rsid w:val="00B207CD"/>
    <w:rsid w:val="00B20BE2"/>
    <w:rsid w:val="00B21022"/>
    <w:rsid w:val="00B211F6"/>
    <w:rsid w:val="00B21718"/>
    <w:rsid w:val="00B22C21"/>
    <w:rsid w:val="00B22CDD"/>
    <w:rsid w:val="00B233F1"/>
    <w:rsid w:val="00B23415"/>
    <w:rsid w:val="00B236FA"/>
    <w:rsid w:val="00B24189"/>
    <w:rsid w:val="00B254D2"/>
    <w:rsid w:val="00B2555C"/>
    <w:rsid w:val="00B25A42"/>
    <w:rsid w:val="00B25F01"/>
    <w:rsid w:val="00B26385"/>
    <w:rsid w:val="00B263E0"/>
    <w:rsid w:val="00B279F0"/>
    <w:rsid w:val="00B30156"/>
    <w:rsid w:val="00B304D7"/>
    <w:rsid w:val="00B30939"/>
    <w:rsid w:val="00B31D21"/>
    <w:rsid w:val="00B332E0"/>
    <w:rsid w:val="00B3440A"/>
    <w:rsid w:val="00B34812"/>
    <w:rsid w:val="00B34F21"/>
    <w:rsid w:val="00B35A71"/>
    <w:rsid w:val="00B35F8F"/>
    <w:rsid w:val="00B3604A"/>
    <w:rsid w:val="00B363B5"/>
    <w:rsid w:val="00B374F6"/>
    <w:rsid w:val="00B37690"/>
    <w:rsid w:val="00B379FF"/>
    <w:rsid w:val="00B37BEC"/>
    <w:rsid w:val="00B40129"/>
    <w:rsid w:val="00B40248"/>
    <w:rsid w:val="00B40481"/>
    <w:rsid w:val="00B41304"/>
    <w:rsid w:val="00B42324"/>
    <w:rsid w:val="00B4268F"/>
    <w:rsid w:val="00B43674"/>
    <w:rsid w:val="00B43694"/>
    <w:rsid w:val="00B4372E"/>
    <w:rsid w:val="00B44D7B"/>
    <w:rsid w:val="00B4564C"/>
    <w:rsid w:val="00B45840"/>
    <w:rsid w:val="00B45DA0"/>
    <w:rsid w:val="00B463F5"/>
    <w:rsid w:val="00B46635"/>
    <w:rsid w:val="00B46777"/>
    <w:rsid w:val="00B5262E"/>
    <w:rsid w:val="00B527B9"/>
    <w:rsid w:val="00B52CED"/>
    <w:rsid w:val="00B53814"/>
    <w:rsid w:val="00B53C32"/>
    <w:rsid w:val="00B53E19"/>
    <w:rsid w:val="00B53E83"/>
    <w:rsid w:val="00B53F4B"/>
    <w:rsid w:val="00B54310"/>
    <w:rsid w:val="00B5446A"/>
    <w:rsid w:val="00B55916"/>
    <w:rsid w:val="00B55F86"/>
    <w:rsid w:val="00B56A58"/>
    <w:rsid w:val="00B6052E"/>
    <w:rsid w:val="00B61D28"/>
    <w:rsid w:val="00B6224C"/>
    <w:rsid w:val="00B6425A"/>
    <w:rsid w:val="00B64547"/>
    <w:rsid w:val="00B64858"/>
    <w:rsid w:val="00B656CC"/>
    <w:rsid w:val="00B658BB"/>
    <w:rsid w:val="00B658E8"/>
    <w:rsid w:val="00B65AAF"/>
    <w:rsid w:val="00B66C59"/>
    <w:rsid w:val="00B66D4E"/>
    <w:rsid w:val="00B66D71"/>
    <w:rsid w:val="00B67075"/>
    <w:rsid w:val="00B70BF5"/>
    <w:rsid w:val="00B70C42"/>
    <w:rsid w:val="00B711E1"/>
    <w:rsid w:val="00B71218"/>
    <w:rsid w:val="00B71A84"/>
    <w:rsid w:val="00B727AA"/>
    <w:rsid w:val="00B73773"/>
    <w:rsid w:val="00B74970"/>
    <w:rsid w:val="00B75018"/>
    <w:rsid w:val="00B7527A"/>
    <w:rsid w:val="00B76473"/>
    <w:rsid w:val="00B76BB5"/>
    <w:rsid w:val="00B76DE7"/>
    <w:rsid w:val="00B800AA"/>
    <w:rsid w:val="00B82380"/>
    <w:rsid w:val="00B82A6D"/>
    <w:rsid w:val="00B835B1"/>
    <w:rsid w:val="00B8427C"/>
    <w:rsid w:val="00B84461"/>
    <w:rsid w:val="00B84B85"/>
    <w:rsid w:val="00B85B0E"/>
    <w:rsid w:val="00B85FA5"/>
    <w:rsid w:val="00B869A7"/>
    <w:rsid w:val="00B86D19"/>
    <w:rsid w:val="00B87A8A"/>
    <w:rsid w:val="00B87E1C"/>
    <w:rsid w:val="00B90038"/>
    <w:rsid w:val="00B90D9B"/>
    <w:rsid w:val="00B9116B"/>
    <w:rsid w:val="00B9134D"/>
    <w:rsid w:val="00B91787"/>
    <w:rsid w:val="00B91E7C"/>
    <w:rsid w:val="00B9225B"/>
    <w:rsid w:val="00B92B89"/>
    <w:rsid w:val="00B92CCC"/>
    <w:rsid w:val="00B94485"/>
    <w:rsid w:val="00B96B56"/>
    <w:rsid w:val="00B96F8E"/>
    <w:rsid w:val="00B97570"/>
    <w:rsid w:val="00B97FD7"/>
    <w:rsid w:val="00BA0389"/>
    <w:rsid w:val="00BA0B9C"/>
    <w:rsid w:val="00BA25FC"/>
    <w:rsid w:val="00BA26F9"/>
    <w:rsid w:val="00BA2BAA"/>
    <w:rsid w:val="00BA3DE1"/>
    <w:rsid w:val="00BA442E"/>
    <w:rsid w:val="00BA65D4"/>
    <w:rsid w:val="00BA6CE6"/>
    <w:rsid w:val="00BA6D6A"/>
    <w:rsid w:val="00BA7457"/>
    <w:rsid w:val="00BA754E"/>
    <w:rsid w:val="00BA7AE2"/>
    <w:rsid w:val="00BA7D03"/>
    <w:rsid w:val="00BB08A8"/>
    <w:rsid w:val="00BB0D20"/>
    <w:rsid w:val="00BB0DD5"/>
    <w:rsid w:val="00BB0F80"/>
    <w:rsid w:val="00BB20CC"/>
    <w:rsid w:val="00BB264A"/>
    <w:rsid w:val="00BB2775"/>
    <w:rsid w:val="00BB2BDC"/>
    <w:rsid w:val="00BB3046"/>
    <w:rsid w:val="00BB37A2"/>
    <w:rsid w:val="00BB37BF"/>
    <w:rsid w:val="00BB38D8"/>
    <w:rsid w:val="00BB3BA1"/>
    <w:rsid w:val="00BB4ADA"/>
    <w:rsid w:val="00BB56C8"/>
    <w:rsid w:val="00BB5CA2"/>
    <w:rsid w:val="00BB6A62"/>
    <w:rsid w:val="00BB6C13"/>
    <w:rsid w:val="00BC0600"/>
    <w:rsid w:val="00BC08CA"/>
    <w:rsid w:val="00BC1B31"/>
    <w:rsid w:val="00BC2B7C"/>
    <w:rsid w:val="00BC3DD1"/>
    <w:rsid w:val="00BC4030"/>
    <w:rsid w:val="00BC4899"/>
    <w:rsid w:val="00BC48EF"/>
    <w:rsid w:val="00BC4AD7"/>
    <w:rsid w:val="00BC5040"/>
    <w:rsid w:val="00BC5480"/>
    <w:rsid w:val="00BC59C0"/>
    <w:rsid w:val="00BC5BC5"/>
    <w:rsid w:val="00BC60B0"/>
    <w:rsid w:val="00BC665C"/>
    <w:rsid w:val="00BC6F2C"/>
    <w:rsid w:val="00BC765C"/>
    <w:rsid w:val="00BC7F3D"/>
    <w:rsid w:val="00BD222F"/>
    <w:rsid w:val="00BD29DE"/>
    <w:rsid w:val="00BD2FEE"/>
    <w:rsid w:val="00BD38E9"/>
    <w:rsid w:val="00BD3DE9"/>
    <w:rsid w:val="00BD3E85"/>
    <w:rsid w:val="00BD42A2"/>
    <w:rsid w:val="00BD4AF8"/>
    <w:rsid w:val="00BD5A5A"/>
    <w:rsid w:val="00BD6169"/>
    <w:rsid w:val="00BD71EC"/>
    <w:rsid w:val="00BD7D9A"/>
    <w:rsid w:val="00BE0062"/>
    <w:rsid w:val="00BE161E"/>
    <w:rsid w:val="00BE162F"/>
    <w:rsid w:val="00BE167C"/>
    <w:rsid w:val="00BE1B27"/>
    <w:rsid w:val="00BE20D3"/>
    <w:rsid w:val="00BE2692"/>
    <w:rsid w:val="00BE2730"/>
    <w:rsid w:val="00BE2C6F"/>
    <w:rsid w:val="00BE30BD"/>
    <w:rsid w:val="00BE362B"/>
    <w:rsid w:val="00BE56C1"/>
    <w:rsid w:val="00BE5FC6"/>
    <w:rsid w:val="00BE63D9"/>
    <w:rsid w:val="00BE6401"/>
    <w:rsid w:val="00BE67E5"/>
    <w:rsid w:val="00BE73A3"/>
    <w:rsid w:val="00BF011C"/>
    <w:rsid w:val="00BF0C63"/>
    <w:rsid w:val="00BF14A7"/>
    <w:rsid w:val="00BF1EDB"/>
    <w:rsid w:val="00BF2919"/>
    <w:rsid w:val="00BF2C00"/>
    <w:rsid w:val="00BF30A5"/>
    <w:rsid w:val="00BF3A75"/>
    <w:rsid w:val="00BF3C22"/>
    <w:rsid w:val="00BF4BF4"/>
    <w:rsid w:val="00BF53A4"/>
    <w:rsid w:val="00BF5985"/>
    <w:rsid w:val="00BF59FB"/>
    <w:rsid w:val="00BF78C3"/>
    <w:rsid w:val="00C00500"/>
    <w:rsid w:val="00C00DCD"/>
    <w:rsid w:val="00C01123"/>
    <w:rsid w:val="00C01D61"/>
    <w:rsid w:val="00C02485"/>
    <w:rsid w:val="00C02D10"/>
    <w:rsid w:val="00C03EB3"/>
    <w:rsid w:val="00C040D4"/>
    <w:rsid w:val="00C0541D"/>
    <w:rsid w:val="00C05740"/>
    <w:rsid w:val="00C05862"/>
    <w:rsid w:val="00C10607"/>
    <w:rsid w:val="00C108DC"/>
    <w:rsid w:val="00C10D77"/>
    <w:rsid w:val="00C1161A"/>
    <w:rsid w:val="00C11CBF"/>
    <w:rsid w:val="00C1218C"/>
    <w:rsid w:val="00C12848"/>
    <w:rsid w:val="00C14418"/>
    <w:rsid w:val="00C14556"/>
    <w:rsid w:val="00C1487A"/>
    <w:rsid w:val="00C14DA5"/>
    <w:rsid w:val="00C15561"/>
    <w:rsid w:val="00C15BB4"/>
    <w:rsid w:val="00C16E7E"/>
    <w:rsid w:val="00C16EA7"/>
    <w:rsid w:val="00C206F4"/>
    <w:rsid w:val="00C21622"/>
    <w:rsid w:val="00C2180F"/>
    <w:rsid w:val="00C22895"/>
    <w:rsid w:val="00C22A3C"/>
    <w:rsid w:val="00C22ADB"/>
    <w:rsid w:val="00C22E23"/>
    <w:rsid w:val="00C24140"/>
    <w:rsid w:val="00C245BE"/>
    <w:rsid w:val="00C25885"/>
    <w:rsid w:val="00C25C56"/>
    <w:rsid w:val="00C263E6"/>
    <w:rsid w:val="00C27F50"/>
    <w:rsid w:val="00C304E2"/>
    <w:rsid w:val="00C30A98"/>
    <w:rsid w:val="00C31102"/>
    <w:rsid w:val="00C31371"/>
    <w:rsid w:val="00C32AC3"/>
    <w:rsid w:val="00C32B15"/>
    <w:rsid w:val="00C33123"/>
    <w:rsid w:val="00C33C1B"/>
    <w:rsid w:val="00C33C9A"/>
    <w:rsid w:val="00C33F8E"/>
    <w:rsid w:val="00C3446B"/>
    <w:rsid w:val="00C34740"/>
    <w:rsid w:val="00C34CBA"/>
    <w:rsid w:val="00C351D3"/>
    <w:rsid w:val="00C363E6"/>
    <w:rsid w:val="00C37080"/>
    <w:rsid w:val="00C372AB"/>
    <w:rsid w:val="00C37389"/>
    <w:rsid w:val="00C374F4"/>
    <w:rsid w:val="00C37A1B"/>
    <w:rsid w:val="00C37ACC"/>
    <w:rsid w:val="00C37B84"/>
    <w:rsid w:val="00C37ED8"/>
    <w:rsid w:val="00C405F7"/>
    <w:rsid w:val="00C4084A"/>
    <w:rsid w:val="00C40A37"/>
    <w:rsid w:val="00C418F9"/>
    <w:rsid w:val="00C4201C"/>
    <w:rsid w:val="00C426CC"/>
    <w:rsid w:val="00C42803"/>
    <w:rsid w:val="00C429D9"/>
    <w:rsid w:val="00C42A23"/>
    <w:rsid w:val="00C437AB"/>
    <w:rsid w:val="00C439C8"/>
    <w:rsid w:val="00C43C77"/>
    <w:rsid w:val="00C4408F"/>
    <w:rsid w:val="00C4416D"/>
    <w:rsid w:val="00C448DE"/>
    <w:rsid w:val="00C44F0C"/>
    <w:rsid w:val="00C44F2E"/>
    <w:rsid w:val="00C450FB"/>
    <w:rsid w:val="00C45D9F"/>
    <w:rsid w:val="00C461D7"/>
    <w:rsid w:val="00C469EF"/>
    <w:rsid w:val="00C46BC6"/>
    <w:rsid w:val="00C470AF"/>
    <w:rsid w:val="00C471D1"/>
    <w:rsid w:val="00C51255"/>
    <w:rsid w:val="00C51432"/>
    <w:rsid w:val="00C518CE"/>
    <w:rsid w:val="00C52D0A"/>
    <w:rsid w:val="00C539C2"/>
    <w:rsid w:val="00C54BDA"/>
    <w:rsid w:val="00C55E4D"/>
    <w:rsid w:val="00C571AC"/>
    <w:rsid w:val="00C575DD"/>
    <w:rsid w:val="00C57864"/>
    <w:rsid w:val="00C5793A"/>
    <w:rsid w:val="00C57ED1"/>
    <w:rsid w:val="00C6080D"/>
    <w:rsid w:val="00C6236A"/>
    <w:rsid w:val="00C6262A"/>
    <w:rsid w:val="00C63D6E"/>
    <w:rsid w:val="00C63DE2"/>
    <w:rsid w:val="00C641CE"/>
    <w:rsid w:val="00C644AE"/>
    <w:rsid w:val="00C64DAF"/>
    <w:rsid w:val="00C65805"/>
    <w:rsid w:val="00C65DD8"/>
    <w:rsid w:val="00C6640C"/>
    <w:rsid w:val="00C666F8"/>
    <w:rsid w:val="00C66787"/>
    <w:rsid w:val="00C66793"/>
    <w:rsid w:val="00C671E5"/>
    <w:rsid w:val="00C67E6C"/>
    <w:rsid w:val="00C70611"/>
    <w:rsid w:val="00C707D6"/>
    <w:rsid w:val="00C71180"/>
    <w:rsid w:val="00C71518"/>
    <w:rsid w:val="00C71EF9"/>
    <w:rsid w:val="00C72AE2"/>
    <w:rsid w:val="00C7332A"/>
    <w:rsid w:val="00C73838"/>
    <w:rsid w:val="00C742D8"/>
    <w:rsid w:val="00C744DB"/>
    <w:rsid w:val="00C75D13"/>
    <w:rsid w:val="00C760F9"/>
    <w:rsid w:val="00C76456"/>
    <w:rsid w:val="00C76497"/>
    <w:rsid w:val="00C76580"/>
    <w:rsid w:val="00C7735F"/>
    <w:rsid w:val="00C801B5"/>
    <w:rsid w:val="00C804C8"/>
    <w:rsid w:val="00C80595"/>
    <w:rsid w:val="00C819B4"/>
    <w:rsid w:val="00C826CF"/>
    <w:rsid w:val="00C8368B"/>
    <w:rsid w:val="00C83816"/>
    <w:rsid w:val="00C83C3F"/>
    <w:rsid w:val="00C83F4D"/>
    <w:rsid w:val="00C84139"/>
    <w:rsid w:val="00C8446D"/>
    <w:rsid w:val="00C86461"/>
    <w:rsid w:val="00C87ACB"/>
    <w:rsid w:val="00C87DC7"/>
    <w:rsid w:val="00C87F1C"/>
    <w:rsid w:val="00C903BC"/>
    <w:rsid w:val="00C90887"/>
    <w:rsid w:val="00C909EC"/>
    <w:rsid w:val="00C91908"/>
    <w:rsid w:val="00C91E65"/>
    <w:rsid w:val="00C92BDF"/>
    <w:rsid w:val="00C93427"/>
    <w:rsid w:val="00C939A3"/>
    <w:rsid w:val="00C93E46"/>
    <w:rsid w:val="00C9676C"/>
    <w:rsid w:val="00C96AB5"/>
    <w:rsid w:val="00C975CA"/>
    <w:rsid w:val="00C9773D"/>
    <w:rsid w:val="00CA0040"/>
    <w:rsid w:val="00CA0CD3"/>
    <w:rsid w:val="00CA15C9"/>
    <w:rsid w:val="00CA1CA2"/>
    <w:rsid w:val="00CA23D7"/>
    <w:rsid w:val="00CA270A"/>
    <w:rsid w:val="00CA2AF6"/>
    <w:rsid w:val="00CA388A"/>
    <w:rsid w:val="00CA3EB0"/>
    <w:rsid w:val="00CA45A3"/>
    <w:rsid w:val="00CA4983"/>
    <w:rsid w:val="00CA5A1F"/>
    <w:rsid w:val="00CA5DA0"/>
    <w:rsid w:val="00CA5E38"/>
    <w:rsid w:val="00CA60F5"/>
    <w:rsid w:val="00CA6BD9"/>
    <w:rsid w:val="00CA6FE9"/>
    <w:rsid w:val="00CA71EA"/>
    <w:rsid w:val="00CA7513"/>
    <w:rsid w:val="00CA7850"/>
    <w:rsid w:val="00CB01A7"/>
    <w:rsid w:val="00CB0FA2"/>
    <w:rsid w:val="00CB16B8"/>
    <w:rsid w:val="00CB175E"/>
    <w:rsid w:val="00CB19D1"/>
    <w:rsid w:val="00CB1B48"/>
    <w:rsid w:val="00CB1BF1"/>
    <w:rsid w:val="00CB1DD0"/>
    <w:rsid w:val="00CB25A9"/>
    <w:rsid w:val="00CB297A"/>
    <w:rsid w:val="00CB2E2B"/>
    <w:rsid w:val="00CB339D"/>
    <w:rsid w:val="00CB3D7D"/>
    <w:rsid w:val="00CB42D7"/>
    <w:rsid w:val="00CB5218"/>
    <w:rsid w:val="00CB5302"/>
    <w:rsid w:val="00CB5455"/>
    <w:rsid w:val="00CB5A85"/>
    <w:rsid w:val="00CB5B7F"/>
    <w:rsid w:val="00CB622F"/>
    <w:rsid w:val="00CB672D"/>
    <w:rsid w:val="00CB697B"/>
    <w:rsid w:val="00CB70E3"/>
    <w:rsid w:val="00CB7811"/>
    <w:rsid w:val="00CC037C"/>
    <w:rsid w:val="00CC096B"/>
    <w:rsid w:val="00CC18EA"/>
    <w:rsid w:val="00CC2334"/>
    <w:rsid w:val="00CC2D16"/>
    <w:rsid w:val="00CC2F61"/>
    <w:rsid w:val="00CC3BD7"/>
    <w:rsid w:val="00CC4103"/>
    <w:rsid w:val="00CC4982"/>
    <w:rsid w:val="00CC5876"/>
    <w:rsid w:val="00CC5F93"/>
    <w:rsid w:val="00CC657A"/>
    <w:rsid w:val="00CC71AF"/>
    <w:rsid w:val="00CC7476"/>
    <w:rsid w:val="00CC74AE"/>
    <w:rsid w:val="00CC751B"/>
    <w:rsid w:val="00CC78B8"/>
    <w:rsid w:val="00CD03FF"/>
    <w:rsid w:val="00CD0FBF"/>
    <w:rsid w:val="00CD2549"/>
    <w:rsid w:val="00CD276E"/>
    <w:rsid w:val="00CD2855"/>
    <w:rsid w:val="00CD3FF8"/>
    <w:rsid w:val="00CD4B70"/>
    <w:rsid w:val="00CD4BD4"/>
    <w:rsid w:val="00CD509A"/>
    <w:rsid w:val="00CD56D7"/>
    <w:rsid w:val="00CD5B0F"/>
    <w:rsid w:val="00CD6A21"/>
    <w:rsid w:val="00CD702B"/>
    <w:rsid w:val="00CD705B"/>
    <w:rsid w:val="00CD7211"/>
    <w:rsid w:val="00CE0193"/>
    <w:rsid w:val="00CE0991"/>
    <w:rsid w:val="00CE0E41"/>
    <w:rsid w:val="00CE15BE"/>
    <w:rsid w:val="00CE1816"/>
    <w:rsid w:val="00CE1A6F"/>
    <w:rsid w:val="00CE1A73"/>
    <w:rsid w:val="00CE1BDD"/>
    <w:rsid w:val="00CE1DEE"/>
    <w:rsid w:val="00CE1E91"/>
    <w:rsid w:val="00CE2162"/>
    <w:rsid w:val="00CE2494"/>
    <w:rsid w:val="00CE27A2"/>
    <w:rsid w:val="00CE2D68"/>
    <w:rsid w:val="00CE3077"/>
    <w:rsid w:val="00CE3B29"/>
    <w:rsid w:val="00CE3BE9"/>
    <w:rsid w:val="00CE4F1E"/>
    <w:rsid w:val="00CE5C4B"/>
    <w:rsid w:val="00CE6317"/>
    <w:rsid w:val="00CE6627"/>
    <w:rsid w:val="00CE7141"/>
    <w:rsid w:val="00CF0685"/>
    <w:rsid w:val="00CF0FBE"/>
    <w:rsid w:val="00CF1069"/>
    <w:rsid w:val="00CF13A1"/>
    <w:rsid w:val="00CF28C1"/>
    <w:rsid w:val="00CF32D8"/>
    <w:rsid w:val="00CF33C4"/>
    <w:rsid w:val="00CF345C"/>
    <w:rsid w:val="00CF5852"/>
    <w:rsid w:val="00CF6B2F"/>
    <w:rsid w:val="00CF71AC"/>
    <w:rsid w:val="00CF7613"/>
    <w:rsid w:val="00CF76E6"/>
    <w:rsid w:val="00CF7F8E"/>
    <w:rsid w:val="00D0058A"/>
    <w:rsid w:val="00D01168"/>
    <w:rsid w:val="00D0237C"/>
    <w:rsid w:val="00D025FE"/>
    <w:rsid w:val="00D02E4E"/>
    <w:rsid w:val="00D03F56"/>
    <w:rsid w:val="00D04270"/>
    <w:rsid w:val="00D04278"/>
    <w:rsid w:val="00D04909"/>
    <w:rsid w:val="00D057CB"/>
    <w:rsid w:val="00D05AA2"/>
    <w:rsid w:val="00D05E94"/>
    <w:rsid w:val="00D0649B"/>
    <w:rsid w:val="00D06662"/>
    <w:rsid w:val="00D067F9"/>
    <w:rsid w:val="00D06DEA"/>
    <w:rsid w:val="00D077F5"/>
    <w:rsid w:val="00D079FE"/>
    <w:rsid w:val="00D100D5"/>
    <w:rsid w:val="00D101E4"/>
    <w:rsid w:val="00D1059C"/>
    <w:rsid w:val="00D109F5"/>
    <w:rsid w:val="00D11125"/>
    <w:rsid w:val="00D11787"/>
    <w:rsid w:val="00D117A5"/>
    <w:rsid w:val="00D11E92"/>
    <w:rsid w:val="00D126CC"/>
    <w:rsid w:val="00D127CC"/>
    <w:rsid w:val="00D12B1F"/>
    <w:rsid w:val="00D13639"/>
    <w:rsid w:val="00D13E31"/>
    <w:rsid w:val="00D14148"/>
    <w:rsid w:val="00D14735"/>
    <w:rsid w:val="00D15F04"/>
    <w:rsid w:val="00D1640B"/>
    <w:rsid w:val="00D16ABB"/>
    <w:rsid w:val="00D17B2D"/>
    <w:rsid w:val="00D21C5A"/>
    <w:rsid w:val="00D2259E"/>
    <w:rsid w:val="00D23B39"/>
    <w:rsid w:val="00D245AC"/>
    <w:rsid w:val="00D249C6"/>
    <w:rsid w:val="00D24B4F"/>
    <w:rsid w:val="00D24C2C"/>
    <w:rsid w:val="00D25279"/>
    <w:rsid w:val="00D2548A"/>
    <w:rsid w:val="00D259C0"/>
    <w:rsid w:val="00D25EEF"/>
    <w:rsid w:val="00D26123"/>
    <w:rsid w:val="00D26D64"/>
    <w:rsid w:val="00D2754B"/>
    <w:rsid w:val="00D27F15"/>
    <w:rsid w:val="00D27FE4"/>
    <w:rsid w:val="00D30A8C"/>
    <w:rsid w:val="00D31EEC"/>
    <w:rsid w:val="00D31F10"/>
    <w:rsid w:val="00D32B83"/>
    <w:rsid w:val="00D3435E"/>
    <w:rsid w:val="00D34D95"/>
    <w:rsid w:val="00D35370"/>
    <w:rsid w:val="00D35C11"/>
    <w:rsid w:val="00D37031"/>
    <w:rsid w:val="00D373CF"/>
    <w:rsid w:val="00D404F0"/>
    <w:rsid w:val="00D405D0"/>
    <w:rsid w:val="00D411D3"/>
    <w:rsid w:val="00D4147E"/>
    <w:rsid w:val="00D42334"/>
    <w:rsid w:val="00D432AF"/>
    <w:rsid w:val="00D436FF"/>
    <w:rsid w:val="00D43EFF"/>
    <w:rsid w:val="00D4431F"/>
    <w:rsid w:val="00D445B6"/>
    <w:rsid w:val="00D449F7"/>
    <w:rsid w:val="00D459CE"/>
    <w:rsid w:val="00D46095"/>
    <w:rsid w:val="00D47233"/>
    <w:rsid w:val="00D47977"/>
    <w:rsid w:val="00D47C6F"/>
    <w:rsid w:val="00D51128"/>
    <w:rsid w:val="00D5126B"/>
    <w:rsid w:val="00D51FE7"/>
    <w:rsid w:val="00D52BE4"/>
    <w:rsid w:val="00D53BC8"/>
    <w:rsid w:val="00D54488"/>
    <w:rsid w:val="00D55247"/>
    <w:rsid w:val="00D552B1"/>
    <w:rsid w:val="00D5618A"/>
    <w:rsid w:val="00D56474"/>
    <w:rsid w:val="00D56B69"/>
    <w:rsid w:val="00D56C85"/>
    <w:rsid w:val="00D56E06"/>
    <w:rsid w:val="00D57B17"/>
    <w:rsid w:val="00D60117"/>
    <w:rsid w:val="00D60CFB"/>
    <w:rsid w:val="00D61878"/>
    <w:rsid w:val="00D61B85"/>
    <w:rsid w:val="00D61C2D"/>
    <w:rsid w:val="00D61DA9"/>
    <w:rsid w:val="00D62AC0"/>
    <w:rsid w:val="00D62CAD"/>
    <w:rsid w:val="00D630B8"/>
    <w:rsid w:val="00D633BF"/>
    <w:rsid w:val="00D63A49"/>
    <w:rsid w:val="00D63EC7"/>
    <w:rsid w:val="00D6411B"/>
    <w:rsid w:val="00D64DFE"/>
    <w:rsid w:val="00D659E2"/>
    <w:rsid w:val="00D65CDD"/>
    <w:rsid w:val="00D662B8"/>
    <w:rsid w:val="00D6636C"/>
    <w:rsid w:val="00D66FD1"/>
    <w:rsid w:val="00D700E2"/>
    <w:rsid w:val="00D704D7"/>
    <w:rsid w:val="00D716A1"/>
    <w:rsid w:val="00D7195C"/>
    <w:rsid w:val="00D72956"/>
    <w:rsid w:val="00D73784"/>
    <w:rsid w:val="00D73BE8"/>
    <w:rsid w:val="00D744DD"/>
    <w:rsid w:val="00D755F4"/>
    <w:rsid w:val="00D75A31"/>
    <w:rsid w:val="00D75B42"/>
    <w:rsid w:val="00D76BD5"/>
    <w:rsid w:val="00D772C7"/>
    <w:rsid w:val="00D7798B"/>
    <w:rsid w:val="00D77C7E"/>
    <w:rsid w:val="00D80F26"/>
    <w:rsid w:val="00D81053"/>
    <w:rsid w:val="00D81CE1"/>
    <w:rsid w:val="00D81DB7"/>
    <w:rsid w:val="00D8271B"/>
    <w:rsid w:val="00D827BB"/>
    <w:rsid w:val="00D837AB"/>
    <w:rsid w:val="00D83A4F"/>
    <w:rsid w:val="00D84662"/>
    <w:rsid w:val="00D84841"/>
    <w:rsid w:val="00D86180"/>
    <w:rsid w:val="00D867BF"/>
    <w:rsid w:val="00D869E3"/>
    <w:rsid w:val="00D86AA5"/>
    <w:rsid w:val="00D87109"/>
    <w:rsid w:val="00D87F8E"/>
    <w:rsid w:val="00D900EB"/>
    <w:rsid w:val="00D90517"/>
    <w:rsid w:val="00D90D1E"/>
    <w:rsid w:val="00D90F11"/>
    <w:rsid w:val="00D9147F"/>
    <w:rsid w:val="00D91FC4"/>
    <w:rsid w:val="00D9214C"/>
    <w:rsid w:val="00D9299B"/>
    <w:rsid w:val="00D92CCE"/>
    <w:rsid w:val="00D94143"/>
    <w:rsid w:val="00D942B3"/>
    <w:rsid w:val="00D95493"/>
    <w:rsid w:val="00D97FAF"/>
    <w:rsid w:val="00D97FCB"/>
    <w:rsid w:val="00DA12C0"/>
    <w:rsid w:val="00DA17BE"/>
    <w:rsid w:val="00DA4514"/>
    <w:rsid w:val="00DA4B0D"/>
    <w:rsid w:val="00DA51C2"/>
    <w:rsid w:val="00DA5223"/>
    <w:rsid w:val="00DA59C8"/>
    <w:rsid w:val="00DA5C4F"/>
    <w:rsid w:val="00DA7057"/>
    <w:rsid w:val="00DA7169"/>
    <w:rsid w:val="00DA775D"/>
    <w:rsid w:val="00DB111F"/>
    <w:rsid w:val="00DB1A88"/>
    <w:rsid w:val="00DB2763"/>
    <w:rsid w:val="00DB3715"/>
    <w:rsid w:val="00DB38F7"/>
    <w:rsid w:val="00DB466E"/>
    <w:rsid w:val="00DB49F4"/>
    <w:rsid w:val="00DB5E63"/>
    <w:rsid w:val="00DB6681"/>
    <w:rsid w:val="00DB6C5E"/>
    <w:rsid w:val="00DB75CB"/>
    <w:rsid w:val="00DB7653"/>
    <w:rsid w:val="00DB7C7D"/>
    <w:rsid w:val="00DC1B5B"/>
    <w:rsid w:val="00DC4393"/>
    <w:rsid w:val="00DC4571"/>
    <w:rsid w:val="00DC45E4"/>
    <w:rsid w:val="00DC4D8B"/>
    <w:rsid w:val="00DC57BE"/>
    <w:rsid w:val="00DC7D05"/>
    <w:rsid w:val="00DD0DFB"/>
    <w:rsid w:val="00DD16A7"/>
    <w:rsid w:val="00DD1C31"/>
    <w:rsid w:val="00DD27D7"/>
    <w:rsid w:val="00DD3086"/>
    <w:rsid w:val="00DD542D"/>
    <w:rsid w:val="00DD5504"/>
    <w:rsid w:val="00DD60A4"/>
    <w:rsid w:val="00DD65B6"/>
    <w:rsid w:val="00DD69D6"/>
    <w:rsid w:val="00DD6DA9"/>
    <w:rsid w:val="00DD76B7"/>
    <w:rsid w:val="00DD77D6"/>
    <w:rsid w:val="00DE0CCC"/>
    <w:rsid w:val="00DE1088"/>
    <w:rsid w:val="00DE1638"/>
    <w:rsid w:val="00DE1F63"/>
    <w:rsid w:val="00DE2B68"/>
    <w:rsid w:val="00DE2FD4"/>
    <w:rsid w:val="00DE4457"/>
    <w:rsid w:val="00DE44B9"/>
    <w:rsid w:val="00DE4530"/>
    <w:rsid w:val="00DE4E25"/>
    <w:rsid w:val="00DE540C"/>
    <w:rsid w:val="00DE5441"/>
    <w:rsid w:val="00DE57C1"/>
    <w:rsid w:val="00DE591F"/>
    <w:rsid w:val="00DE592A"/>
    <w:rsid w:val="00DE618A"/>
    <w:rsid w:val="00DE61E5"/>
    <w:rsid w:val="00DE6713"/>
    <w:rsid w:val="00DE6CCD"/>
    <w:rsid w:val="00DE6F99"/>
    <w:rsid w:val="00DE6FD4"/>
    <w:rsid w:val="00DE7058"/>
    <w:rsid w:val="00DE775D"/>
    <w:rsid w:val="00DE78D6"/>
    <w:rsid w:val="00DE7D37"/>
    <w:rsid w:val="00DF001A"/>
    <w:rsid w:val="00DF09B3"/>
    <w:rsid w:val="00DF1AC1"/>
    <w:rsid w:val="00DF20B5"/>
    <w:rsid w:val="00DF2251"/>
    <w:rsid w:val="00DF256F"/>
    <w:rsid w:val="00DF2C01"/>
    <w:rsid w:val="00DF2D1E"/>
    <w:rsid w:val="00DF3B3D"/>
    <w:rsid w:val="00DF53DB"/>
    <w:rsid w:val="00DF5E9F"/>
    <w:rsid w:val="00DF5EA4"/>
    <w:rsid w:val="00DF7B11"/>
    <w:rsid w:val="00E0076D"/>
    <w:rsid w:val="00E017D3"/>
    <w:rsid w:val="00E01999"/>
    <w:rsid w:val="00E019FB"/>
    <w:rsid w:val="00E02106"/>
    <w:rsid w:val="00E02295"/>
    <w:rsid w:val="00E04218"/>
    <w:rsid w:val="00E04314"/>
    <w:rsid w:val="00E04C56"/>
    <w:rsid w:val="00E050CB"/>
    <w:rsid w:val="00E05D51"/>
    <w:rsid w:val="00E0671F"/>
    <w:rsid w:val="00E07391"/>
    <w:rsid w:val="00E07D4D"/>
    <w:rsid w:val="00E07F3E"/>
    <w:rsid w:val="00E10270"/>
    <w:rsid w:val="00E10BBC"/>
    <w:rsid w:val="00E12A21"/>
    <w:rsid w:val="00E12C7F"/>
    <w:rsid w:val="00E13744"/>
    <w:rsid w:val="00E15590"/>
    <w:rsid w:val="00E15D2B"/>
    <w:rsid w:val="00E1623E"/>
    <w:rsid w:val="00E162FA"/>
    <w:rsid w:val="00E16423"/>
    <w:rsid w:val="00E16C3A"/>
    <w:rsid w:val="00E174F0"/>
    <w:rsid w:val="00E17D19"/>
    <w:rsid w:val="00E17FDF"/>
    <w:rsid w:val="00E2009F"/>
    <w:rsid w:val="00E201B9"/>
    <w:rsid w:val="00E2029C"/>
    <w:rsid w:val="00E20DFE"/>
    <w:rsid w:val="00E24086"/>
    <w:rsid w:val="00E244ED"/>
    <w:rsid w:val="00E24C4C"/>
    <w:rsid w:val="00E26122"/>
    <w:rsid w:val="00E266B7"/>
    <w:rsid w:val="00E27648"/>
    <w:rsid w:val="00E30375"/>
    <w:rsid w:val="00E30499"/>
    <w:rsid w:val="00E30708"/>
    <w:rsid w:val="00E31D2C"/>
    <w:rsid w:val="00E32621"/>
    <w:rsid w:val="00E32780"/>
    <w:rsid w:val="00E33B95"/>
    <w:rsid w:val="00E340D9"/>
    <w:rsid w:val="00E34618"/>
    <w:rsid w:val="00E348EC"/>
    <w:rsid w:val="00E35563"/>
    <w:rsid w:val="00E372E5"/>
    <w:rsid w:val="00E37E9E"/>
    <w:rsid w:val="00E4017F"/>
    <w:rsid w:val="00E40D4D"/>
    <w:rsid w:val="00E40FEA"/>
    <w:rsid w:val="00E4115B"/>
    <w:rsid w:val="00E4160D"/>
    <w:rsid w:val="00E418B5"/>
    <w:rsid w:val="00E425A2"/>
    <w:rsid w:val="00E4278A"/>
    <w:rsid w:val="00E44F5C"/>
    <w:rsid w:val="00E4581F"/>
    <w:rsid w:val="00E45CC7"/>
    <w:rsid w:val="00E45D9C"/>
    <w:rsid w:val="00E45E3C"/>
    <w:rsid w:val="00E460D9"/>
    <w:rsid w:val="00E46B1F"/>
    <w:rsid w:val="00E477B6"/>
    <w:rsid w:val="00E47A87"/>
    <w:rsid w:val="00E47B0C"/>
    <w:rsid w:val="00E50195"/>
    <w:rsid w:val="00E50AD4"/>
    <w:rsid w:val="00E5159E"/>
    <w:rsid w:val="00E54F4E"/>
    <w:rsid w:val="00E54FC3"/>
    <w:rsid w:val="00E557C1"/>
    <w:rsid w:val="00E55EED"/>
    <w:rsid w:val="00E5635D"/>
    <w:rsid w:val="00E5670E"/>
    <w:rsid w:val="00E56751"/>
    <w:rsid w:val="00E56B7D"/>
    <w:rsid w:val="00E56EEC"/>
    <w:rsid w:val="00E57044"/>
    <w:rsid w:val="00E574EA"/>
    <w:rsid w:val="00E57AD6"/>
    <w:rsid w:val="00E57BC6"/>
    <w:rsid w:val="00E57DEF"/>
    <w:rsid w:val="00E60987"/>
    <w:rsid w:val="00E61818"/>
    <w:rsid w:val="00E62C9D"/>
    <w:rsid w:val="00E64BD4"/>
    <w:rsid w:val="00E65396"/>
    <w:rsid w:val="00E65B13"/>
    <w:rsid w:val="00E65DDA"/>
    <w:rsid w:val="00E661A3"/>
    <w:rsid w:val="00E66EA3"/>
    <w:rsid w:val="00E67037"/>
    <w:rsid w:val="00E7139C"/>
    <w:rsid w:val="00E71FED"/>
    <w:rsid w:val="00E727C5"/>
    <w:rsid w:val="00E72FD5"/>
    <w:rsid w:val="00E7376A"/>
    <w:rsid w:val="00E73F0C"/>
    <w:rsid w:val="00E74387"/>
    <w:rsid w:val="00E744D0"/>
    <w:rsid w:val="00E7541A"/>
    <w:rsid w:val="00E7624D"/>
    <w:rsid w:val="00E77262"/>
    <w:rsid w:val="00E7727A"/>
    <w:rsid w:val="00E774A5"/>
    <w:rsid w:val="00E777B3"/>
    <w:rsid w:val="00E77A00"/>
    <w:rsid w:val="00E807BC"/>
    <w:rsid w:val="00E80999"/>
    <w:rsid w:val="00E81484"/>
    <w:rsid w:val="00E81C0D"/>
    <w:rsid w:val="00E81F39"/>
    <w:rsid w:val="00E82078"/>
    <w:rsid w:val="00E82342"/>
    <w:rsid w:val="00E8250B"/>
    <w:rsid w:val="00E828DD"/>
    <w:rsid w:val="00E829E8"/>
    <w:rsid w:val="00E82DD8"/>
    <w:rsid w:val="00E8373D"/>
    <w:rsid w:val="00E8375E"/>
    <w:rsid w:val="00E83957"/>
    <w:rsid w:val="00E84022"/>
    <w:rsid w:val="00E8513D"/>
    <w:rsid w:val="00E85363"/>
    <w:rsid w:val="00E85F8B"/>
    <w:rsid w:val="00E860E7"/>
    <w:rsid w:val="00E8623E"/>
    <w:rsid w:val="00E862B8"/>
    <w:rsid w:val="00E8779E"/>
    <w:rsid w:val="00E87F3F"/>
    <w:rsid w:val="00E87FF6"/>
    <w:rsid w:val="00E90A8F"/>
    <w:rsid w:val="00E911E6"/>
    <w:rsid w:val="00E91212"/>
    <w:rsid w:val="00E915B3"/>
    <w:rsid w:val="00E9163E"/>
    <w:rsid w:val="00E916A4"/>
    <w:rsid w:val="00E9344F"/>
    <w:rsid w:val="00E93E64"/>
    <w:rsid w:val="00E9502B"/>
    <w:rsid w:val="00E95B98"/>
    <w:rsid w:val="00E972B0"/>
    <w:rsid w:val="00EA070A"/>
    <w:rsid w:val="00EA1751"/>
    <w:rsid w:val="00EA1873"/>
    <w:rsid w:val="00EA2550"/>
    <w:rsid w:val="00EA2CB6"/>
    <w:rsid w:val="00EA3DBB"/>
    <w:rsid w:val="00EA42DB"/>
    <w:rsid w:val="00EA4FA9"/>
    <w:rsid w:val="00EA6938"/>
    <w:rsid w:val="00EA6A14"/>
    <w:rsid w:val="00EA734A"/>
    <w:rsid w:val="00EA7631"/>
    <w:rsid w:val="00EA770A"/>
    <w:rsid w:val="00EA7720"/>
    <w:rsid w:val="00EA7DEE"/>
    <w:rsid w:val="00EA7E79"/>
    <w:rsid w:val="00EB0E92"/>
    <w:rsid w:val="00EB121D"/>
    <w:rsid w:val="00EB1C0A"/>
    <w:rsid w:val="00EB1EC5"/>
    <w:rsid w:val="00EB2434"/>
    <w:rsid w:val="00EB2853"/>
    <w:rsid w:val="00EB35D2"/>
    <w:rsid w:val="00EB35FE"/>
    <w:rsid w:val="00EB36E2"/>
    <w:rsid w:val="00EB38BE"/>
    <w:rsid w:val="00EB6083"/>
    <w:rsid w:val="00EB6E08"/>
    <w:rsid w:val="00EB7128"/>
    <w:rsid w:val="00EB712C"/>
    <w:rsid w:val="00EB7348"/>
    <w:rsid w:val="00EB7618"/>
    <w:rsid w:val="00EB7673"/>
    <w:rsid w:val="00EC0112"/>
    <w:rsid w:val="00EC07A1"/>
    <w:rsid w:val="00EC13C9"/>
    <w:rsid w:val="00EC26B2"/>
    <w:rsid w:val="00EC2811"/>
    <w:rsid w:val="00EC324D"/>
    <w:rsid w:val="00EC355B"/>
    <w:rsid w:val="00EC379F"/>
    <w:rsid w:val="00EC37E5"/>
    <w:rsid w:val="00EC485C"/>
    <w:rsid w:val="00EC508A"/>
    <w:rsid w:val="00EC5200"/>
    <w:rsid w:val="00EC58DD"/>
    <w:rsid w:val="00EC71D4"/>
    <w:rsid w:val="00EC7858"/>
    <w:rsid w:val="00ED08D4"/>
    <w:rsid w:val="00ED26B1"/>
    <w:rsid w:val="00ED26B8"/>
    <w:rsid w:val="00ED28FD"/>
    <w:rsid w:val="00ED297A"/>
    <w:rsid w:val="00ED2DC3"/>
    <w:rsid w:val="00ED3374"/>
    <w:rsid w:val="00ED3579"/>
    <w:rsid w:val="00ED3661"/>
    <w:rsid w:val="00ED3BFB"/>
    <w:rsid w:val="00ED3C73"/>
    <w:rsid w:val="00ED41AD"/>
    <w:rsid w:val="00ED4469"/>
    <w:rsid w:val="00ED5688"/>
    <w:rsid w:val="00ED6BB9"/>
    <w:rsid w:val="00ED783E"/>
    <w:rsid w:val="00ED793A"/>
    <w:rsid w:val="00EE07D4"/>
    <w:rsid w:val="00EE0C62"/>
    <w:rsid w:val="00EE1555"/>
    <w:rsid w:val="00EE16DA"/>
    <w:rsid w:val="00EE1961"/>
    <w:rsid w:val="00EE1C16"/>
    <w:rsid w:val="00EE1E5F"/>
    <w:rsid w:val="00EE36EF"/>
    <w:rsid w:val="00EE3762"/>
    <w:rsid w:val="00EE3926"/>
    <w:rsid w:val="00EE3ECC"/>
    <w:rsid w:val="00EE4460"/>
    <w:rsid w:val="00EE50FC"/>
    <w:rsid w:val="00EE5237"/>
    <w:rsid w:val="00EE59F6"/>
    <w:rsid w:val="00EE647E"/>
    <w:rsid w:val="00EE6BAC"/>
    <w:rsid w:val="00EE75D7"/>
    <w:rsid w:val="00EF0C90"/>
    <w:rsid w:val="00EF1B97"/>
    <w:rsid w:val="00EF2169"/>
    <w:rsid w:val="00EF2640"/>
    <w:rsid w:val="00EF3845"/>
    <w:rsid w:val="00EF3F00"/>
    <w:rsid w:val="00EF4EC6"/>
    <w:rsid w:val="00EF5C23"/>
    <w:rsid w:val="00EF60DA"/>
    <w:rsid w:val="00EF7647"/>
    <w:rsid w:val="00EF7FBE"/>
    <w:rsid w:val="00F0002A"/>
    <w:rsid w:val="00F0032C"/>
    <w:rsid w:val="00F0049A"/>
    <w:rsid w:val="00F00F79"/>
    <w:rsid w:val="00F01F3D"/>
    <w:rsid w:val="00F030B7"/>
    <w:rsid w:val="00F03375"/>
    <w:rsid w:val="00F037C7"/>
    <w:rsid w:val="00F038BB"/>
    <w:rsid w:val="00F038D7"/>
    <w:rsid w:val="00F03B51"/>
    <w:rsid w:val="00F04017"/>
    <w:rsid w:val="00F0426C"/>
    <w:rsid w:val="00F0509B"/>
    <w:rsid w:val="00F05342"/>
    <w:rsid w:val="00F05759"/>
    <w:rsid w:val="00F06098"/>
    <w:rsid w:val="00F06205"/>
    <w:rsid w:val="00F0740B"/>
    <w:rsid w:val="00F07973"/>
    <w:rsid w:val="00F1099F"/>
    <w:rsid w:val="00F114B8"/>
    <w:rsid w:val="00F121D3"/>
    <w:rsid w:val="00F124A0"/>
    <w:rsid w:val="00F12B31"/>
    <w:rsid w:val="00F14B91"/>
    <w:rsid w:val="00F15064"/>
    <w:rsid w:val="00F1558C"/>
    <w:rsid w:val="00F158A8"/>
    <w:rsid w:val="00F15EE5"/>
    <w:rsid w:val="00F21E08"/>
    <w:rsid w:val="00F221A7"/>
    <w:rsid w:val="00F22327"/>
    <w:rsid w:val="00F22668"/>
    <w:rsid w:val="00F22C34"/>
    <w:rsid w:val="00F2308D"/>
    <w:rsid w:val="00F2309F"/>
    <w:rsid w:val="00F23571"/>
    <w:rsid w:val="00F2375E"/>
    <w:rsid w:val="00F23840"/>
    <w:rsid w:val="00F23862"/>
    <w:rsid w:val="00F24B57"/>
    <w:rsid w:val="00F253E2"/>
    <w:rsid w:val="00F25A12"/>
    <w:rsid w:val="00F25DA6"/>
    <w:rsid w:val="00F271FA"/>
    <w:rsid w:val="00F278A4"/>
    <w:rsid w:val="00F27ABE"/>
    <w:rsid w:val="00F30006"/>
    <w:rsid w:val="00F30034"/>
    <w:rsid w:val="00F30A9E"/>
    <w:rsid w:val="00F30C1A"/>
    <w:rsid w:val="00F3115A"/>
    <w:rsid w:val="00F317C2"/>
    <w:rsid w:val="00F32536"/>
    <w:rsid w:val="00F32D56"/>
    <w:rsid w:val="00F33333"/>
    <w:rsid w:val="00F334A9"/>
    <w:rsid w:val="00F3351D"/>
    <w:rsid w:val="00F336FC"/>
    <w:rsid w:val="00F3372B"/>
    <w:rsid w:val="00F33863"/>
    <w:rsid w:val="00F33874"/>
    <w:rsid w:val="00F33CC9"/>
    <w:rsid w:val="00F341F2"/>
    <w:rsid w:val="00F357B9"/>
    <w:rsid w:val="00F35B5F"/>
    <w:rsid w:val="00F35C82"/>
    <w:rsid w:val="00F363D4"/>
    <w:rsid w:val="00F36CDA"/>
    <w:rsid w:val="00F3763F"/>
    <w:rsid w:val="00F37A31"/>
    <w:rsid w:val="00F416DF"/>
    <w:rsid w:val="00F41871"/>
    <w:rsid w:val="00F418DE"/>
    <w:rsid w:val="00F41C0E"/>
    <w:rsid w:val="00F4233C"/>
    <w:rsid w:val="00F42801"/>
    <w:rsid w:val="00F42A5E"/>
    <w:rsid w:val="00F43D86"/>
    <w:rsid w:val="00F444F7"/>
    <w:rsid w:val="00F44B48"/>
    <w:rsid w:val="00F44B9F"/>
    <w:rsid w:val="00F45DEC"/>
    <w:rsid w:val="00F46492"/>
    <w:rsid w:val="00F502BA"/>
    <w:rsid w:val="00F5065B"/>
    <w:rsid w:val="00F50C2C"/>
    <w:rsid w:val="00F51127"/>
    <w:rsid w:val="00F5136C"/>
    <w:rsid w:val="00F51996"/>
    <w:rsid w:val="00F51BC1"/>
    <w:rsid w:val="00F51C84"/>
    <w:rsid w:val="00F51D66"/>
    <w:rsid w:val="00F529CF"/>
    <w:rsid w:val="00F53E6E"/>
    <w:rsid w:val="00F53EEF"/>
    <w:rsid w:val="00F545A6"/>
    <w:rsid w:val="00F5488C"/>
    <w:rsid w:val="00F56546"/>
    <w:rsid w:val="00F56CCB"/>
    <w:rsid w:val="00F57326"/>
    <w:rsid w:val="00F578B4"/>
    <w:rsid w:val="00F61021"/>
    <w:rsid w:val="00F6102A"/>
    <w:rsid w:val="00F62DB5"/>
    <w:rsid w:val="00F62EE9"/>
    <w:rsid w:val="00F63003"/>
    <w:rsid w:val="00F63F58"/>
    <w:rsid w:val="00F64097"/>
    <w:rsid w:val="00F64368"/>
    <w:rsid w:val="00F64A1C"/>
    <w:rsid w:val="00F64B6E"/>
    <w:rsid w:val="00F6527D"/>
    <w:rsid w:val="00F65667"/>
    <w:rsid w:val="00F669CB"/>
    <w:rsid w:val="00F6728A"/>
    <w:rsid w:val="00F67D78"/>
    <w:rsid w:val="00F67F3A"/>
    <w:rsid w:val="00F701E0"/>
    <w:rsid w:val="00F7125D"/>
    <w:rsid w:val="00F715C2"/>
    <w:rsid w:val="00F717D7"/>
    <w:rsid w:val="00F71EDC"/>
    <w:rsid w:val="00F71FEA"/>
    <w:rsid w:val="00F72184"/>
    <w:rsid w:val="00F72F7A"/>
    <w:rsid w:val="00F738D9"/>
    <w:rsid w:val="00F740D4"/>
    <w:rsid w:val="00F74F9B"/>
    <w:rsid w:val="00F756D7"/>
    <w:rsid w:val="00F759FB"/>
    <w:rsid w:val="00F8007D"/>
    <w:rsid w:val="00F8082A"/>
    <w:rsid w:val="00F8088A"/>
    <w:rsid w:val="00F81206"/>
    <w:rsid w:val="00F81302"/>
    <w:rsid w:val="00F821A4"/>
    <w:rsid w:val="00F82218"/>
    <w:rsid w:val="00F827B3"/>
    <w:rsid w:val="00F83753"/>
    <w:rsid w:val="00F83807"/>
    <w:rsid w:val="00F83EBC"/>
    <w:rsid w:val="00F84D70"/>
    <w:rsid w:val="00F84E18"/>
    <w:rsid w:val="00F85007"/>
    <w:rsid w:val="00F85C28"/>
    <w:rsid w:val="00F87EEF"/>
    <w:rsid w:val="00F90F25"/>
    <w:rsid w:val="00F919F2"/>
    <w:rsid w:val="00F91D66"/>
    <w:rsid w:val="00F91E2D"/>
    <w:rsid w:val="00F930D4"/>
    <w:rsid w:val="00F9318F"/>
    <w:rsid w:val="00F94A61"/>
    <w:rsid w:val="00F94A72"/>
    <w:rsid w:val="00F964B6"/>
    <w:rsid w:val="00F973BC"/>
    <w:rsid w:val="00F97654"/>
    <w:rsid w:val="00FA0E48"/>
    <w:rsid w:val="00FA0EA0"/>
    <w:rsid w:val="00FA16E5"/>
    <w:rsid w:val="00FA26B0"/>
    <w:rsid w:val="00FA2DFE"/>
    <w:rsid w:val="00FA3133"/>
    <w:rsid w:val="00FA4353"/>
    <w:rsid w:val="00FA45EC"/>
    <w:rsid w:val="00FA4F32"/>
    <w:rsid w:val="00FA51FC"/>
    <w:rsid w:val="00FA5575"/>
    <w:rsid w:val="00FA56FC"/>
    <w:rsid w:val="00FA6356"/>
    <w:rsid w:val="00FA63AF"/>
    <w:rsid w:val="00FA66D3"/>
    <w:rsid w:val="00FA6727"/>
    <w:rsid w:val="00FB0A9E"/>
    <w:rsid w:val="00FB0B48"/>
    <w:rsid w:val="00FB0BE9"/>
    <w:rsid w:val="00FB0E93"/>
    <w:rsid w:val="00FB2224"/>
    <w:rsid w:val="00FB2242"/>
    <w:rsid w:val="00FB3052"/>
    <w:rsid w:val="00FB3DC3"/>
    <w:rsid w:val="00FB4142"/>
    <w:rsid w:val="00FB530C"/>
    <w:rsid w:val="00FB60E8"/>
    <w:rsid w:val="00FB6EAF"/>
    <w:rsid w:val="00FB7C46"/>
    <w:rsid w:val="00FC05E6"/>
    <w:rsid w:val="00FC0849"/>
    <w:rsid w:val="00FC0BFE"/>
    <w:rsid w:val="00FC38C3"/>
    <w:rsid w:val="00FC3C3C"/>
    <w:rsid w:val="00FC4CE9"/>
    <w:rsid w:val="00FC4DBF"/>
    <w:rsid w:val="00FC4DED"/>
    <w:rsid w:val="00FC5684"/>
    <w:rsid w:val="00FC5770"/>
    <w:rsid w:val="00FC5EA0"/>
    <w:rsid w:val="00FC6000"/>
    <w:rsid w:val="00FC6416"/>
    <w:rsid w:val="00FC6F3B"/>
    <w:rsid w:val="00FC7457"/>
    <w:rsid w:val="00FC7917"/>
    <w:rsid w:val="00FC7F18"/>
    <w:rsid w:val="00FD0907"/>
    <w:rsid w:val="00FD0A83"/>
    <w:rsid w:val="00FD0B9A"/>
    <w:rsid w:val="00FD1349"/>
    <w:rsid w:val="00FD13A2"/>
    <w:rsid w:val="00FD1B75"/>
    <w:rsid w:val="00FD1E33"/>
    <w:rsid w:val="00FD22D9"/>
    <w:rsid w:val="00FD33CD"/>
    <w:rsid w:val="00FD3620"/>
    <w:rsid w:val="00FD3676"/>
    <w:rsid w:val="00FD39CA"/>
    <w:rsid w:val="00FD3F0E"/>
    <w:rsid w:val="00FD3FBD"/>
    <w:rsid w:val="00FD4433"/>
    <w:rsid w:val="00FD48D8"/>
    <w:rsid w:val="00FD52F3"/>
    <w:rsid w:val="00FD5791"/>
    <w:rsid w:val="00FD5AE9"/>
    <w:rsid w:val="00FD630C"/>
    <w:rsid w:val="00FD6646"/>
    <w:rsid w:val="00FD6BB6"/>
    <w:rsid w:val="00FD7B46"/>
    <w:rsid w:val="00FD7B4C"/>
    <w:rsid w:val="00FE17B4"/>
    <w:rsid w:val="00FE29D8"/>
    <w:rsid w:val="00FE32B7"/>
    <w:rsid w:val="00FE38A7"/>
    <w:rsid w:val="00FE3C55"/>
    <w:rsid w:val="00FE3F4C"/>
    <w:rsid w:val="00FE47C6"/>
    <w:rsid w:val="00FE608C"/>
    <w:rsid w:val="00FE6329"/>
    <w:rsid w:val="00FE6EC0"/>
    <w:rsid w:val="00FE7778"/>
    <w:rsid w:val="00FE7849"/>
    <w:rsid w:val="00FE78A7"/>
    <w:rsid w:val="00FE7BAD"/>
    <w:rsid w:val="00FF13F4"/>
    <w:rsid w:val="00FF1801"/>
    <w:rsid w:val="00FF1E7E"/>
    <w:rsid w:val="00FF284A"/>
    <w:rsid w:val="00FF30AA"/>
    <w:rsid w:val="00FF477C"/>
    <w:rsid w:val="00FF4E08"/>
    <w:rsid w:val="00FF522A"/>
    <w:rsid w:val="00FF5C56"/>
    <w:rsid w:val="00FF5F7D"/>
    <w:rsid w:val="00FF608A"/>
    <w:rsid w:val="00FF651F"/>
    <w:rsid w:val="00FF6DA1"/>
    <w:rsid w:val="00FF780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C6BF77"/>
  <w15:docId w15:val="{A7006D4C-E3A4-46F9-9AB9-7F033CED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iPriority="0"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0" w:qFormat="1"/>
    <w:lsdException w:name="table of figures" w:locked="1" w:semiHidden="1" w:unhideWhenUsed="1"/>
    <w:lsdException w:name="envelope address" w:locked="1" w:semiHidden="1" w:uiPriority="0"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iPriority="0" w:unhideWhenUsed="1"/>
    <w:lsdException w:name="macro" w:locked="1" w:semiHidden="1" w:unhideWhenUsed="1"/>
    <w:lsdException w:name="toa heading" w:locked="1" w:semiHidden="1" w:uiPriority="0"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lsdException w:name="Closing" w:locked="1" w:semiHidden="1" w:uiPriority="0"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iPriority="0" w:unhideWhenUsed="1"/>
    <w:lsdException w:name="HTML Address" w:locked="1" w:semiHidden="1" w:uiPriority="0"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locked="1" w:semiHidden="1"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lsdException w:name="Light Grid Accent 4" w:uiPriority="62"/>
    <w:lsdException w:name="Medium Shading 1 Accent 4"/>
    <w:lsdException w:name="Medium Shading 2 Accent 4" w:uiPriority="64"/>
    <w:lsdException w:name="Medium List 1 Accent 4" w:uiPriority="65"/>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lsdException w:name="Colorful List Accent 4"/>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cyte Normal"/>
    <w:qFormat/>
    <w:rsid w:val="002E5D84"/>
    <w:pPr>
      <w:spacing w:before="120" w:after="120" w:line="276" w:lineRule="auto"/>
    </w:pPr>
    <w:rPr>
      <w:rFonts w:ascii="Tahoma" w:eastAsiaTheme="minorEastAsia" w:hAnsi="Tahoma" w:cs="Arial"/>
      <w:sz w:val="22"/>
      <w:szCs w:val="22"/>
      <w:lang w:val="en-US"/>
    </w:rPr>
  </w:style>
  <w:style w:type="paragraph" w:styleId="Heading1">
    <w:name w:val="heading 1"/>
    <w:aliases w:val="Heading 1 (Incyte),Chapter,Ovum Heading 1"/>
    <w:next w:val="Normal"/>
    <w:link w:val="Heading1Char"/>
    <w:uiPriority w:val="99"/>
    <w:qFormat/>
    <w:rsid w:val="000B3AE0"/>
    <w:pPr>
      <w:keepNext/>
      <w:keepLines/>
      <w:pageBreakBefore/>
      <w:numPr>
        <w:numId w:val="7"/>
      </w:numPr>
      <w:suppressAutoHyphens/>
      <w:spacing w:after="240" w:line="276" w:lineRule="auto"/>
      <w:outlineLvl w:val="0"/>
    </w:pPr>
    <w:rPr>
      <w:rFonts w:ascii="Tahoma" w:eastAsiaTheme="minorEastAsia" w:hAnsi="Tahoma" w:cs="Arial"/>
      <w:b/>
      <w:iCs/>
      <w:smallCaps/>
      <w:noProof/>
      <w:color w:val="002D62" w:themeColor="accent1"/>
      <w:kern w:val="1"/>
      <w:sz w:val="28"/>
      <w:szCs w:val="28"/>
      <w:lang w:val="en-GB" w:eastAsia="en-GB"/>
    </w:rPr>
  </w:style>
  <w:style w:type="paragraph" w:styleId="Heading2">
    <w:name w:val="heading 2"/>
    <w:aliases w:val="Heading 2 (Incyte),Ovum Heading 2"/>
    <w:basedOn w:val="Heading4"/>
    <w:next w:val="Normal"/>
    <w:link w:val="Heading2Char"/>
    <w:uiPriority w:val="99"/>
    <w:qFormat/>
    <w:rsid w:val="000B3AE0"/>
    <w:pPr>
      <w:numPr>
        <w:ilvl w:val="1"/>
      </w:numPr>
      <w:spacing w:before="240"/>
      <w:outlineLvl w:val="1"/>
    </w:pPr>
    <w:rPr>
      <w:rFonts w:ascii="Tahoma" w:hAnsi="Tahoma"/>
      <w:color w:val="456E7F" w:themeColor="accent2" w:themeShade="BF"/>
      <w:sz w:val="24"/>
      <w:szCs w:val="24"/>
    </w:rPr>
  </w:style>
  <w:style w:type="paragraph" w:styleId="Heading3">
    <w:name w:val="heading 3"/>
    <w:aliases w:val="Chapter 3"/>
    <w:basedOn w:val="Heading2"/>
    <w:next w:val="Textbody"/>
    <w:link w:val="Heading3Char"/>
    <w:uiPriority w:val="9"/>
    <w:rsid w:val="001232DF"/>
    <w:pPr>
      <w:numPr>
        <w:ilvl w:val="2"/>
      </w:numPr>
      <w:tabs>
        <w:tab w:val="left" w:pos="993"/>
      </w:tabs>
      <w:spacing w:before="400"/>
      <w:outlineLvl w:val="2"/>
    </w:pPr>
    <w:rPr>
      <w:sz w:val="20"/>
      <w:szCs w:val="20"/>
    </w:rPr>
  </w:style>
  <w:style w:type="paragraph" w:styleId="Heading4">
    <w:name w:val="heading 4"/>
    <w:basedOn w:val="Standard"/>
    <w:next w:val="Textbody"/>
    <w:link w:val="Heading4Char"/>
    <w:uiPriority w:val="99"/>
    <w:qFormat/>
    <w:rsid w:val="000054C4"/>
    <w:pPr>
      <w:keepNext/>
      <w:widowControl w:val="0"/>
      <w:numPr>
        <w:ilvl w:val="3"/>
        <w:numId w:val="7"/>
      </w:numPr>
      <w:spacing w:before="300" w:after="140"/>
      <w:outlineLvl w:val="3"/>
    </w:pPr>
    <w:rPr>
      <w:rFonts w:ascii="Arial" w:eastAsia="MS Mincho" w:hAnsi="Arial" w:cs="Arial"/>
      <w:b/>
      <w:color w:val="002D62"/>
      <w:sz w:val="22"/>
      <w:szCs w:val="22"/>
    </w:rPr>
  </w:style>
  <w:style w:type="paragraph" w:styleId="Heading5">
    <w:name w:val="heading 5"/>
    <w:aliases w:val="Heading 51,X"/>
    <w:basedOn w:val="Normal"/>
    <w:next w:val="Normal"/>
    <w:link w:val="Heading5Char"/>
    <w:uiPriority w:val="99"/>
    <w:unhideWhenUsed/>
    <w:qFormat/>
    <w:rsid w:val="000054C4"/>
    <w:pPr>
      <w:numPr>
        <w:ilvl w:val="4"/>
        <w:numId w:val="7"/>
      </w:numPr>
      <w:spacing w:before="200" w:after="0"/>
      <w:outlineLvl w:val="4"/>
    </w:pPr>
    <w:rPr>
      <w:smallCaps/>
      <w:color w:val="456E7F" w:themeColor="accent2" w:themeShade="BF"/>
      <w:spacing w:val="10"/>
      <w:szCs w:val="26"/>
    </w:rPr>
  </w:style>
  <w:style w:type="paragraph" w:styleId="Heading6">
    <w:name w:val="heading 6"/>
    <w:basedOn w:val="Normal"/>
    <w:next w:val="Normal"/>
    <w:link w:val="Heading6Char"/>
    <w:uiPriority w:val="99"/>
    <w:unhideWhenUsed/>
    <w:qFormat/>
    <w:rsid w:val="000054C4"/>
    <w:pPr>
      <w:numPr>
        <w:ilvl w:val="5"/>
        <w:numId w:val="7"/>
      </w:numPr>
      <w:spacing w:after="0"/>
      <w:outlineLvl w:val="5"/>
    </w:pPr>
    <w:rPr>
      <w:smallCaps/>
      <w:color w:val="5F93A8" w:themeColor="accent2"/>
      <w:spacing w:val="5"/>
    </w:rPr>
  </w:style>
  <w:style w:type="paragraph" w:styleId="Heading7">
    <w:name w:val="heading 7"/>
    <w:basedOn w:val="Normal"/>
    <w:next w:val="Normal"/>
    <w:link w:val="Heading7Char"/>
    <w:uiPriority w:val="99"/>
    <w:unhideWhenUsed/>
    <w:qFormat/>
    <w:rsid w:val="000054C4"/>
    <w:pPr>
      <w:numPr>
        <w:ilvl w:val="6"/>
        <w:numId w:val="7"/>
      </w:numPr>
      <w:spacing w:after="0"/>
      <w:outlineLvl w:val="6"/>
    </w:pPr>
    <w:rPr>
      <w:b/>
      <w:smallCaps/>
      <w:color w:val="5F93A8" w:themeColor="accent2"/>
      <w:spacing w:val="10"/>
    </w:rPr>
  </w:style>
  <w:style w:type="paragraph" w:styleId="Heading8">
    <w:name w:val="heading 8"/>
    <w:aliases w:val="Title 2,Annex,Appendix"/>
    <w:basedOn w:val="Normal"/>
    <w:next w:val="Normal"/>
    <w:link w:val="Heading8Char"/>
    <w:uiPriority w:val="99"/>
    <w:qFormat/>
    <w:rsid w:val="00CE0991"/>
    <w:pPr>
      <w:numPr>
        <w:ilvl w:val="7"/>
        <w:numId w:val="7"/>
      </w:numPr>
      <w:jc w:val="right"/>
      <w:outlineLvl w:val="7"/>
    </w:pPr>
    <w:rPr>
      <w:rFonts w:ascii="Trebuchet MS" w:hAnsi="Trebuchet MS"/>
      <w:color w:val="002D62" w:themeColor="accent1"/>
      <w:sz w:val="38"/>
      <w:szCs w:val="38"/>
      <w:lang w:val="en-GB" w:eastAsia="en-GB"/>
    </w:rPr>
  </w:style>
  <w:style w:type="paragraph" w:styleId="Heading9">
    <w:name w:val="heading 9"/>
    <w:aliases w:val="Title1,Annex1, Appen 1,Appen 1"/>
    <w:basedOn w:val="Normal"/>
    <w:next w:val="Normal"/>
    <w:link w:val="Heading9Char"/>
    <w:uiPriority w:val="99"/>
    <w:qFormat/>
    <w:rsid w:val="000054C4"/>
    <w:pPr>
      <w:framePr w:hSpace="180" w:wrap="around" w:vAnchor="page" w:hAnchor="margin" w:y="4221"/>
      <w:widowControl w:val="0"/>
      <w:numPr>
        <w:ilvl w:val="8"/>
        <w:numId w:val="7"/>
      </w:numPr>
      <w:suppressAutoHyphens/>
      <w:spacing w:before="0" w:after="0"/>
      <w:jc w:val="right"/>
      <w:outlineLvl w:val="8"/>
    </w:pPr>
    <w:rPr>
      <w:rFonts w:ascii="Trebuchet MS" w:hAnsi="Trebuchet MS"/>
      <w:b/>
      <w:color w:val="002D62"/>
      <w:kern w:val="16"/>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7E648F"/>
    <w:pPr>
      <w:spacing w:line="480" w:lineRule="auto"/>
    </w:pPr>
  </w:style>
  <w:style w:type="character" w:customStyle="1" w:styleId="BodyText2Char">
    <w:name w:val="Body Text 2 Char"/>
    <w:basedOn w:val="DefaultParagraphFont"/>
    <w:link w:val="BodyText2"/>
    <w:uiPriority w:val="99"/>
    <w:locked/>
    <w:rsid w:val="007E648F"/>
    <w:rPr>
      <w:rFonts w:ascii="Arial" w:hAnsi="Arial" w:cs="Times New Roman"/>
      <w:sz w:val="24"/>
      <w:szCs w:val="24"/>
      <w:lang w:val="en-GB" w:eastAsia="en-GB"/>
    </w:rPr>
  </w:style>
  <w:style w:type="character" w:customStyle="1" w:styleId="Heading1Char">
    <w:name w:val="Heading 1 Char"/>
    <w:aliases w:val="Heading 1 (Incyte) Char,Chapter Char,Ovum Heading 1 Char"/>
    <w:basedOn w:val="DefaultParagraphFont"/>
    <w:link w:val="Heading1"/>
    <w:uiPriority w:val="99"/>
    <w:locked/>
    <w:rsid w:val="000B3AE0"/>
    <w:rPr>
      <w:rFonts w:ascii="Tahoma" w:eastAsiaTheme="minorEastAsia" w:hAnsi="Tahoma" w:cs="Arial"/>
      <w:b/>
      <w:iCs/>
      <w:smallCaps/>
      <w:noProof/>
      <w:color w:val="002D62" w:themeColor="accent1"/>
      <w:kern w:val="1"/>
      <w:sz w:val="28"/>
      <w:szCs w:val="28"/>
      <w:lang w:val="en-GB" w:eastAsia="en-GB"/>
    </w:rPr>
  </w:style>
  <w:style w:type="paragraph" w:customStyle="1" w:styleId="Textbody">
    <w:name w:val="Text body"/>
    <w:basedOn w:val="Standard"/>
    <w:uiPriority w:val="99"/>
    <w:rsid w:val="00834D4D"/>
    <w:pPr>
      <w:widowControl w:val="0"/>
      <w:spacing w:after="120"/>
    </w:pPr>
    <w:rPr>
      <w:rFonts w:ascii="Arial" w:eastAsia="Calibri" w:hAnsi="Arial"/>
      <w:sz w:val="21"/>
    </w:rPr>
  </w:style>
  <w:style w:type="paragraph" w:customStyle="1" w:styleId="Standard">
    <w:name w:val="Standard"/>
    <w:link w:val="StandardChar"/>
    <w:uiPriority w:val="99"/>
    <w:rsid w:val="00834D4D"/>
    <w:pPr>
      <w:suppressAutoHyphens/>
    </w:pPr>
    <w:rPr>
      <w:rFonts w:ascii="Times New Roman" w:eastAsia="Times New Roman" w:hAnsi="Times New Roman"/>
      <w:sz w:val="24"/>
      <w:szCs w:val="24"/>
    </w:rPr>
  </w:style>
  <w:style w:type="character" w:customStyle="1" w:styleId="StandardChar">
    <w:name w:val="Standard Char"/>
    <w:basedOn w:val="DefaultParagraphFont"/>
    <w:link w:val="Standard"/>
    <w:uiPriority w:val="99"/>
    <w:rsid w:val="0098594C"/>
    <w:rPr>
      <w:rFonts w:ascii="Times New Roman" w:eastAsia="Times New Roman" w:hAnsi="Times New Roman"/>
      <w:sz w:val="24"/>
      <w:szCs w:val="24"/>
      <w:lang w:val="en-AU" w:eastAsia="en-AU" w:bidi="ar-SA"/>
    </w:rPr>
  </w:style>
  <w:style w:type="character" w:customStyle="1" w:styleId="Heading2Char">
    <w:name w:val="Heading 2 Char"/>
    <w:aliases w:val="Heading 2 (Incyte) Char,Ovum Heading 2 Char"/>
    <w:basedOn w:val="DefaultParagraphFont"/>
    <w:link w:val="Heading2"/>
    <w:uiPriority w:val="99"/>
    <w:locked/>
    <w:rsid w:val="000B3AE0"/>
    <w:rPr>
      <w:rFonts w:ascii="Tahoma" w:eastAsia="MS Mincho" w:hAnsi="Tahoma" w:cs="Arial"/>
      <w:b/>
      <w:color w:val="456E7F" w:themeColor="accent2" w:themeShade="BF"/>
      <w:sz w:val="24"/>
      <w:szCs w:val="24"/>
    </w:rPr>
  </w:style>
  <w:style w:type="character" w:customStyle="1" w:styleId="Heading3Char">
    <w:name w:val="Heading 3 Char"/>
    <w:aliases w:val="Chapter 3 Char"/>
    <w:basedOn w:val="DefaultParagraphFont"/>
    <w:link w:val="Heading3"/>
    <w:uiPriority w:val="9"/>
    <w:locked/>
    <w:rsid w:val="001232DF"/>
    <w:rPr>
      <w:rFonts w:ascii="Tahoma" w:eastAsia="MS Mincho" w:hAnsi="Tahoma" w:cs="Arial"/>
      <w:b/>
      <w:color w:val="456E7F" w:themeColor="accent2" w:themeShade="BF"/>
    </w:rPr>
  </w:style>
  <w:style w:type="character" w:customStyle="1" w:styleId="Heading4Char">
    <w:name w:val="Heading 4 Char"/>
    <w:basedOn w:val="DefaultParagraphFont"/>
    <w:link w:val="Heading4"/>
    <w:uiPriority w:val="99"/>
    <w:locked/>
    <w:rsid w:val="000054C4"/>
    <w:rPr>
      <w:rFonts w:ascii="Arial" w:eastAsia="MS Mincho" w:hAnsi="Arial" w:cs="Arial"/>
      <w:b/>
      <w:color w:val="002D62"/>
      <w:sz w:val="22"/>
      <w:szCs w:val="22"/>
    </w:rPr>
  </w:style>
  <w:style w:type="character" w:customStyle="1" w:styleId="Heading5Char">
    <w:name w:val="Heading 5 Char"/>
    <w:aliases w:val="Heading 51 Char,X Char"/>
    <w:basedOn w:val="DefaultParagraphFont"/>
    <w:link w:val="Heading5"/>
    <w:uiPriority w:val="99"/>
    <w:locked/>
    <w:rsid w:val="000054C4"/>
    <w:rPr>
      <w:rFonts w:ascii="Tahoma" w:eastAsiaTheme="minorEastAsia" w:hAnsi="Tahoma" w:cs="Arial"/>
      <w:smallCaps/>
      <w:color w:val="456E7F" w:themeColor="accent2" w:themeShade="BF"/>
      <w:spacing w:val="10"/>
      <w:sz w:val="22"/>
      <w:szCs w:val="26"/>
      <w:lang w:val="en-US"/>
    </w:rPr>
  </w:style>
  <w:style w:type="character" w:customStyle="1" w:styleId="Heading6Char">
    <w:name w:val="Heading 6 Char"/>
    <w:basedOn w:val="DefaultParagraphFont"/>
    <w:link w:val="Heading6"/>
    <w:uiPriority w:val="99"/>
    <w:locked/>
    <w:rsid w:val="000054C4"/>
    <w:rPr>
      <w:rFonts w:ascii="Tahoma" w:eastAsiaTheme="minorEastAsia" w:hAnsi="Tahoma" w:cs="Arial"/>
      <w:smallCaps/>
      <w:color w:val="5F93A8" w:themeColor="accent2"/>
      <w:spacing w:val="5"/>
      <w:sz w:val="22"/>
      <w:szCs w:val="22"/>
      <w:lang w:val="en-US"/>
    </w:rPr>
  </w:style>
  <w:style w:type="character" w:customStyle="1" w:styleId="Heading7Char">
    <w:name w:val="Heading 7 Char"/>
    <w:basedOn w:val="DefaultParagraphFont"/>
    <w:link w:val="Heading7"/>
    <w:uiPriority w:val="99"/>
    <w:locked/>
    <w:rsid w:val="000054C4"/>
    <w:rPr>
      <w:rFonts w:ascii="Tahoma" w:eastAsiaTheme="minorEastAsia" w:hAnsi="Tahoma" w:cs="Arial"/>
      <w:b/>
      <w:smallCaps/>
      <w:color w:val="5F93A8" w:themeColor="accent2"/>
      <w:spacing w:val="10"/>
      <w:sz w:val="22"/>
      <w:szCs w:val="22"/>
      <w:lang w:val="en-US"/>
    </w:rPr>
  </w:style>
  <w:style w:type="character" w:customStyle="1" w:styleId="Heading8Char">
    <w:name w:val="Heading 8 Char"/>
    <w:aliases w:val="Title 2 Char,Annex Char,Appendix Char"/>
    <w:basedOn w:val="DefaultParagraphFont"/>
    <w:link w:val="Heading8"/>
    <w:uiPriority w:val="99"/>
    <w:locked/>
    <w:rsid w:val="00CE0991"/>
    <w:rPr>
      <w:rFonts w:ascii="Trebuchet MS" w:eastAsiaTheme="minorEastAsia" w:hAnsi="Trebuchet MS" w:cs="Arial"/>
      <w:color w:val="002D62" w:themeColor="accent1"/>
      <w:sz w:val="38"/>
      <w:szCs w:val="38"/>
      <w:lang w:val="en-GB" w:eastAsia="en-GB"/>
    </w:rPr>
  </w:style>
  <w:style w:type="character" w:customStyle="1" w:styleId="Heading9Char">
    <w:name w:val="Heading 9 Char"/>
    <w:aliases w:val="Title1 Char,Annex1 Char, Appen 1 Char,Appen 1 Char"/>
    <w:basedOn w:val="DefaultParagraphFont"/>
    <w:link w:val="Heading9"/>
    <w:uiPriority w:val="99"/>
    <w:locked/>
    <w:rsid w:val="000054C4"/>
    <w:rPr>
      <w:rFonts w:ascii="Trebuchet MS" w:eastAsiaTheme="minorEastAsia" w:hAnsi="Trebuchet MS" w:cs="Arial"/>
      <w:b/>
      <w:color w:val="002D62"/>
      <w:kern w:val="16"/>
      <w:sz w:val="48"/>
      <w:szCs w:val="32"/>
      <w:lang w:val="en-US"/>
    </w:rPr>
  </w:style>
  <w:style w:type="paragraph" w:styleId="Subtitle">
    <w:name w:val="Subtitle"/>
    <w:aliases w:val="Incyte sub-bullet"/>
    <w:basedOn w:val="ListParagraph"/>
    <w:link w:val="SubtitleChar"/>
    <w:uiPriority w:val="99"/>
    <w:qFormat/>
    <w:rsid w:val="00913DC1"/>
    <w:pPr>
      <w:numPr>
        <w:numId w:val="9"/>
      </w:numPr>
    </w:pPr>
  </w:style>
  <w:style w:type="character" w:customStyle="1" w:styleId="SubtitleChar">
    <w:name w:val="Subtitle Char"/>
    <w:aliases w:val="Incyte sub-bullet Char"/>
    <w:basedOn w:val="DefaultParagraphFont"/>
    <w:link w:val="Subtitle"/>
    <w:uiPriority w:val="99"/>
    <w:locked/>
    <w:rsid w:val="00913DC1"/>
    <w:rPr>
      <w:rFonts w:ascii="Tahoma" w:eastAsiaTheme="minorEastAsia" w:hAnsi="Tahoma" w:cs="Arial"/>
      <w:sz w:val="22"/>
      <w:szCs w:val="22"/>
      <w:lang w:val="en-US"/>
    </w:rPr>
  </w:style>
  <w:style w:type="paragraph" w:customStyle="1" w:styleId="Footnote">
    <w:name w:val="Footnote"/>
    <w:basedOn w:val="Normal"/>
    <w:uiPriority w:val="99"/>
    <w:rsid w:val="00990BF4"/>
  </w:style>
  <w:style w:type="paragraph" w:customStyle="1" w:styleId="BulletList1">
    <w:name w:val="Bullet List 1"/>
    <w:basedOn w:val="Standard"/>
    <w:link w:val="BulletList1Char"/>
    <w:uiPriority w:val="99"/>
    <w:rsid w:val="00A96D66"/>
    <w:pPr>
      <w:tabs>
        <w:tab w:val="num" w:pos="0"/>
      </w:tabs>
      <w:suppressAutoHyphens w:val="0"/>
      <w:spacing w:before="120" w:after="120" w:line="287" w:lineRule="auto"/>
    </w:pPr>
    <w:rPr>
      <w:rFonts w:ascii="Arial" w:hAnsi="Arial"/>
      <w:sz w:val="20"/>
      <w:lang w:val="en-GB" w:eastAsia="en-GB"/>
    </w:rPr>
  </w:style>
  <w:style w:type="character" w:customStyle="1" w:styleId="BulletList1Char">
    <w:name w:val="Bullet List 1 Char"/>
    <w:basedOn w:val="StandardChar"/>
    <w:link w:val="BulletList1"/>
    <w:uiPriority w:val="99"/>
    <w:rsid w:val="0098594C"/>
    <w:rPr>
      <w:rFonts w:ascii="Arial" w:eastAsia="Times New Roman" w:hAnsi="Arial"/>
      <w:sz w:val="24"/>
      <w:szCs w:val="24"/>
      <w:lang w:val="en-GB" w:eastAsia="en-GB" w:bidi="ar-SA"/>
    </w:rPr>
  </w:style>
  <w:style w:type="character" w:customStyle="1" w:styleId="Internetlink">
    <w:name w:val="Internet link"/>
    <w:basedOn w:val="Hyperlink0"/>
    <w:uiPriority w:val="99"/>
    <w:rsid w:val="00834D4D"/>
    <w:rPr>
      <w:rFonts w:cs="Times New Roman"/>
      <w:color w:val="000080"/>
      <w:u w:val="single"/>
      <w:lang w:val="en-AU"/>
    </w:rPr>
  </w:style>
  <w:style w:type="character" w:styleId="Hyperlink0">
    <w:name w:val="Hyperlink"/>
    <w:basedOn w:val="DefaultParagraphFont"/>
    <w:uiPriority w:val="99"/>
    <w:rsid w:val="00834D4D"/>
    <w:rPr>
      <w:rFonts w:cs="Times New Roman"/>
      <w:color w:val="0000FF"/>
      <w:u w:val="single"/>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
    <w:basedOn w:val="DefaultParagraphFont"/>
    <w:uiPriority w:val="99"/>
    <w:rsid w:val="00D02E4E"/>
    <w:rPr>
      <w:rFonts w:cs="Times New Roman"/>
      <w:sz w:val="18"/>
    </w:rPr>
  </w:style>
  <w:style w:type="character" w:styleId="CommentReference">
    <w:name w:val="annotation reference"/>
    <w:basedOn w:val="DefaultParagraphFont"/>
    <w:uiPriority w:val="99"/>
    <w:rsid w:val="00834D4D"/>
    <w:rPr>
      <w:rFonts w:cs="Times New Roman"/>
      <w:sz w:val="16"/>
      <w:szCs w:val="16"/>
      <w:lang w:val="en-AU"/>
    </w:rPr>
  </w:style>
  <w:style w:type="character" w:customStyle="1" w:styleId="notereference">
    <w:name w:val="note reference"/>
    <w:basedOn w:val="DefaultParagraphFont"/>
    <w:uiPriority w:val="99"/>
    <w:semiHidden/>
    <w:rsid w:val="00834D4D"/>
    <w:rPr>
      <w:rFonts w:cs="Times New Roman"/>
      <w:vertAlign w:val="superscript"/>
      <w:lang w:val="en-AU"/>
    </w:rPr>
  </w:style>
  <w:style w:type="paragraph" w:styleId="TOC1">
    <w:name w:val="toc 1"/>
    <w:basedOn w:val="Normal"/>
    <w:autoRedefine/>
    <w:uiPriority w:val="39"/>
    <w:rsid w:val="00995ABD"/>
    <w:pPr>
      <w:tabs>
        <w:tab w:val="left" w:pos="362"/>
        <w:tab w:val="right" w:leader="dot" w:pos="9011"/>
      </w:tabs>
      <w:spacing w:after="0"/>
    </w:pPr>
    <w:rPr>
      <w:rFonts w:asciiTheme="majorHAnsi" w:hAnsiTheme="majorHAnsi"/>
      <w:b/>
      <w:bCs/>
      <w:noProof/>
      <w:color w:val="456E7F" w:themeColor="accent2" w:themeShade="BF"/>
      <w:szCs w:val="24"/>
    </w:rPr>
  </w:style>
  <w:style w:type="paragraph" w:styleId="TOC2">
    <w:name w:val="toc 2"/>
    <w:basedOn w:val="Normal"/>
    <w:autoRedefine/>
    <w:uiPriority w:val="39"/>
    <w:rsid w:val="008B1E07"/>
    <w:pPr>
      <w:tabs>
        <w:tab w:val="left" w:pos="529"/>
        <w:tab w:val="right" w:leader="dot" w:pos="9011"/>
      </w:tabs>
      <w:spacing w:before="0" w:after="0"/>
    </w:pPr>
    <w:rPr>
      <w:noProof/>
    </w:rPr>
  </w:style>
  <w:style w:type="paragraph" w:styleId="TOC3">
    <w:name w:val="toc 3"/>
    <w:basedOn w:val="Normal"/>
    <w:autoRedefine/>
    <w:uiPriority w:val="39"/>
    <w:rsid w:val="008E4A71"/>
    <w:pPr>
      <w:spacing w:before="0" w:after="0"/>
      <w:ind w:left="240"/>
    </w:pPr>
  </w:style>
  <w:style w:type="paragraph" w:styleId="TOC4">
    <w:name w:val="toc 4"/>
    <w:basedOn w:val="Normal"/>
    <w:autoRedefine/>
    <w:uiPriority w:val="99"/>
    <w:rsid w:val="008E4A71"/>
    <w:pPr>
      <w:pBdr>
        <w:between w:val="double" w:sz="6" w:space="0" w:color="auto"/>
      </w:pBdr>
      <w:spacing w:before="0" w:after="0"/>
      <w:ind w:left="480"/>
    </w:pPr>
  </w:style>
  <w:style w:type="paragraph" w:styleId="BalloonText">
    <w:name w:val="Balloon Text"/>
    <w:basedOn w:val="Normal"/>
    <w:link w:val="BalloonTextChar"/>
    <w:uiPriority w:val="99"/>
    <w:rsid w:val="00834D4D"/>
    <w:rPr>
      <w:sz w:val="16"/>
      <w:szCs w:val="16"/>
    </w:rPr>
  </w:style>
  <w:style w:type="character" w:customStyle="1" w:styleId="BalloonTextChar">
    <w:name w:val="Balloon Text Char"/>
    <w:basedOn w:val="DefaultParagraphFont"/>
    <w:link w:val="BalloonText"/>
    <w:uiPriority w:val="99"/>
    <w:locked/>
    <w:rsid w:val="00834D4D"/>
    <w:rPr>
      <w:rFonts w:ascii="Tahoma" w:hAnsi="Tahoma" w:cs="Tahoma"/>
      <w:sz w:val="16"/>
      <w:szCs w:val="16"/>
      <w:lang w:eastAsia="en-AU"/>
    </w:rPr>
  </w:style>
  <w:style w:type="paragraph" w:styleId="Footer">
    <w:name w:val="footer"/>
    <w:basedOn w:val="Normal"/>
    <w:link w:val="FooterChar"/>
    <w:rsid w:val="00834D4D"/>
    <w:pPr>
      <w:tabs>
        <w:tab w:val="center" w:pos="4513"/>
        <w:tab w:val="right" w:pos="9026"/>
      </w:tabs>
    </w:pPr>
  </w:style>
  <w:style w:type="character" w:customStyle="1" w:styleId="FooterChar">
    <w:name w:val="Footer Char"/>
    <w:basedOn w:val="DefaultParagraphFont"/>
    <w:link w:val="Footer"/>
    <w:locked/>
    <w:rsid w:val="00834D4D"/>
    <w:rPr>
      <w:rFonts w:ascii="Times New Roman" w:hAnsi="Times New Roman" w:cs="Tahoma"/>
      <w:sz w:val="24"/>
      <w:szCs w:val="24"/>
      <w:lang w:eastAsia="en-AU"/>
    </w:rPr>
  </w:style>
  <w:style w:type="paragraph" w:styleId="BodyText">
    <w:name w:val="Body Text"/>
    <w:aliases w:val="bt,heading3,Body Text - Level 2,Body,b,(Ctrl Shift B),Body Text Char1 Char,Body Text Char1 Char Char,NoticeText-List,Concepto,ELI PD text,body,Concepto Char,ELI PD text Char,BodyText Char,body Char,text Char"/>
    <w:basedOn w:val="Normal"/>
    <w:link w:val="BodyTextChar"/>
    <w:uiPriority w:val="99"/>
    <w:rsid w:val="00BD7D9A"/>
  </w:style>
  <w:style w:type="character" w:customStyle="1" w:styleId="BodyTextChar">
    <w:name w:val="Body Text Char"/>
    <w:aliases w:val="bt Char,heading3 Char,Body Text - Level 2 Char,Body Char,b Char,(Ctrl Shift B) Char,Body Text Char1 Char Char1,Body Text Char1 Char Char Char,NoticeText-List Char,Concepto Char1,ELI PD text Char1,body Char1,Concepto Char Char"/>
    <w:basedOn w:val="DefaultParagraphFont"/>
    <w:link w:val="BodyText"/>
    <w:uiPriority w:val="99"/>
    <w:locked/>
    <w:rsid w:val="00BD7D9A"/>
    <w:rPr>
      <w:rFonts w:ascii="Arial" w:hAnsi="Arial" w:cs="Times New Roman"/>
      <w:sz w:val="24"/>
      <w:szCs w:val="24"/>
      <w:lang w:val="en-GB" w:eastAsia="en-GB"/>
    </w:rPr>
  </w:style>
  <w:style w:type="paragraph" w:customStyle="1" w:styleId="TocTitle">
    <w:name w:val="Toc Title"/>
    <w:basedOn w:val="BodyText"/>
    <w:uiPriority w:val="99"/>
    <w:rsid w:val="00CD4BD4"/>
    <w:rPr>
      <w:b/>
      <w:color w:val="4F2683"/>
    </w:rPr>
  </w:style>
  <w:style w:type="character" w:styleId="FootnoteReference">
    <w:name w:val="footnote reference"/>
    <w:aliases w:val="Appel note de bas de p,ftref,16 Point,Superscript 6 Point,fr,Appel note de bas de p + 11 pt,Italic,(NECG) Footnote Reference,(NECG) Footnote Reference1,(NECG) Footnote Reference2,Footnote symbol,Nota,Style 6,Style 20"/>
    <w:basedOn w:val="DefaultParagraphFont"/>
    <w:uiPriority w:val="99"/>
    <w:rsid w:val="00990BF4"/>
    <w:rPr>
      <w:rFonts w:cs="Times New Roman"/>
      <w:vertAlign w:val="superscript"/>
    </w:rPr>
  </w:style>
  <w:style w:type="paragraph" w:styleId="ListParagraph">
    <w:name w:val="List Paragraph"/>
    <w:basedOn w:val="Normal"/>
    <w:link w:val="ListParagraphChar"/>
    <w:uiPriority w:val="34"/>
    <w:qFormat/>
    <w:rsid w:val="00F2309F"/>
    <w:pPr>
      <w:contextualSpacing/>
    </w:pPr>
  </w:style>
  <w:style w:type="character" w:customStyle="1" w:styleId="apple-style-span">
    <w:name w:val="apple-style-span"/>
    <w:basedOn w:val="DefaultParagraphFont"/>
    <w:rsid w:val="0004118F"/>
    <w:rPr>
      <w:rFonts w:cs="Times New Roman"/>
    </w:rPr>
  </w:style>
  <w:style w:type="paragraph" w:customStyle="1" w:styleId="Heading2unnumbered">
    <w:name w:val="Heading 2 unnumbered"/>
    <w:basedOn w:val="Heading2"/>
    <w:next w:val="BodyText"/>
    <w:uiPriority w:val="99"/>
    <w:rsid w:val="008333AA"/>
    <w:pPr>
      <w:numPr>
        <w:ilvl w:val="0"/>
        <w:numId w:val="0"/>
      </w:numPr>
    </w:pPr>
  </w:style>
  <w:style w:type="paragraph" w:styleId="Caption">
    <w:name w:val="caption"/>
    <w:basedOn w:val="Normal"/>
    <w:next w:val="Normal"/>
    <w:link w:val="CaptionChar"/>
    <w:unhideWhenUsed/>
    <w:qFormat/>
    <w:rsid w:val="000054C4"/>
    <w:rPr>
      <w:b/>
      <w:bCs/>
      <w:caps/>
      <w:sz w:val="16"/>
    </w:rPr>
  </w:style>
  <w:style w:type="character" w:customStyle="1" w:styleId="CaptionChar">
    <w:name w:val="Caption Char"/>
    <w:link w:val="Caption"/>
    <w:rsid w:val="00844B6D"/>
    <w:rPr>
      <w:b/>
      <w:bCs/>
      <w:caps/>
      <w:sz w:val="16"/>
      <w:szCs w:val="18"/>
    </w:rPr>
  </w:style>
  <w:style w:type="paragraph" w:customStyle="1" w:styleId="western">
    <w:name w:val="western"/>
    <w:basedOn w:val="Normal"/>
    <w:uiPriority w:val="99"/>
    <w:rsid w:val="00764C40"/>
    <w:pPr>
      <w:spacing w:before="115" w:after="115"/>
      <w:ind w:left="907"/>
    </w:pPr>
  </w:style>
  <w:style w:type="paragraph" w:styleId="BodyTextIndent2">
    <w:name w:val="Body Text Indent 2"/>
    <w:basedOn w:val="Normal"/>
    <w:link w:val="BodyTextIndent2Char"/>
    <w:uiPriority w:val="99"/>
    <w:rsid w:val="007E648F"/>
    <w:pPr>
      <w:spacing w:line="480" w:lineRule="auto"/>
      <w:ind w:left="283"/>
    </w:pPr>
  </w:style>
  <w:style w:type="character" w:customStyle="1" w:styleId="BodyTextIndent2Char">
    <w:name w:val="Body Text Indent 2 Char"/>
    <w:basedOn w:val="DefaultParagraphFont"/>
    <w:link w:val="BodyTextIndent2"/>
    <w:uiPriority w:val="99"/>
    <w:locked/>
    <w:rsid w:val="007E648F"/>
    <w:rPr>
      <w:rFonts w:ascii="Arial" w:hAnsi="Arial" w:cs="Times New Roman"/>
      <w:sz w:val="24"/>
      <w:szCs w:val="24"/>
      <w:lang w:val="en-GB" w:eastAsia="en-GB"/>
    </w:rPr>
  </w:style>
  <w:style w:type="paragraph" w:customStyle="1" w:styleId="ConsTitle">
    <w:name w:val="ConsTitle"/>
    <w:basedOn w:val="Normal"/>
    <w:uiPriority w:val="99"/>
    <w:rsid w:val="007E648F"/>
    <w:pPr>
      <w:spacing w:before="0" w:after="0"/>
      <w:jc w:val="center"/>
    </w:pPr>
    <w:rPr>
      <w:rFonts w:ascii="Times New Roman" w:hAnsi="Times New Roman"/>
      <w:b/>
      <w:bCs/>
      <w:lang w:val="en-CA"/>
    </w:rPr>
  </w:style>
  <w:style w:type="paragraph" w:customStyle="1" w:styleId="top">
    <w:name w:val="top"/>
    <w:basedOn w:val="Heading2"/>
    <w:link w:val="topChar"/>
    <w:uiPriority w:val="99"/>
    <w:rsid w:val="007E648F"/>
    <w:pPr>
      <w:numPr>
        <w:ilvl w:val="0"/>
        <w:numId w:val="0"/>
      </w:numPr>
      <w:spacing w:after="0"/>
    </w:pPr>
    <w:rPr>
      <w:rFonts w:ascii="Times New Roman" w:hAnsi="Times New Roman" w:cs="Times New Roman"/>
      <w:b w:val="0"/>
      <w:iCs/>
      <w:caps/>
      <w:color w:val="auto"/>
      <w:lang w:eastAsia="en-US"/>
    </w:rPr>
  </w:style>
  <w:style w:type="character" w:customStyle="1" w:styleId="topChar">
    <w:name w:val="top Char"/>
    <w:basedOn w:val="DefaultParagraphFont"/>
    <w:link w:val="top"/>
    <w:uiPriority w:val="99"/>
    <w:locked/>
    <w:rsid w:val="007E648F"/>
    <w:rPr>
      <w:rFonts w:ascii="Times New Roman" w:hAnsi="Times New Roman" w:cs="Times New Roman"/>
      <w:caps/>
      <w:sz w:val="24"/>
      <w:szCs w:val="24"/>
      <w:lang w:val="en-GB"/>
    </w:rPr>
  </w:style>
  <w:style w:type="paragraph" w:customStyle="1" w:styleId="Bullet">
    <w:name w:val="Bullet"/>
    <w:aliases w:val="(Ctrl Alt B),(Ctrl Alt B) Char,(Ctrl Alt B) Char + Bold,Bullet Char Char...,Bullet Char Ch...,(Ctrl Alt B) Char Char,Bullet Char Char Char Char,(Ctrl Alt B) + Verdana,9 pt,Left:  0 cm,First line:  0 cm"/>
    <w:basedOn w:val="Normal"/>
    <w:link w:val="BulletChar"/>
    <w:rsid w:val="005E2B7B"/>
    <w:pPr>
      <w:tabs>
        <w:tab w:val="num" w:pos="720"/>
      </w:tabs>
      <w:spacing w:before="0" w:after="0"/>
      <w:ind w:left="720" w:hanging="720"/>
    </w:pPr>
    <w:rPr>
      <w:rFonts w:ascii="Times New Roman" w:hAnsi="Times New Roman"/>
      <w:noProof/>
      <w:lang w:val="en-CA" w:eastAsia="es-ES"/>
    </w:rPr>
  </w:style>
  <w:style w:type="character" w:customStyle="1" w:styleId="BulletChar">
    <w:name w:val="Bullet Char"/>
    <w:aliases w:val="(Ctrl Alt B) Char1,(Ctrl Alt B) Char + Bold Char Char,(Ctrl Alt B) Char Char1,(Ctrl Alt B) Char Char Char,Bullet Char Char... Char Char,(Ctrl Alt B) Char + Bold Char,Bullet Char Ch... Char Char"/>
    <w:basedOn w:val="DefaultParagraphFont"/>
    <w:link w:val="Bullet"/>
    <w:rsid w:val="006F7B49"/>
    <w:rPr>
      <w:rFonts w:ascii="Times New Roman" w:eastAsia="Times New Roman" w:hAnsi="Times New Roman"/>
      <w:noProof/>
      <w:sz w:val="24"/>
      <w:szCs w:val="18"/>
      <w:lang w:val="en-CA" w:eastAsia="es-ES"/>
    </w:rPr>
  </w:style>
  <w:style w:type="paragraph" w:customStyle="1" w:styleId="IncyteBoxtext">
    <w:name w:val="Incyte Box text"/>
    <w:basedOn w:val="BodyTextIndent2"/>
    <w:link w:val="IncyteBoxtextChar"/>
    <w:uiPriority w:val="99"/>
    <w:rsid w:val="00CF6B2F"/>
    <w:pPr>
      <w:spacing w:after="0" w:line="240" w:lineRule="auto"/>
      <w:ind w:left="0"/>
    </w:pPr>
    <w:rPr>
      <w:bCs/>
    </w:rPr>
  </w:style>
  <w:style w:type="character" w:customStyle="1" w:styleId="IncyteBoxtextChar">
    <w:name w:val="Incyte Box text Char"/>
    <w:basedOn w:val="BodyTextIndent2Char"/>
    <w:link w:val="IncyteBoxtext"/>
    <w:uiPriority w:val="99"/>
    <w:locked/>
    <w:rsid w:val="00CF6B2F"/>
    <w:rPr>
      <w:rFonts w:ascii="Arial" w:hAnsi="Arial" w:cs="Times New Roman"/>
      <w:bCs/>
      <w:sz w:val="24"/>
      <w:szCs w:val="24"/>
      <w:lang w:val="en-GB" w:eastAsia="en-GB"/>
    </w:rPr>
  </w:style>
  <w:style w:type="paragraph" w:styleId="TOC5">
    <w:name w:val="toc 5"/>
    <w:basedOn w:val="Normal"/>
    <w:next w:val="Normal"/>
    <w:autoRedefine/>
    <w:uiPriority w:val="99"/>
    <w:rsid w:val="008E4A71"/>
    <w:pPr>
      <w:pBdr>
        <w:between w:val="double" w:sz="6" w:space="0" w:color="auto"/>
      </w:pBdr>
      <w:spacing w:before="0" w:after="0"/>
      <w:ind w:left="720"/>
    </w:pPr>
  </w:style>
  <w:style w:type="paragraph" w:styleId="TOC6">
    <w:name w:val="toc 6"/>
    <w:basedOn w:val="Normal"/>
    <w:next w:val="Normal"/>
    <w:autoRedefine/>
    <w:uiPriority w:val="99"/>
    <w:rsid w:val="00CF6B2F"/>
    <w:pPr>
      <w:pBdr>
        <w:between w:val="double" w:sz="6" w:space="0" w:color="auto"/>
      </w:pBdr>
      <w:spacing w:before="0" w:after="0"/>
      <w:ind w:left="960"/>
    </w:pPr>
    <w:rPr>
      <w:rFonts w:asciiTheme="minorHAnsi" w:hAnsiTheme="minorHAnsi"/>
      <w:sz w:val="20"/>
    </w:rPr>
  </w:style>
  <w:style w:type="paragraph" w:styleId="TOC7">
    <w:name w:val="toc 7"/>
    <w:basedOn w:val="Normal"/>
    <w:next w:val="Normal"/>
    <w:autoRedefine/>
    <w:uiPriority w:val="99"/>
    <w:rsid w:val="00CF6B2F"/>
    <w:pPr>
      <w:pBdr>
        <w:between w:val="double" w:sz="6" w:space="0" w:color="auto"/>
      </w:pBdr>
      <w:spacing w:before="0" w:after="0"/>
      <w:ind w:left="1200"/>
    </w:pPr>
    <w:rPr>
      <w:rFonts w:asciiTheme="minorHAnsi" w:hAnsiTheme="minorHAnsi"/>
      <w:sz w:val="20"/>
    </w:rPr>
  </w:style>
  <w:style w:type="paragraph" w:styleId="TOC8">
    <w:name w:val="toc 8"/>
    <w:basedOn w:val="Normal"/>
    <w:next w:val="Normal"/>
    <w:autoRedefine/>
    <w:uiPriority w:val="99"/>
    <w:rsid w:val="00CF6B2F"/>
    <w:pPr>
      <w:pBdr>
        <w:between w:val="double" w:sz="6" w:space="0" w:color="auto"/>
      </w:pBdr>
      <w:spacing w:before="0" w:after="0"/>
      <w:ind w:left="1440"/>
    </w:pPr>
    <w:rPr>
      <w:rFonts w:asciiTheme="minorHAnsi" w:hAnsiTheme="minorHAnsi"/>
      <w:sz w:val="20"/>
    </w:rPr>
  </w:style>
  <w:style w:type="paragraph" w:styleId="TOC9">
    <w:name w:val="toc 9"/>
    <w:basedOn w:val="Normal"/>
    <w:next w:val="Normal"/>
    <w:autoRedefine/>
    <w:uiPriority w:val="99"/>
    <w:rsid w:val="00CF6B2F"/>
    <w:pPr>
      <w:pBdr>
        <w:between w:val="double" w:sz="6" w:space="0" w:color="auto"/>
      </w:pBdr>
      <w:spacing w:before="0" w:after="0"/>
      <w:ind w:left="1680"/>
    </w:pPr>
    <w:rPr>
      <w:rFonts w:asciiTheme="minorHAnsi" w:hAnsiTheme="minorHAnsi"/>
      <w:sz w:val="20"/>
    </w:rPr>
  </w:style>
  <w:style w:type="paragraph" w:styleId="CommentText">
    <w:name w:val="annotation text"/>
    <w:basedOn w:val="Normal"/>
    <w:link w:val="CommentTextChar"/>
    <w:uiPriority w:val="99"/>
    <w:rsid w:val="001414A6"/>
  </w:style>
  <w:style w:type="character" w:customStyle="1" w:styleId="CommentTextChar">
    <w:name w:val="Comment Text Char"/>
    <w:basedOn w:val="DefaultParagraphFont"/>
    <w:link w:val="CommentText"/>
    <w:uiPriority w:val="99"/>
    <w:locked/>
    <w:rsid w:val="001414A6"/>
    <w:rPr>
      <w:rFonts w:ascii="Arial" w:hAnsi="Arial" w:cs="Times New Roman"/>
      <w:sz w:val="20"/>
      <w:szCs w:val="20"/>
      <w:lang w:val="en-GB" w:eastAsia="en-GB"/>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ootnote Text Char3,f,fn,FA,FA "/>
    <w:basedOn w:val="Normal"/>
    <w:link w:val="FootnoteTextChar1"/>
    <w:uiPriority w:val="99"/>
    <w:qFormat/>
    <w:rsid w:val="002A2AF4"/>
    <w:pPr>
      <w:spacing w:before="0" w:after="0"/>
    </w:pPr>
    <w:rPr>
      <w:sz w:val="20"/>
    </w:rPr>
  </w:style>
  <w:style w:type="character" w:customStyle="1" w:styleId="FootnoteTextChar1">
    <w:name w:val="Footnote Text Char1"/>
    <w:aliases w:val="Footnote Text Char Char Char1,Footnote Text Char2 Char Char Char1,Footnote Text Char3 Char1 Char Char Char1,Footnote Text Char2 Char1 Char1 Char Char Char1,Footnote Text Char3 Char1 Char Char Char Char Char1,Footnote Text Char2 Char"/>
    <w:basedOn w:val="DefaultParagraphFont"/>
    <w:link w:val="FootnoteText"/>
    <w:uiPriority w:val="99"/>
    <w:locked/>
    <w:rsid w:val="002A2AF4"/>
    <w:rPr>
      <w:rFonts w:ascii="Garamond" w:eastAsiaTheme="minorEastAsia" w:hAnsi="Garamond" w:cs="Arial"/>
      <w:lang w:val="en-US"/>
    </w:rPr>
  </w:style>
  <w:style w:type="paragraph" w:styleId="Quote">
    <w:name w:val="Quote"/>
    <w:aliases w:val="Heading 4 (Incyte)"/>
    <w:basedOn w:val="Normal"/>
    <w:next w:val="Normal"/>
    <w:link w:val="QuoteChar"/>
    <w:uiPriority w:val="99"/>
    <w:qFormat/>
    <w:rsid w:val="00E93E64"/>
    <w:rPr>
      <w:b/>
      <w:color w:val="002D62" w:themeColor="accent1"/>
    </w:rPr>
  </w:style>
  <w:style w:type="character" w:customStyle="1" w:styleId="QuoteChar">
    <w:name w:val="Quote Char"/>
    <w:aliases w:val="Heading 4 (Incyte) Char"/>
    <w:basedOn w:val="DefaultParagraphFont"/>
    <w:link w:val="Quote"/>
    <w:uiPriority w:val="99"/>
    <w:locked/>
    <w:rsid w:val="00E93E64"/>
    <w:rPr>
      <w:rFonts w:ascii="Tahoma" w:eastAsiaTheme="minorEastAsia" w:hAnsi="Tahoma" w:cs="Arial"/>
      <w:b/>
      <w:color w:val="002D62" w:themeColor="accent1"/>
      <w:sz w:val="24"/>
      <w:lang w:val="en-US"/>
    </w:rPr>
  </w:style>
  <w:style w:type="paragraph" w:styleId="IntenseQuote">
    <w:name w:val="Intense Quote"/>
    <w:aliases w:val="del 1,Intense Quote1"/>
    <w:basedOn w:val="Normal"/>
    <w:next w:val="Normal"/>
    <w:link w:val="IntenseQuoteChar"/>
    <w:uiPriority w:val="30"/>
    <w:rsid w:val="000054C4"/>
    <w:pPr>
      <w:pBdr>
        <w:top w:val="single" w:sz="8" w:space="10" w:color="456E7F" w:themeColor="accent2" w:themeShade="BF"/>
        <w:left w:val="single" w:sz="8" w:space="10" w:color="456E7F" w:themeColor="accent2" w:themeShade="BF"/>
        <w:bottom w:val="single" w:sz="8" w:space="10" w:color="456E7F" w:themeColor="accent2" w:themeShade="BF"/>
        <w:right w:val="single" w:sz="8" w:space="10" w:color="456E7F" w:themeColor="accent2" w:themeShade="BF"/>
      </w:pBdr>
      <w:shd w:val="clear" w:color="auto" w:fill="5F93A8" w:themeFill="accent2"/>
      <w:spacing w:before="140" w:after="140"/>
      <w:ind w:left="1440" w:right="1440"/>
    </w:pPr>
    <w:rPr>
      <w:b/>
      <w:i/>
      <w:color w:val="FFFFFF" w:themeColor="background1"/>
    </w:rPr>
  </w:style>
  <w:style w:type="character" w:customStyle="1" w:styleId="IntenseQuoteChar">
    <w:name w:val="Intense Quote Char"/>
    <w:aliases w:val="del 1 Char,Intense Quote1 Char"/>
    <w:basedOn w:val="DefaultParagraphFont"/>
    <w:link w:val="IntenseQuote"/>
    <w:uiPriority w:val="30"/>
    <w:rsid w:val="000054C4"/>
    <w:rPr>
      <w:b/>
      <w:i/>
      <w:color w:val="FFFFFF" w:themeColor="background1"/>
      <w:shd w:val="clear" w:color="auto" w:fill="5F93A8" w:themeFill="accent2"/>
    </w:rPr>
  </w:style>
  <w:style w:type="character" w:customStyle="1" w:styleId="HTMLPreformattedChar1">
    <w:name w:val="HTML Preformatted Char1"/>
    <w:uiPriority w:val="99"/>
    <w:locked/>
    <w:rsid w:val="008631E7"/>
    <w:rPr>
      <w:rFonts w:cs="Times New Roman"/>
      <w:sz w:val="24"/>
      <w:szCs w:val="24"/>
      <w:lang w:val="en-CA" w:eastAsia="en-US" w:bidi="ar-SA"/>
    </w:rPr>
  </w:style>
  <w:style w:type="paragraph" w:customStyle="1" w:styleId="BodyText1">
    <w:name w:val="Body Text1"/>
    <w:basedOn w:val="Normal"/>
    <w:link w:val="bodytextChar0"/>
    <w:uiPriority w:val="99"/>
    <w:rsid w:val="008631E7"/>
    <w:pPr>
      <w:spacing w:before="0" w:after="0" w:line="240" w:lineRule="exact"/>
    </w:pPr>
    <w:rPr>
      <w:rFonts w:eastAsia="Calibri"/>
      <w:color w:val="000000"/>
      <w:sz w:val="17"/>
      <w:szCs w:val="17"/>
    </w:rPr>
  </w:style>
  <w:style w:type="character" w:customStyle="1" w:styleId="bodytextChar0">
    <w:name w:val="body text Char"/>
    <w:basedOn w:val="DefaultParagraphFont"/>
    <w:link w:val="BodyText1"/>
    <w:locked/>
    <w:rsid w:val="008631E7"/>
    <w:rPr>
      <w:rFonts w:ascii="Arial" w:hAnsi="Arial" w:cs="Times New Roman"/>
      <w:color w:val="000000"/>
      <w:sz w:val="17"/>
      <w:szCs w:val="17"/>
      <w:lang w:val="en-GB" w:eastAsia="en-GB" w:bidi="ar-SA"/>
    </w:rPr>
  </w:style>
  <w:style w:type="paragraph" w:customStyle="1" w:styleId="Bulletfirstline">
    <w:name w:val="Bullet first line"/>
    <w:basedOn w:val="Normal"/>
    <w:link w:val="BulletfirstlineCharChar"/>
    <w:uiPriority w:val="99"/>
    <w:rsid w:val="008631E7"/>
    <w:pPr>
      <w:tabs>
        <w:tab w:val="num" w:pos="216"/>
        <w:tab w:val="right" w:pos="6480"/>
      </w:tabs>
      <w:spacing w:after="0"/>
      <w:ind w:left="216" w:hanging="216"/>
    </w:pPr>
    <w:rPr>
      <w:rFonts w:eastAsia="Calibri"/>
    </w:rPr>
  </w:style>
  <w:style w:type="character" w:customStyle="1" w:styleId="BulletfirstlineCharChar">
    <w:name w:val="Bullet first line Char Char"/>
    <w:basedOn w:val="DefaultParagraphFont"/>
    <w:link w:val="Bulletfirstline"/>
    <w:uiPriority w:val="99"/>
    <w:locked/>
    <w:rsid w:val="008631E7"/>
    <w:rPr>
      <w:rFonts w:ascii="Garamond" w:hAnsi="Garamond"/>
      <w:sz w:val="21"/>
      <w:szCs w:val="21"/>
      <w:lang w:eastAsia="en-US"/>
    </w:rPr>
  </w:style>
  <w:style w:type="character" w:customStyle="1" w:styleId="CharChar1">
    <w:name w:val="Char Char1"/>
    <w:basedOn w:val="DefaultParagraphFont"/>
    <w:uiPriority w:val="99"/>
    <w:rsid w:val="00CD6A21"/>
    <w:rPr>
      <w:rFonts w:cs="Times New Roman"/>
      <w:sz w:val="24"/>
      <w:szCs w:val="24"/>
      <w:lang w:val="en-CA" w:eastAsia="en-US" w:bidi="ar-SA"/>
    </w:rPr>
  </w:style>
  <w:style w:type="paragraph" w:styleId="HTMLPreformatted">
    <w:name w:val="HTML Preformatted"/>
    <w:basedOn w:val="Normal"/>
    <w:link w:val="HTMLPreformattedChar"/>
    <w:uiPriority w:val="99"/>
    <w:rsid w:val="00CD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alibri" w:eastAsia="Calibri" w:hAnsi="Calibri"/>
      <w:lang w:val="en-CA"/>
    </w:rPr>
  </w:style>
  <w:style w:type="character" w:customStyle="1" w:styleId="HTMLPreformattedChar">
    <w:name w:val="HTML Preformatted Char"/>
    <w:basedOn w:val="DefaultParagraphFont"/>
    <w:link w:val="HTMLPreformatted"/>
    <w:uiPriority w:val="99"/>
    <w:locked/>
    <w:rsid w:val="007A7305"/>
    <w:rPr>
      <w:rFonts w:ascii="Courier New" w:hAnsi="Courier New" w:cs="Courier New"/>
      <w:sz w:val="20"/>
      <w:szCs w:val="20"/>
      <w:lang w:val="en-GB" w:eastAsia="en-GB"/>
    </w:rPr>
  </w:style>
  <w:style w:type="paragraph" w:customStyle="1" w:styleId="Title2">
    <w:name w:val="Title2"/>
    <w:basedOn w:val="Normal"/>
    <w:uiPriority w:val="99"/>
    <w:rsid w:val="005A612B"/>
    <w:pPr>
      <w:spacing w:before="2160" w:line="520" w:lineRule="exact"/>
    </w:pPr>
    <w:rPr>
      <w:rFonts w:ascii="Verdana" w:eastAsia="Calibri" w:hAnsi="Verdana"/>
      <w:b/>
      <w:sz w:val="48"/>
      <w:lang w:bidi="he-IL"/>
    </w:rPr>
  </w:style>
  <w:style w:type="paragraph" w:customStyle="1" w:styleId="ProposalDate">
    <w:name w:val="Proposal Date"/>
    <w:basedOn w:val="Normal"/>
    <w:next w:val="BalloonText"/>
    <w:uiPriority w:val="99"/>
    <w:rsid w:val="005A612B"/>
    <w:pPr>
      <w:spacing w:before="700" w:line="520" w:lineRule="exact"/>
    </w:pPr>
    <w:rPr>
      <w:rFonts w:ascii="Verdana" w:eastAsia="Calibri" w:hAnsi="Verdana"/>
      <w:b/>
      <w:sz w:val="32"/>
      <w:lang w:bidi="he-IL"/>
    </w:rPr>
  </w:style>
  <w:style w:type="paragraph" w:customStyle="1" w:styleId="Subtitle1">
    <w:name w:val="Subtitle1"/>
    <w:basedOn w:val="Title2"/>
    <w:uiPriority w:val="99"/>
    <w:rsid w:val="005A612B"/>
    <w:pPr>
      <w:spacing w:before="0" w:after="0"/>
    </w:pPr>
    <w:rPr>
      <w:rFonts w:ascii="Helvetica" w:hAnsi="Helvetica"/>
      <w:bCs/>
      <w:sz w:val="32"/>
      <w:szCs w:val="32"/>
    </w:rPr>
  </w:style>
  <w:style w:type="paragraph" w:styleId="BodyTextIndent">
    <w:name w:val="Body Text Indent"/>
    <w:basedOn w:val="Normal"/>
    <w:link w:val="BodyTextIndentChar"/>
    <w:uiPriority w:val="99"/>
    <w:rsid w:val="005A612B"/>
    <w:pPr>
      <w:spacing w:before="160" w:after="0" w:line="260" w:lineRule="exact"/>
      <w:ind w:left="720" w:hanging="360"/>
    </w:pPr>
    <w:rPr>
      <w:rFonts w:ascii="Helvetica" w:eastAsia="Calibri" w:hAnsi="Helvetica"/>
    </w:rPr>
  </w:style>
  <w:style w:type="character" w:customStyle="1" w:styleId="BodyTextIndentChar">
    <w:name w:val="Body Text Indent Char"/>
    <w:basedOn w:val="DefaultParagraphFont"/>
    <w:link w:val="BodyTextIndent"/>
    <w:uiPriority w:val="99"/>
    <w:locked/>
    <w:rsid w:val="007A7305"/>
    <w:rPr>
      <w:rFonts w:ascii="Arial" w:hAnsi="Arial" w:cs="Times New Roman"/>
      <w:sz w:val="24"/>
      <w:szCs w:val="24"/>
      <w:lang w:val="en-GB" w:eastAsia="en-GB"/>
    </w:rPr>
  </w:style>
  <w:style w:type="paragraph" w:styleId="ListNumber">
    <w:name w:val="List Number"/>
    <w:basedOn w:val="Normal"/>
    <w:uiPriority w:val="99"/>
    <w:rsid w:val="005A612B"/>
    <w:pPr>
      <w:tabs>
        <w:tab w:val="num" w:pos="360"/>
      </w:tabs>
      <w:spacing w:before="0" w:after="0" w:line="260" w:lineRule="exact"/>
      <w:ind w:left="357" w:hanging="357"/>
    </w:pPr>
    <w:rPr>
      <w:rFonts w:ascii="Helvetica" w:eastAsia="Calibri" w:hAnsi="Helvetica"/>
    </w:rPr>
  </w:style>
  <w:style w:type="paragraph" w:customStyle="1" w:styleId="Offer-2ndlevelpoint">
    <w:name w:val="Offer - 2nd level point"/>
    <w:basedOn w:val="BodyText"/>
    <w:uiPriority w:val="99"/>
    <w:rsid w:val="005A612B"/>
    <w:pPr>
      <w:spacing w:before="60" w:line="260" w:lineRule="exact"/>
      <w:ind w:left="720" w:hanging="720"/>
    </w:pPr>
    <w:rPr>
      <w:rFonts w:ascii="Helvetica" w:eastAsia="Calibri" w:hAnsi="Helvetica" w:cs="Helvetica"/>
    </w:rPr>
  </w:style>
  <w:style w:type="table" w:styleId="TableGrid">
    <w:name w:val="Table Grid"/>
    <w:basedOn w:val="TableNormal"/>
    <w:uiPriority w:val="59"/>
    <w:locked/>
    <w:rsid w:val="007F33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3">
    <w:name w:val="Light List Accent 3"/>
    <w:basedOn w:val="TableNormal"/>
    <w:uiPriority w:val="99"/>
    <w:rsid w:val="004E5A46"/>
    <w:rPr>
      <w:rFonts w:eastAsia="Times New Roman"/>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MediumList2-Accent1">
    <w:name w:val="Medium List 2 Accent 1"/>
    <w:basedOn w:val="TableNormal"/>
    <w:uiPriority w:val="99"/>
    <w:rsid w:val="004E5A46"/>
    <w:rPr>
      <w:rFonts w:ascii="Cambria" w:eastAsia="Times New Roman" w:hAnsi="Cambria"/>
      <w:color w:val="000000"/>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4E5A4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Calendar4">
    <w:name w:val="Calendar 4"/>
    <w:uiPriority w:val="99"/>
    <w:rsid w:val="008D3299"/>
    <w:pPr>
      <w:snapToGrid w:val="0"/>
    </w:pPr>
    <w:rPr>
      <w:rFonts w:eastAsia="Times New Roman"/>
      <w:b/>
      <w:bCs/>
      <w:color w:val="D9D9D9"/>
      <w:sz w:val="16"/>
      <w:szCs w:val="16"/>
      <w:lang w:val="en-US" w:eastAsia="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style>
  <w:style w:type="table" w:customStyle="1" w:styleId="Calendar1">
    <w:name w:val="Calendar 1"/>
    <w:uiPriority w:val="99"/>
    <w:rsid w:val="008D3299"/>
    <w:rPr>
      <w:rFonts w:eastAsia="Times New Roman"/>
      <w:lang w:val="en-US" w:eastAsia="en-US"/>
    </w:rPr>
    <w:tblPr>
      <w:tblStyleRowBandSize w:val="1"/>
      <w:tblStyleColBandSize w:val="1"/>
      <w:tblInd w:w="0" w:type="dxa"/>
      <w:tblCellMar>
        <w:top w:w="0" w:type="dxa"/>
        <w:left w:w="108" w:type="dxa"/>
        <w:bottom w:w="0" w:type="dxa"/>
        <w:right w:w="108" w:type="dxa"/>
      </w:tblCellMar>
    </w:tblPr>
  </w:style>
  <w:style w:type="table" w:customStyle="1" w:styleId="Calendar3">
    <w:name w:val="Calendar 3"/>
    <w:uiPriority w:val="99"/>
    <w:rsid w:val="008D3299"/>
    <w:pPr>
      <w:jc w:val="right"/>
    </w:pPr>
    <w:rPr>
      <w:rFonts w:ascii="Cambria" w:eastAsia="Times New Roman" w:hAnsi="Cambria"/>
      <w:color w:val="7F7F7F"/>
      <w:lang w:val="en-US" w:eastAsia="en-US"/>
    </w:rPr>
    <w:tblPr>
      <w:tblInd w:w="0" w:type="dxa"/>
      <w:tblCellMar>
        <w:top w:w="0" w:type="dxa"/>
        <w:left w:w="108" w:type="dxa"/>
        <w:bottom w:w="0" w:type="dxa"/>
        <w:right w:w="108" w:type="dxa"/>
      </w:tblCellMar>
    </w:tblPr>
  </w:style>
  <w:style w:type="table" w:customStyle="1" w:styleId="Calendar2">
    <w:name w:val="Calendar 2"/>
    <w:uiPriority w:val="99"/>
    <w:rsid w:val="008D3299"/>
    <w:pPr>
      <w:jc w:val="center"/>
    </w:pPr>
    <w:rPr>
      <w:rFonts w:eastAsia="Times New Roman"/>
      <w:sz w:val="28"/>
      <w:szCs w:val="28"/>
      <w:lang w:val="en-US" w:eastAsia="en-US"/>
    </w:rPr>
    <w:tblPr>
      <w:tblInd w:w="0" w:type="dxa"/>
      <w:tblBorders>
        <w:insideV w:val="single" w:sz="4" w:space="0" w:color="95B3D7"/>
      </w:tblBorders>
      <w:tblCellMar>
        <w:top w:w="0" w:type="dxa"/>
        <w:left w:w="108" w:type="dxa"/>
        <w:bottom w:w="0" w:type="dxa"/>
        <w:right w:w="108" w:type="dxa"/>
      </w:tblCellMar>
    </w:tblPr>
  </w:style>
  <w:style w:type="character" w:customStyle="1" w:styleId="apple-converted-space">
    <w:name w:val="apple-converted-space"/>
    <w:basedOn w:val="DefaultParagraphFont"/>
    <w:rsid w:val="00831276"/>
    <w:rPr>
      <w:rFonts w:cs="Times New Roman"/>
    </w:rPr>
  </w:style>
  <w:style w:type="paragraph" w:styleId="NormalWeb">
    <w:name w:val="Normal (Web)"/>
    <w:basedOn w:val="Normal"/>
    <w:rsid w:val="00831276"/>
    <w:pPr>
      <w:spacing w:before="100" w:beforeAutospacing="1" w:after="100" w:afterAutospacing="1"/>
    </w:pPr>
    <w:rPr>
      <w:rFonts w:ascii="Times New Roman" w:hAnsi="Times New Roman"/>
    </w:rPr>
  </w:style>
  <w:style w:type="paragraph" w:styleId="CommentSubject">
    <w:name w:val="annotation subject"/>
    <w:basedOn w:val="CommentText"/>
    <w:next w:val="CommentText"/>
    <w:link w:val="CommentSubjectChar"/>
    <w:uiPriority w:val="99"/>
    <w:rsid w:val="004322FD"/>
    <w:pPr>
      <w:spacing w:line="288" w:lineRule="auto"/>
    </w:pPr>
    <w:rPr>
      <w:b/>
      <w:bCs/>
    </w:rPr>
  </w:style>
  <w:style w:type="character" w:customStyle="1" w:styleId="CommentSubjectChar">
    <w:name w:val="Comment Subject Char"/>
    <w:basedOn w:val="CommentTextChar"/>
    <w:link w:val="CommentSubject"/>
    <w:uiPriority w:val="99"/>
    <w:locked/>
    <w:rsid w:val="004322FD"/>
    <w:rPr>
      <w:rFonts w:ascii="Arial" w:hAnsi="Arial" w:cs="Times New Roman"/>
      <w:b/>
      <w:bCs/>
      <w:sz w:val="20"/>
      <w:szCs w:val="20"/>
      <w:lang w:val="en-GB" w:eastAsia="en-GB"/>
    </w:rPr>
  </w:style>
  <w:style w:type="paragraph" w:customStyle="1" w:styleId="CharChar3CharCharCharChar2">
    <w:name w:val="Char Char3 Char Char Char Char2"/>
    <w:basedOn w:val="Normal"/>
    <w:uiPriority w:val="99"/>
    <w:rsid w:val="00E45D9C"/>
    <w:pPr>
      <w:spacing w:before="60" w:after="160" w:line="240" w:lineRule="exact"/>
    </w:pPr>
    <w:rPr>
      <w:rFonts w:ascii="Verdana" w:hAnsi="Verdana" w:cs="Verdana"/>
      <w:color w:val="000000"/>
    </w:rPr>
  </w:style>
  <w:style w:type="paragraph" w:customStyle="1" w:styleId="CoverPageAddress">
    <w:name w:val="Cover Page Address"/>
    <w:basedOn w:val="Normal"/>
    <w:rsid w:val="004E562B"/>
    <w:pPr>
      <w:tabs>
        <w:tab w:val="center" w:pos="4153"/>
        <w:tab w:val="right" w:pos="8306"/>
      </w:tabs>
      <w:spacing w:before="160" w:after="0" w:line="260" w:lineRule="exact"/>
      <w:jc w:val="center"/>
    </w:pPr>
    <w:rPr>
      <w:rFonts w:ascii="Verdana" w:hAnsi="Verdana"/>
      <w:sz w:val="16"/>
    </w:rPr>
  </w:style>
  <w:style w:type="character" w:customStyle="1" w:styleId="CoverPageAddressChar">
    <w:name w:val="Cover Page Address Char"/>
    <w:basedOn w:val="DefaultParagraphFont"/>
    <w:rsid w:val="00085F28"/>
    <w:rPr>
      <w:rFonts w:ascii="Verdana" w:hAnsi="Verdana"/>
      <w:noProof w:val="0"/>
      <w:sz w:val="16"/>
      <w:lang w:val="en-GB" w:eastAsia="en-GB" w:bidi="ar-SA"/>
    </w:rPr>
  </w:style>
  <w:style w:type="paragraph" w:customStyle="1" w:styleId="IncyteBullets">
    <w:name w:val="Incyte Bullets"/>
    <w:basedOn w:val="ListParagraph"/>
    <w:link w:val="IncyteBulletsChar"/>
    <w:qFormat/>
    <w:rsid w:val="00592B19"/>
    <w:pPr>
      <w:numPr>
        <w:numId w:val="8"/>
      </w:numPr>
      <w:spacing w:before="0" w:after="0"/>
      <w:ind w:left="426"/>
    </w:pPr>
    <w:rPr>
      <w:lang w:val="en-GB" w:eastAsia="en-GB"/>
    </w:rPr>
  </w:style>
  <w:style w:type="character" w:customStyle="1" w:styleId="IncyteBulletsChar">
    <w:name w:val="Incyte Bullets Char"/>
    <w:basedOn w:val="BulletList1Char"/>
    <w:link w:val="IncyteBullets"/>
    <w:rsid w:val="00592B19"/>
    <w:rPr>
      <w:rFonts w:ascii="Tahoma" w:eastAsiaTheme="minorEastAsia" w:hAnsi="Tahoma" w:cs="Arial"/>
      <w:sz w:val="22"/>
      <w:szCs w:val="22"/>
      <w:lang w:val="en-GB" w:eastAsia="en-GB" w:bidi="ar-SA"/>
    </w:rPr>
  </w:style>
  <w:style w:type="character" w:styleId="IntenseReference">
    <w:name w:val="Intense Reference"/>
    <w:aliases w:val="del 2,Intense Reference1"/>
    <w:uiPriority w:val="32"/>
    <w:rsid w:val="000054C4"/>
    <w:rPr>
      <w:b/>
      <w:bCs/>
      <w:smallCaps/>
      <w:spacing w:val="5"/>
      <w:sz w:val="22"/>
      <w:szCs w:val="22"/>
      <w:u w:val="single"/>
    </w:rPr>
  </w:style>
  <w:style w:type="character" w:styleId="SubtleReference">
    <w:name w:val="Subtle Reference"/>
    <w:aliases w:val="Header 1,Subtle Reference1"/>
    <w:uiPriority w:val="31"/>
    <w:qFormat/>
    <w:rsid w:val="000054C4"/>
    <w:rPr>
      <w:b/>
    </w:rPr>
  </w:style>
  <w:style w:type="character" w:styleId="Strong">
    <w:name w:val="Strong"/>
    <w:aliases w:val="Header 2"/>
    <w:uiPriority w:val="22"/>
    <w:qFormat/>
    <w:locked/>
    <w:rsid w:val="000054C4"/>
    <w:rPr>
      <w:b/>
      <w:color w:val="5F93A8" w:themeColor="accent2"/>
    </w:rPr>
  </w:style>
  <w:style w:type="paragraph" w:styleId="TableofFigures">
    <w:name w:val="table of figures"/>
    <w:basedOn w:val="Normal"/>
    <w:next w:val="Normal"/>
    <w:uiPriority w:val="99"/>
    <w:unhideWhenUsed/>
    <w:locked/>
    <w:rsid w:val="00AE4605"/>
    <w:pPr>
      <w:spacing w:before="0" w:after="0"/>
      <w:ind w:left="400" w:hanging="400"/>
    </w:pPr>
    <w:rPr>
      <w:rFonts w:ascii="Calibri" w:hAnsi="Calibri"/>
      <w:smallCaps/>
    </w:rPr>
  </w:style>
  <w:style w:type="paragraph" w:customStyle="1" w:styleId="paragraph">
    <w:name w:val="paragraph"/>
    <w:basedOn w:val="BodyText"/>
    <w:uiPriority w:val="99"/>
    <w:rsid w:val="00F94A61"/>
    <w:pPr>
      <w:spacing w:before="160" w:after="0" w:line="260" w:lineRule="exact"/>
    </w:pPr>
    <w:rPr>
      <w:rFonts w:ascii="Helvetica" w:hAnsi="Helvetica" w:cs="Helvetica"/>
    </w:rPr>
  </w:style>
  <w:style w:type="character" w:styleId="FollowedHyperlink">
    <w:name w:val="FollowedHyperlink"/>
    <w:basedOn w:val="DefaultParagraphFont"/>
    <w:uiPriority w:val="99"/>
    <w:locked/>
    <w:rsid w:val="00F94A61"/>
    <w:rPr>
      <w:rFonts w:cs="Times New Roman"/>
      <w:color w:val="800080"/>
      <w:u w:val="single"/>
    </w:rPr>
  </w:style>
  <w:style w:type="paragraph" w:customStyle="1" w:styleId="BulletList2">
    <w:name w:val="Bullet List 2"/>
    <w:basedOn w:val="BulletList1"/>
    <w:uiPriority w:val="99"/>
    <w:rsid w:val="00F94A61"/>
    <w:pPr>
      <w:tabs>
        <w:tab w:val="clear" w:pos="0"/>
        <w:tab w:val="num" w:pos="800"/>
      </w:tabs>
      <w:ind w:left="800" w:hanging="400"/>
    </w:pPr>
    <w:rPr>
      <w:rFonts w:cs="Arial"/>
      <w:szCs w:val="20"/>
    </w:rPr>
  </w:style>
  <w:style w:type="paragraph" w:customStyle="1" w:styleId="Base">
    <w:name w:val="Base"/>
    <w:basedOn w:val="Normal"/>
    <w:uiPriority w:val="99"/>
    <w:rsid w:val="00F94A61"/>
    <w:pPr>
      <w:spacing w:before="0" w:after="0" w:line="287" w:lineRule="auto"/>
    </w:pPr>
  </w:style>
  <w:style w:type="paragraph" w:customStyle="1" w:styleId="BulletList3">
    <w:name w:val="Bullet List 3"/>
    <w:basedOn w:val="BulletList2"/>
    <w:uiPriority w:val="99"/>
    <w:rsid w:val="00F94A61"/>
    <w:pPr>
      <w:tabs>
        <w:tab w:val="clear" w:pos="800"/>
        <w:tab w:val="num" w:pos="1200"/>
      </w:tabs>
      <w:ind w:left="1200"/>
    </w:pPr>
  </w:style>
  <w:style w:type="paragraph" w:customStyle="1" w:styleId="BulletList4">
    <w:name w:val="Bullet List 4"/>
    <w:basedOn w:val="BulletList3"/>
    <w:uiPriority w:val="99"/>
    <w:rsid w:val="00F94A61"/>
    <w:pPr>
      <w:tabs>
        <w:tab w:val="clear" w:pos="1200"/>
        <w:tab w:val="num" w:pos="1360"/>
      </w:tabs>
      <w:ind w:left="1360" w:hanging="340"/>
    </w:pPr>
  </w:style>
  <w:style w:type="paragraph" w:customStyle="1" w:styleId="BulletList5">
    <w:name w:val="Bullet List 5"/>
    <w:basedOn w:val="BulletList4"/>
    <w:uiPriority w:val="99"/>
    <w:rsid w:val="00F94A61"/>
    <w:pPr>
      <w:tabs>
        <w:tab w:val="clear" w:pos="1360"/>
        <w:tab w:val="num" w:pos="1700"/>
      </w:tabs>
      <w:ind w:left="1700"/>
    </w:pPr>
  </w:style>
  <w:style w:type="paragraph" w:customStyle="1" w:styleId="BulletList6">
    <w:name w:val="Bullet List 6"/>
    <w:basedOn w:val="BulletList5"/>
    <w:uiPriority w:val="99"/>
    <w:rsid w:val="00F94A61"/>
    <w:pPr>
      <w:tabs>
        <w:tab w:val="clear" w:pos="1700"/>
        <w:tab w:val="num" w:pos="2040"/>
      </w:tabs>
      <w:ind w:left="2040"/>
    </w:pPr>
  </w:style>
  <w:style w:type="paragraph" w:customStyle="1" w:styleId="BulletList7">
    <w:name w:val="Bullet List 7"/>
    <w:basedOn w:val="BulletList6"/>
    <w:uiPriority w:val="99"/>
    <w:rsid w:val="00F94A61"/>
    <w:pPr>
      <w:tabs>
        <w:tab w:val="clear" w:pos="2040"/>
        <w:tab w:val="num" w:pos="2380"/>
      </w:tabs>
      <w:ind w:left="2380"/>
    </w:pPr>
  </w:style>
  <w:style w:type="paragraph" w:customStyle="1" w:styleId="BulletList8">
    <w:name w:val="Bullet List 8"/>
    <w:basedOn w:val="BulletList7"/>
    <w:uiPriority w:val="99"/>
    <w:rsid w:val="00F94A61"/>
    <w:pPr>
      <w:tabs>
        <w:tab w:val="clear" w:pos="2380"/>
        <w:tab w:val="num" w:pos="2720"/>
      </w:tabs>
      <w:ind w:left="2720"/>
    </w:pPr>
  </w:style>
  <w:style w:type="paragraph" w:customStyle="1" w:styleId="BulletList9">
    <w:name w:val="Bullet List 9"/>
    <w:basedOn w:val="BulletList8"/>
    <w:uiPriority w:val="99"/>
    <w:rsid w:val="00F94A61"/>
    <w:pPr>
      <w:tabs>
        <w:tab w:val="clear" w:pos="2720"/>
        <w:tab w:val="num" w:pos="3060"/>
      </w:tabs>
      <w:ind w:left="3060"/>
    </w:pPr>
  </w:style>
  <w:style w:type="paragraph" w:customStyle="1" w:styleId="NumberedList1">
    <w:name w:val="Numbered List 1"/>
    <w:basedOn w:val="Base"/>
    <w:uiPriority w:val="99"/>
    <w:rsid w:val="00F94A61"/>
    <w:pPr>
      <w:tabs>
        <w:tab w:val="num" w:pos="397"/>
      </w:tabs>
      <w:ind w:left="397" w:hanging="397"/>
    </w:pPr>
  </w:style>
  <w:style w:type="paragraph" w:customStyle="1" w:styleId="NumberedList2">
    <w:name w:val="Numbered List 2"/>
    <w:basedOn w:val="NumberedList1"/>
    <w:uiPriority w:val="99"/>
    <w:rsid w:val="00F94A61"/>
    <w:pPr>
      <w:numPr>
        <w:ilvl w:val="2"/>
      </w:numPr>
      <w:tabs>
        <w:tab w:val="num" w:pos="216"/>
        <w:tab w:val="num" w:pos="397"/>
      </w:tabs>
      <w:ind w:left="397" w:hanging="397"/>
    </w:pPr>
  </w:style>
  <w:style w:type="paragraph" w:customStyle="1" w:styleId="NumberedList3">
    <w:name w:val="Numbered List 3"/>
    <w:basedOn w:val="NumberedList2"/>
    <w:uiPriority w:val="99"/>
    <w:rsid w:val="00F94A61"/>
    <w:pPr>
      <w:numPr>
        <w:ilvl w:val="3"/>
      </w:numPr>
      <w:tabs>
        <w:tab w:val="num" w:pos="216"/>
        <w:tab w:val="num" w:pos="680"/>
      </w:tabs>
      <w:ind w:left="397" w:hanging="360"/>
    </w:pPr>
  </w:style>
  <w:style w:type="paragraph" w:customStyle="1" w:styleId="NumberedList4">
    <w:name w:val="Numbered List 4"/>
    <w:basedOn w:val="NumberedList3"/>
    <w:uiPriority w:val="99"/>
    <w:rsid w:val="00F94A61"/>
    <w:pPr>
      <w:numPr>
        <w:ilvl w:val="4"/>
      </w:numPr>
      <w:tabs>
        <w:tab w:val="num" w:pos="216"/>
      </w:tabs>
      <w:ind w:left="397" w:hanging="360"/>
    </w:pPr>
  </w:style>
  <w:style w:type="paragraph" w:customStyle="1" w:styleId="NumberedList5">
    <w:name w:val="Numbered List 5"/>
    <w:basedOn w:val="NumberedList4"/>
    <w:uiPriority w:val="99"/>
    <w:rsid w:val="00F94A61"/>
    <w:pPr>
      <w:numPr>
        <w:ilvl w:val="5"/>
      </w:numPr>
      <w:tabs>
        <w:tab w:val="num" w:pos="216"/>
      </w:tabs>
      <w:ind w:left="397" w:hanging="360"/>
    </w:pPr>
  </w:style>
  <w:style w:type="paragraph" w:customStyle="1" w:styleId="NumberedList6">
    <w:name w:val="Numbered List 6"/>
    <w:basedOn w:val="NumberedList5"/>
    <w:uiPriority w:val="99"/>
    <w:rsid w:val="00F94A61"/>
    <w:pPr>
      <w:numPr>
        <w:ilvl w:val="6"/>
      </w:numPr>
      <w:tabs>
        <w:tab w:val="num" w:pos="216"/>
      </w:tabs>
      <w:ind w:left="397" w:hanging="360"/>
    </w:pPr>
  </w:style>
  <w:style w:type="paragraph" w:customStyle="1" w:styleId="NumberedList7">
    <w:name w:val="Numbered List 7"/>
    <w:basedOn w:val="NumberedList6"/>
    <w:uiPriority w:val="99"/>
    <w:rsid w:val="00F94A61"/>
    <w:pPr>
      <w:numPr>
        <w:ilvl w:val="7"/>
      </w:numPr>
      <w:tabs>
        <w:tab w:val="num" w:pos="216"/>
      </w:tabs>
      <w:ind w:left="397" w:hanging="216"/>
    </w:pPr>
  </w:style>
  <w:style w:type="paragraph" w:customStyle="1" w:styleId="NumberedList8">
    <w:name w:val="Numbered List 8"/>
    <w:basedOn w:val="NumberedList7"/>
    <w:uiPriority w:val="99"/>
    <w:rsid w:val="00F94A61"/>
    <w:pPr>
      <w:numPr>
        <w:ilvl w:val="8"/>
      </w:numPr>
      <w:tabs>
        <w:tab w:val="num" w:pos="216"/>
      </w:tabs>
      <w:ind w:left="397" w:hanging="216"/>
    </w:pPr>
  </w:style>
  <w:style w:type="table" w:customStyle="1" w:styleId="SpecialTable">
    <w:name w:val="Special Table"/>
    <w:uiPriority w:val="99"/>
    <w:rsid w:val="00F94A61"/>
    <w:pPr>
      <w:ind w:left="113" w:right="113"/>
    </w:pPr>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PageNumber">
    <w:name w:val="page number"/>
    <w:basedOn w:val="DefaultParagraphFont"/>
    <w:locked/>
    <w:rsid w:val="00F94A61"/>
    <w:rPr>
      <w:rFonts w:cs="Times New Roman"/>
    </w:rPr>
  </w:style>
  <w:style w:type="table" w:customStyle="1" w:styleId="PlumTable">
    <w:name w:val="Plum Table"/>
    <w:uiPriority w:val="99"/>
    <w:rsid w:val="00F94A61"/>
    <w:pPr>
      <w:spacing w:after="60"/>
      <w:ind w:left="170" w:right="170"/>
    </w:pPr>
    <w:rPr>
      <w:rFonts w:ascii="Arial" w:eastAsia="Times New Roman" w:hAnsi="Arial" w:cs="Arial"/>
      <w:sz w:val="18"/>
      <w:szCs w:val="18"/>
      <w:lang w:val="en-US" w:eastAsia="en-US"/>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57" w:type="dxa"/>
        <w:left w:w="0" w:type="dxa"/>
        <w:bottom w:w="57" w:type="dxa"/>
        <w:right w:w="0" w:type="dxa"/>
      </w:tblCellMar>
    </w:tblPr>
    <w:tcPr>
      <w:shd w:val="clear" w:color="auto" w:fill="DCDDDE"/>
    </w:tcPr>
  </w:style>
  <w:style w:type="paragraph" w:customStyle="1" w:styleId="TableCaption">
    <w:name w:val="Table Caption"/>
    <w:basedOn w:val="BodyText"/>
    <w:next w:val="BodyText"/>
    <w:uiPriority w:val="99"/>
    <w:rsid w:val="00F94A61"/>
    <w:pPr>
      <w:keepNext/>
      <w:keepLines/>
      <w:spacing w:before="360"/>
    </w:pPr>
    <w:rPr>
      <w:b/>
      <w:bCs/>
      <w:color w:val="939598"/>
    </w:rPr>
  </w:style>
  <w:style w:type="paragraph" w:customStyle="1" w:styleId="FooterA4Portrait">
    <w:name w:val="Footer A4 Portrait"/>
    <w:basedOn w:val="Footer"/>
    <w:uiPriority w:val="99"/>
    <w:rsid w:val="00F94A61"/>
    <w:pPr>
      <w:tabs>
        <w:tab w:val="clear" w:pos="4513"/>
        <w:tab w:val="clear" w:pos="9026"/>
        <w:tab w:val="center" w:pos="4536"/>
        <w:tab w:val="right" w:pos="9072"/>
      </w:tabs>
      <w:spacing w:before="0" w:after="0" w:line="287" w:lineRule="auto"/>
    </w:pPr>
    <w:rPr>
      <w:color w:val="4F2683"/>
      <w:sz w:val="16"/>
      <w:szCs w:val="16"/>
    </w:rPr>
  </w:style>
  <w:style w:type="paragraph" w:customStyle="1" w:styleId="FooterA4Landscape">
    <w:name w:val="Footer A4 Landscape"/>
    <w:basedOn w:val="FooterA4Portrait"/>
    <w:uiPriority w:val="99"/>
    <w:rsid w:val="00F94A61"/>
    <w:pPr>
      <w:tabs>
        <w:tab w:val="clear" w:pos="4536"/>
        <w:tab w:val="clear" w:pos="9072"/>
        <w:tab w:val="center" w:pos="7002"/>
        <w:tab w:val="right" w:pos="13608"/>
      </w:tabs>
    </w:pPr>
  </w:style>
  <w:style w:type="paragraph" w:customStyle="1" w:styleId="Heading1unnumbered">
    <w:name w:val="Heading 1 unnumbered"/>
    <w:basedOn w:val="Heading1"/>
    <w:next w:val="BodyText"/>
    <w:uiPriority w:val="99"/>
    <w:rsid w:val="00F94A61"/>
    <w:rPr>
      <w:color w:val="4F2683"/>
      <w:szCs w:val="32"/>
    </w:rPr>
  </w:style>
  <w:style w:type="paragraph" w:customStyle="1" w:styleId="FigureCaption">
    <w:name w:val="Figure Caption"/>
    <w:basedOn w:val="TableCaption"/>
    <w:next w:val="BodyText"/>
    <w:uiPriority w:val="99"/>
    <w:rsid w:val="00F94A61"/>
  </w:style>
  <w:style w:type="paragraph" w:customStyle="1" w:styleId="AfterTable">
    <w:name w:val="After Table"/>
    <w:basedOn w:val="BodyText"/>
    <w:next w:val="BodyText"/>
    <w:uiPriority w:val="99"/>
    <w:rsid w:val="00F94A61"/>
    <w:pPr>
      <w:spacing w:before="360"/>
    </w:pPr>
  </w:style>
  <w:style w:type="paragraph" w:customStyle="1" w:styleId="Subheading">
    <w:name w:val="Subheading"/>
    <w:basedOn w:val="BodyText"/>
    <w:next w:val="BodyText"/>
    <w:uiPriority w:val="99"/>
    <w:rsid w:val="00F94A61"/>
    <w:pPr>
      <w:keepLines/>
    </w:pPr>
    <w:rPr>
      <w:b/>
      <w:bCs/>
      <w:color w:val="4F2683"/>
    </w:rPr>
  </w:style>
  <w:style w:type="paragraph" w:customStyle="1" w:styleId="TableBullet">
    <w:name w:val="Table Bullet"/>
    <w:basedOn w:val="BulletList1"/>
    <w:uiPriority w:val="99"/>
    <w:rsid w:val="00F94A61"/>
    <w:pPr>
      <w:tabs>
        <w:tab w:val="clear" w:pos="0"/>
        <w:tab w:val="num" w:pos="400"/>
        <w:tab w:val="left" w:pos="454"/>
      </w:tabs>
      <w:spacing w:before="0" w:after="60" w:line="240" w:lineRule="auto"/>
      <w:ind w:left="448" w:right="170" w:hanging="278"/>
    </w:pPr>
    <w:rPr>
      <w:rFonts w:cs="Arial"/>
      <w:sz w:val="18"/>
      <w:szCs w:val="18"/>
    </w:rPr>
  </w:style>
  <w:style w:type="paragraph" w:customStyle="1" w:styleId="TableNote">
    <w:name w:val="Table Note"/>
    <w:basedOn w:val="BodyText"/>
    <w:next w:val="BodyText"/>
    <w:uiPriority w:val="99"/>
    <w:rsid w:val="00F94A61"/>
    <w:pPr>
      <w:spacing w:before="0"/>
    </w:pPr>
  </w:style>
  <w:style w:type="paragraph" w:customStyle="1" w:styleId="newslisttitle1">
    <w:name w:val="newslisttitle1"/>
    <w:basedOn w:val="Normal"/>
    <w:uiPriority w:val="99"/>
    <w:rsid w:val="00F94A61"/>
    <w:pPr>
      <w:spacing w:before="0" w:after="0" w:line="336" w:lineRule="atLeast"/>
    </w:pPr>
    <w:rPr>
      <w:rFonts w:ascii="Times New Roman" w:hAnsi="Times New Roman"/>
      <w:color w:val="4E2683"/>
      <w:sz w:val="26"/>
      <w:szCs w:val="26"/>
    </w:rPr>
  </w:style>
  <w:style w:type="paragraph" w:customStyle="1" w:styleId="Default">
    <w:name w:val="Default"/>
    <w:rsid w:val="00F94A61"/>
    <w:pPr>
      <w:autoSpaceDE w:val="0"/>
      <w:autoSpaceDN w:val="0"/>
      <w:adjustRightInd w:val="0"/>
    </w:pPr>
    <w:rPr>
      <w:rFonts w:ascii="Arial" w:eastAsia="Times New Roman" w:hAnsi="Arial" w:cs="Arial"/>
      <w:color w:val="000000"/>
      <w:sz w:val="24"/>
      <w:szCs w:val="24"/>
      <w:lang w:val="en-GB" w:eastAsia="en-GB"/>
    </w:rPr>
  </w:style>
  <w:style w:type="paragraph" w:customStyle="1" w:styleId="CharChar1CharCharChar">
    <w:name w:val="Char Char1 Char Char Char"/>
    <w:basedOn w:val="Normal"/>
    <w:link w:val="CharChar1CharCharCharChar"/>
    <w:uiPriority w:val="99"/>
    <w:rsid w:val="00F94A61"/>
    <w:pPr>
      <w:spacing w:before="0" w:after="160" w:line="240" w:lineRule="exact"/>
    </w:pPr>
    <w:rPr>
      <w:rFonts w:ascii="Verdana" w:hAnsi="Verdana" w:cs="Verdana"/>
    </w:rPr>
  </w:style>
  <w:style w:type="character" w:customStyle="1" w:styleId="CharChar1CharCharCharChar">
    <w:name w:val="Char Char1 Char Char Char Char"/>
    <w:basedOn w:val="DefaultParagraphFont"/>
    <w:link w:val="CharChar1CharCharChar"/>
    <w:uiPriority w:val="99"/>
    <w:locked/>
    <w:rsid w:val="00F94A61"/>
    <w:rPr>
      <w:rFonts w:ascii="Verdana" w:eastAsia="Times New Roman" w:hAnsi="Verdana" w:cs="Verdana"/>
      <w:lang w:val="en-US" w:eastAsia="en-US"/>
    </w:rPr>
  </w:style>
  <w:style w:type="character" w:customStyle="1" w:styleId="CharChar5">
    <w:name w:val="Char Char5"/>
    <w:basedOn w:val="DefaultParagraphFont"/>
    <w:uiPriority w:val="99"/>
    <w:rsid w:val="00F94A61"/>
    <w:rPr>
      <w:rFonts w:cs="Times New Roman"/>
      <w:sz w:val="24"/>
      <w:szCs w:val="24"/>
      <w:lang w:val="en-CA" w:eastAsia="en-US"/>
    </w:rPr>
  </w:style>
  <w:style w:type="paragraph" w:styleId="Revision">
    <w:name w:val="Revision"/>
    <w:hidden/>
    <w:uiPriority w:val="99"/>
    <w:semiHidden/>
    <w:rsid w:val="00F94A61"/>
    <w:rPr>
      <w:rFonts w:ascii="Times New Roman" w:eastAsia="Times New Roman" w:hAnsi="Times New Roman"/>
      <w:sz w:val="24"/>
      <w:szCs w:val="24"/>
      <w:lang w:val="en-GB" w:eastAsia="en-GB"/>
    </w:rPr>
  </w:style>
  <w:style w:type="paragraph" w:customStyle="1" w:styleId="bulletlist10">
    <w:name w:val="bulletlist1"/>
    <w:basedOn w:val="Normal"/>
    <w:uiPriority w:val="99"/>
    <w:rsid w:val="00F94A61"/>
    <w:pPr>
      <w:tabs>
        <w:tab w:val="num" w:pos="0"/>
      </w:tabs>
      <w:spacing w:line="280" w:lineRule="auto"/>
    </w:pPr>
    <w:rPr>
      <w:rFonts w:eastAsia="MS Mincho"/>
      <w:lang w:eastAsia="ja-JP"/>
    </w:rPr>
  </w:style>
  <w:style w:type="paragraph" w:styleId="ListBullet">
    <w:name w:val="List Bullet"/>
    <w:basedOn w:val="Normal"/>
    <w:uiPriority w:val="99"/>
    <w:locked/>
    <w:rsid w:val="00F94A61"/>
    <w:pPr>
      <w:tabs>
        <w:tab w:val="num" w:pos="360"/>
      </w:tabs>
      <w:spacing w:before="0" w:after="0"/>
      <w:ind w:left="360" w:hanging="360"/>
    </w:pPr>
    <w:rPr>
      <w:rFonts w:ascii="Times New Roman" w:hAnsi="Times New Roman"/>
    </w:rPr>
  </w:style>
  <w:style w:type="paragraph" w:customStyle="1" w:styleId="Char">
    <w:name w:val="Char"/>
    <w:basedOn w:val="Normal"/>
    <w:rsid w:val="00F94A61"/>
    <w:pPr>
      <w:spacing w:before="0" w:after="160" w:line="240" w:lineRule="exact"/>
    </w:pPr>
    <w:rPr>
      <w:rFonts w:ascii="Verdana" w:hAnsi="Verdana" w:cs="Verdana"/>
    </w:rPr>
  </w:style>
  <w:style w:type="paragraph" w:customStyle="1" w:styleId="tableleft">
    <w:name w:val="table left"/>
    <w:basedOn w:val="FigureFooter"/>
    <w:uiPriority w:val="99"/>
    <w:rsid w:val="00F94A61"/>
    <w:pPr>
      <w:pBdr>
        <w:bottom w:val="none" w:sz="0" w:space="0" w:color="auto"/>
      </w:pBdr>
      <w:ind w:left="0" w:firstLine="0"/>
    </w:pPr>
  </w:style>
  <w:style w:type="paragraph" w:customStyle="1" w:styleId="FigureFooter">
    <w:name w:val="Figure Footer"/>
    <w:basedOn w:val="FigureTitle"/>
    <w:next w:val="BodyText"/>
    <w:uiPriority w:val="99"/>
    <w:rsid w:val="00F94A61"/>
    <w:pPr>
      <w:pBdr>
        <w:top w:val="none" w:sz="0" w:space="0" w:color="auto"/>
        <w:bottom w:val="single" w:sz="4" w:space="1" w:color="auto"/>
      </w:pBdr>
      <w:spacing w:after="120"/>
    </w:pPr>
    <w:rPr>
      <w:b/>
      <w:bCs/>
      <w:caps/>
    </w:rPr>
  </w:style>
  <w:style w:type="paragraph" w:customStyle="1" w:styleId="FigureTitle">
    <w:name w:val="Figure Title"/>
    <w:basedOn w:val="BodyText"/>
    <w:next w:val="Figure"/>
    <w:uiPriority w:val="99"/>
    <w:rsid w:val="00F94A61"/>
    <w:pPr>
      <w:keepNext/>
      <w:pBdr>
        <w:top w:val="single" w:sz="4" w:space="1" w:color="auto"/>
      </w:pBdr>
      <w:spacing w:after="60" w:line="240" w:lineRule="exact"/>
      <w:ind w:left="284" w:hanging="284"/>
    </w:pPr>
    <w:rPr>
      <w:rFonts w:ascii="Helvetica" w:hAnsi="Helvetica" w:cs="Helvetica"/>
    </w:rPr>
  </w:style>
  <w:style w:type="paragraph" w:customStyle="1" w:styleId="Figure">
    <w:name w:val="Figure"/>
    <w:basedOn w:val="BodyText"/>
    <w:next w:val="Source"/>
    <w:uiPriority w:val="99"/>
    <w:rsid w:val="00F94A61"/>
    <w:pPr>
      <w:keepNext/>
      <w:spacing w:before="160" w:after="0"/>
    </w:pPr>
    <w:rPr>
      <w:rFonts w:ascii="Helvetica" w:hAnsi="Helvetica" w:cs="Helvetica"/>
      <w:b/>
      <w:bCs/>
      <w:i/>
      <w:iCs/>
    </w:rPr>
  </w:style>
  <w:style w:type="paragraph" w:customStyle="1" w:styleId="Source">
    <w:name w:val="Source"/>
    <w:basedOn w:val="BodyText"/>
    <w:next w:val="FigureFooter"/>
    <w:autoRedefine/>
    <w:uiPriority w:val="99"/>
    <w:rsid w:val="00F94A61"/>
    <w:pPr>
      <w:keepNext/>
      <w:spacing w:before="160" w:after="0" w:line="220" w:lineRule="exact"/>
    </w:pPr>
    <w:rPr>
      <w:rFonts w:ascii="Helvetica" w:hAnsi="Helvetica" w:cs="Helvetica"/>
      <w:i/>
      <w:iCs/>
    </w:rPr>
  </w:style>
  <w:style w:type="paragraph" w:customStyle="1" w:styleId="Style1">
    <w:name w:val="Style1"/>
    <w:basedOn w:val="Normal"/>
    <w:uiPriority w:val="99"/>
    <w:rsid w:val="00F94A61"/>
    <w:pPr>
      <w:numPr>
        <w:numId w:val="1"/>
      </w:numPr>
      <w:spacing w:before="0"/>
    </w:pPr>
    <w:rPr>
      <w:rFonts w:ascii="Times New Roman" w:hAnsi="Times New Roman"/>
    </w:rPr>
  </w:style>
  <w:style w:type="character" w:customStyle="1" w:styleId="Heading3Char1">
    <w:name w:val="Heading 3 Char1"/>
    <w:basedOn w:val="DefaultParagraphFont"/>
    <w:uiPriority w:val="99"/>
    <w:locked/>
    <w:rsid w:val="00F94A61"/>
    <w:rPr>
      <w:rFonts w:ascii="Arial" w:hAnsi="Arial" w:cs="Arial"/>
      <w:b/>
      <w:bCs/>
      <w:color w:val="4F2683"/>
      <w:sz w:val="26"/>
      <w:szCs w:val="26"/>
      <w:lang w:val="en-GB" w:eastAsia="en-GB"/>
    </w:rPr>
  </w:style>
  <w:style w:type="paragraph" w:customStyle="1" w:styleId="TableRight">
    <w:name w:val="Table Right"/>
    <w:basedOn w:val="Normal"/>
    <w:uiPriority w:val="99"/>
    <w:rsid w:val="00F94A61"/>
    <w:pPr>
      <w:spacing w:before="160" w:after="60" w:line="220" w:lineRule="exact"/>
      <w:jc w:val="right"/>
    </w:pPr>
    <w:rPr>
      <w:rFonts w:ascii="Verdana" w:hAnsi="Verdana" w:cs="Verdana"/>
      <w:sz w:val="16"/>
      <w:szCs w:val="16"/>
    </w:rPr>
  </w:style>
  <w:style w:type="character" w:customStyle="1" w:styleId="CharChar18">
    <w:name w:val="Char Char18"/>
    <w:basedOn w:val="DefaultParagraphFont"/>
    <w:uiPriority w:val="99"/>
    <w:locked/>
    <w:rsid w:val="00F94A61"/>
    <w:rPr>
      <w:rFonts w:ascii="Arial" w:eastAsia="MS Mincho" w:hAnsi="Arial" w:cs="Arial"/>
      <w:b/>
      <w:bCs/>
      <w:color w:val="4F2683"/>
      <w:sz w:val="26"/>
      <w:szCs w:val="26"/>
      <w:lang w:val="en-GB" w:eastAsia="en-GB"/>
    </w:rPr>
  </w:style>
  <w:style w:type="paragraph" w:styleId="TOCHeading">
    <w:name w:val="TOC Heading"/>
    <w:basedOn w:val="TocTitle"/>
    <w:next w:val="Normal"/>
    <w:uiPriority w:val="39"/>
    <w:qFormat/>
    <w:rsid w:val="00E93E64"/>
    <w:rPr>
      <w:color w:val="002D62" w:themeColor="accent1"/>
      <w:sz w:val="32"/>
      <w:szCs w:val="32"/>
    </w:rPr>
  </w:style>
  <w:style w:type="character" w:styleId="Emphasis">
    <w:name w:val="Emphasis"/>
    <w:uiPriority w:val="20"/>
    <w:qFormat/>
    <w:locked/>
    <w:rsid w:val="000054C4"/>
    <w:rPr>
      <w:b/>
      <w:i/>
      <w:spacing w:val="10"/>
    </w:rPr>
  </w:style>
  <w:style w:type="table" w:styleId="LightShading-Accent4">
    <w:name w:val="Light Shading Accent 4"/>
    <w:basedOn w:val="TableNormal"/>
    <w:uiPriority w:val="99"/>
    <w:rsid w:val="00F94A6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ColorfulShading-Accent4">
    <w:name w:val="Colorful Shading Accent 4"/>
    <w:basedOn w:val="TableNormal"/>
    <w:uiPriority w:val="99"/>
    <w:rsid w:val="00F94A6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List-Accent4">
    <w:name w:val="Colorful List Accent 4"/>
    <w:basedOn w:val="TableNormal"/>
    <w:uiPriority w:val="99"/>
    <w:rsid w:val="00F94A6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Shading1-Accent4">
    <w:name w:val="Medium Shading 1 Accent 4"/>
    <w:basedOn w:val="TableNormal"/>
    <w:uiPriority w:val="99"/>
    <w:rsid w:val="00F94A6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Grid2-Accent4">
    <w:name w:val="Medium Grid 2 Accent 4"/>
    <w:basedOn w:val="TableNormal"/>
    <w:uiPriority w:val="99"/>
    <w:rsid w:val="00F94A6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paragraph" w:customStyle="1" w:styleId="text">
    <w:name w:val="text"/>
    <w:basedOn w:val="Normal"/>
    <w:rsid w:val="00F94A61"/>
    <w:pPr>
      <w:spacing w:before="100" w:beforeAutospacing="1" w:after="100" w:afterAutospacing="1"/>
    </w:pPr>
    <w:rPr>
      <w:rFonts w:ascii="Times New Roman" w:hAnsi="Times New Roman"/>
    </w:rPr>
  </w:style>
  <w:style w:type="paragraph" w:customStyle="1" w:styleId="Tabletext10">
    <w:name w:val="Table text 10"/>
    <w:basedOn w:val="Normal"/>
    <w:rsid w:val="00185D0B"/>
    <w:pPr>
      <w:spacing w:before="60" w:after="60"/>
      <w:ind w:left="72" w:right="72"/>
    </w:pPr>
  </w:style>
  <w:style w:type="paragraph" w:customStyle="1" w:styleId="CVtext">
    <w:name w:val="CV text"/>
    <w:basedOn w:val="BodyText"/>
    <w:link w:val="CVtextChar"/>
    <w:rsid w:val="000054C4"/>
    <w:rPr>
      <w:lang w:val="en-GB" w:eastAsia="en-GB"/>
    </w:rPr>
  </w:style>
  <w:style w:type="character" w:customStyle="1" w:styleId="CVtextChar">
    <w:name w:val="CV text Char"/>
    <w:basedOn w:val="BodyTextChar"/>
    <w:link w:val="CVtext"/>
    <w:rsid w:val="000054C4"/>
    <w:rPr>
      <w:rFonts w:ascii="Arial" w:eastAsiaTheme="minorEastAsia" w:hAnsi="Arial" w:cs="Arial"/>
      <w:sz w:val="18"/>
      <w:szCs w:val="18"/>
      <w:lang w:val="en-GB" w:eastAsia="en-GB"/>
    </w:rPr>
  </w:style>
  <w:style w:type="paragraph" w:customStyle="1" w:styleId="CVHeading">
    <w:name w:val="CV Heading"/>
    <w:basedOn w:val="CVtext"/>
    <w:link w:val="CVHeadingChar"/>
    <w:rsid w:val="000054C4"/>
    <w:rPr>
      <w:b/>
    </w:rPr>
  </w:style>
  <w:style w:type="character" w:customStyle="1" w:styleId="CVHeadingChar">
    <w:name w:val="CV Heading Char"/>
    <w:basedOn w:val="CVtextChar"/>
    <w:link w:val="CVHeading"/>
    <w:rsid w:val="000054C4"/>
    <w:rPr>
      <w:rFonts w:ascii="Arial" w:eastAsiaTheme="minorEastAsia" w:hAnsi="Arial" w:cs="Arial"/>
      <w:b/>
      <w:sz w:val="18"/>
      <w:szCs w:val="18"/>
      <w:lang w:val="en-GB" w:eastAsia="en-GB"/>
    </w:rPr>
  </w:style>
  <w:style w:type="paragraph" w:customStyle="1" w:styleId="CVboxtext">
    <w:name w:val="CV box text"/>
    <w:basedOn w:val="CVtext"/>
    <w:link w:val="CVboxtextChar"/>
    <w:rsid w:val="000054C4"/>
    <w:pPr>
      <w:spacing w:before="60" w:after="60"/>
      <w:ind w:left="285"/>
    </w:pPr>
  </w:style>
  <w:style w:type="character" w:customStyle="1" w:styleId="CVboxtextChar">
    <w:name w:val="CV box text Char"/>
    <w:basedOn w:val="CVtextChar"/>
    <w:link w:val="CVboxtext"/>
    <w:rsid w:val="000054C4"/>
    <w:rPr>
      <w:rFonts w:ascii="Arial" w:eastAsiaTheme="minorEastAsia" w:hAnsi="Arial" w:cs="Arial"/>
      <w:sz w:val="18"/>
      <w:szCs w:val="18"/>
      <w:lang w:val="en-GB" w:eastAsia="en-GB"/>
    </w:rPr>
  </w:style>
  <w:style w:type="table" w:customStyle="1" w:styleId="LightList-Accent11">
    <w:name w:val="Light List - Accent 11"/>
    <w:basedOn w:val="TableNormal"/>
    <w:uiPriority w:val="61"/>
    <w:rsid w:val="00AA665C"/>
    <w:tblPr>
      <w:tblStyleRowBandSize w:val="1"/>
      <w:tblStyleColBandSize w:val="1"/>
      <w:tblBorders>
        <w:top w:val="single" w:sz="8" w:space="0" w:color="002D62"/>
        <w:left w:val="single" w:sz="8" w:space="0" w:color="002D62"/>
        <w:bottom w:val="single" w:sz="8" w:space="0" w:color="002D62"/>
        <w:right w:val="single" w:sz="8" w:space="0" w:color="002D62"/>
      </w:tblBorders>
    </w:tblPr>
    <w:tblStylePr w:type="firstRow">
      <w:pPr>
        <w:spacing w:before="0" w:after="0" w:line="240" w:lineRule="auto"/>
      </w:pPr>
      <w:rPr>
        <w:b/>
        <w:bCs/>
        <w:color w:val="FFFFFF"/>
      </w:rPr>
      <w:tblPr/>
      <w:tcPr>
        <w:shd w:val="clear" w:color="auto" w:fill="002D62"/>
      </w:tcPr>
    </w:tblStylePr>
    <w:tblStylePr w:type="lastRow">
      <w:pPr>
        <w:spacing w:before="0" w:after="0" w:line="240" w:lineRule="auto"/>
      </w:pPr>
      <w:rPr>
        <w:b/>
        <w:bCs/>
      </w:rPr>
      <w:tblPr/>
      <w:tcPr>
        <w:tcBorders>
          <w:top w:val="double" w:sz="6" w:space="0" w:color="002D62"/>
          <w:left w:val="single" w:sz="8" w:space="0" w:color="002D62"/>
          <w:bottom w:val="single" w:sz="8" w:space="0" w:color="002D62"/>
          <w:right w:val="single" w:sz="8" w:space="0" w:color="002D62"/>
        </w:tcBorders>
      </w:tcPr>
    </w:tblStylePr>
    <w:tblStylePr w:type="firstCol">
      <w:rPr>
        <w:b/>
        <w:bCs/>
      </w:rPr>
    </w:tblStylePr>
    <w:tblStylePr w:type="lastCol">
      <w:rPr>
        <w:b/>
        <w:bCs/>
      </w:rPr>
    </w:tblStylePr>
    <w:tblStylePr w:type="band1Vert">
      <w:tblPr/>
      <w:tcPr>
        <w:tcBorders>
          <w:top w:val="single" w:sz="8" w:space="0" w:color="002D62"/>
          <w:left w:val="single" w:sz="8" w:space="0" w:color="002D62"/>
          <w:bottom w:val="single" w:sz="8" w:space="0" w:color="002D62"/>
          <w:right w:val="single" w:sz="8" w:space="0" w:color="002D62"/>
        </w:tcBorders>
      </w:tcPr>
    </w:tblStylePr>
    <w:tblStylePr w:type="band1Horz">
      <w:tblPr/>
      <w:tcPr>
        <w:tcBorders>
          <w:top w:val="single" w:sz="8" w:space="0" w:color="002D62"/>
          <w:left w:val="single" w:sz="8" w:space="0" w:color="002D62"/>
          <w:bottom w:val="single" w:sz="8" w:space="0" w:color="002D62"/>
          <w:right w:val="single" w:sz="8" w:space="0" w:color="002D62"/>
        </w:tcBorders>
      </w:tcPr>
    </w:tblStylePr>
  </w:style>
  <w:style w:type="paragraph" w:customStyle="1" w:styleId="Incytetrackrecordboxtext">
    <w:name w:val="Incyte track record box text"/>
    <w:basedOn w:val="Normal"/>
    <w:link w:val="IncytetrackrecordboxtextChar"/>
    <w:autoRedefine/>
    <w:qFormat/>
    <w:rsid w:val="008F1492"/>
    <w:pPr>
      <w:keepNext/>
      <w:keepLines/>
      <w:spacing w:before="60" w:after="60"/>
      <w:ind w:right="170"/>
    </w:pPr>
    <w:rPr>
      <w:lang w:val="en-GB"/>
    </w:rPr>
  </w:style>
  <w:style w:type="character" w:customStyle="1" w:styleId="IncytetrackrecordboxtextChar">
    <w:name w:val="Incyte track record box text Char"/>
    <w:basedOn w:val="DefaultParagraphFont"/>
    <w:link w:val="Incytetrackrecordboxtext"/>
    <w:rsid w:val="008F1492"/>
    <w:rPr>
      <w:rFonts w:ascii="Arial" w:eastAsiaTheme="minorEastAsia" w:hAnsi="Arial" w:cs="Arial"/>
      <w:lang w:val="en-GB" w:eastAsia="en-US"/>
    </w:rPr>
  </w:style>
  <w:style w:type="paragraph" w:styleId="BodyText3">
    <w:name w:val="Body Text 3"/>
    <w:basedOn w:val="Normal"/>
    <w:link w:val="BodyText3Char"/>
    <w:unhideWhenUsed/>
    <w:locked/>
    <w:rsid w:val="00605A47"/>
    <w:rPr>
      <w:sz w:val="16"/>
      <w:szCs w:val="16"/>
    </w:rPr>
  </w:style>
  <w:style w:type="character" w:customStyle="1" w:styleId="BodyText3Char">
    <w:name w:val="Body Text 3 Char"/>
    <w:basedOn w:val="DefaultParagraphFont"/>
    <w:link w:val="BodyText3"/>
    <w:rsid w:val="00605A47"/>
    <w:rPr>
      <w:rFonts w:ascii="Arial" w:eastAsia="Times New Roman" w:hAnsi="Arial"/>
      <w:sz w:val="16"/>
      <w:szCs w:val="16"/>
      <w:lang w:val="en-GB" w:eastAsia="en-GB"/>
    </w:rPr>
  </w:style>
  <w:style w:type="paragraph" w:customStyle="1" w:styleId="Heading3Unnumbered">
    <w:name w:val="Heading 3 Unnumbered"/>
    <w:basedOn w:val="Heading3"/>
    <w:next w:val="BodyText"/>
    <w:rsid w:val="00205002"/>
    <w:pPr>
      <w:spacing w:after="60" w:line="280" w:lineRule="atLeast"/>
    </w:pPr>
    <w:rPr>
      <w:rFonts w:eastAsia="Times New Roman"/>
      <w:bCs/>
      <w:color w:val="auto"/>
      <w:kern w:val="32"/>
      <w:sz w:val="24"/>
      <w:szCs w:val="26"/>
    </w:rPr>
  </w:style>
  <w:style w:type="paragraph" w:customStyle="1" w:styleId="Indent1">
    <w:name w:val="Indent 1"/>
    <w:basedOn w:val="BodyText"/>
    <w:rsid w:val="00213A77"/>
    <w:pPr>
      <w:spacing w:before="0" w:line="280" w:lineRule="atLeast"/>
      <w:ind w:left="340"/>
    </w:pPr>
    <w:rPr>
      <w:szCs w:val="24"/>
    </w:rPr>
  </w:style>
  <w:style w:type="table" w:styleId="LightList-Accent2">
    <w:name w:val="Light List Accent 2"/>
    <w:basedOn w:val="TableNormal"/>
    <w:uiPriority w:val="61"/>
    <w:rsid w:val="00D2754B"/>
    <w:tblPr>
      <w:tblStyleRowBandSize w:val="1"/>
      <w:tblStyleColBandSize w:val="1"/>
      <w:tblBorders>
        <w:top w:val="single" w:sz="8" w:space="0" w:color="5F93A8"/>
        <w:left w:val="single" w:sz="8" w:space="0" w:color="5F93A8"/>
        <w:bottom w:val="single" w:sz="8" w:space="0" w:color="5F93A8"/>
        <w:right w:val="single" w:sz="8" w:space="0" w:color="5F93A8"/>
      </w:tblBorders>
    </w:tblPr>
    <w:tblStylePr w:type="firstRow">
      <w:pPr>
        <w:spacing w:before="0" w:after="0" w:line="240" w:lineRule="auto"/>
      </w:pPr>
      <w:rPr>
        <w:b/>
        <w:bCs/>
        <w:color w:val="FFFFFF"/>
      </w:rPr>
      <w:tblPr/>
      <w:tcPr>
        <w:shd w:val="clear" w:color="auto" w:fill="5F93A8"/>
      </w:tcPr>
    </w:tblStylePr>
    <w:tblStylePr w:type="lastRow">
      <w:pPr>
        <w:spacing w:before="0" w:after="0" w:line="240" w:lineRule="auto"/>
      </w:pPr>
      <w:rPr>
        <w:b/>
        <w:bCs/>
      </w:rPr>
      <w:tblPr/>
      <w:tcPr>
        <w:tcBorders>
          <w:top w:val="double" w:sz="6" w:space="0" w:color="5F93A8"/>
          <w:left w:val="single" w:sz="8" w:space="0" w:color="5F93A8"/>
          <w:bottom w:val="single" w:sz="8" w:space="0" w:color="5F93A8"/>
          <w:right w:val="single" w:sz="8" w:space="0" w:color="5F93A8"/>
        </w:tcBorders>
      </w:tcPr>
    </w:tblStylePr>
    <w:tblStylePr w:type="firstCol">
      <w:rPr>
        <w:b/>
        <w:bCs/>
      </w:rPr>
    </w:tblStylePr>
    <w:tblStylePr w:type="lastCol">
      <w:rPr>
        <w:b/>
        <w:bCs/>
      </w:rPr>
    </w:tblStylePr>
    <w:tblStylePr w:type="band1Vert">
      <w:tblPr/>
      <w:tcPr>
        <w:tcBorders>
          <w:top w:val="single" w:sz="8" w:space="0" w:color="5F93A8"/>
          <w:left w:val="single" w:sz="8" w:space="0" w:color="5F93A8"/>
          <w:bottom w:val="single" w:sz="8" w:space="0" w:color="5F93A8"/>
          <w:right w:val="single" w:sz="8" w:space="0" w:color="5F93A8"/>
        </w:tcBorders>
      </w:tcPr>
    </w:tblStylePr>
    <w:tblStylePr w:type="band1Horz">
      <w:tblPr/>
      <w:tcPr>
        <w:tcBorders>
          <w:top w:val="single" w:sz="8" w:space="0" w:color="5F93A8"/>
          <w:left w:val="single" w:sz="8" w:space="0" w:color="5F93A8"/>
          <w:bottom w:val="single" w:sz="8" w:space="0" w:color="5F93A8"/>
          <w:right w:val="single" w:sz="8" w:space="0" w:color="5F93A8"/>
        </w:tcBorders>
      </w:tcPr>
    </w:tblStylePr>
  </w:style>
  <w:style w:type="table" w:styleId="MediumShading1-Accent2">
    <w:name w:val="Medium Shading 1 Accent 2"/>
    <w:basedOn w:val="TableNormal"/>
    <w:uiPriority w:val="63"/>
    <w:rsid w:val="00DC7D05"/>
    <w:tblPr>
      <w:tblStyleRowBandSize w:val="1"/>
      <w:tblStyleColBandSize w:val="1"/>
      <w:tblBorders>
        <w:top w:val="single" w:sz="8" w:space="0" w:color="86ADBD"/>
        <w:left w:val="single" w:sz="8" w:space="0" w:color="86ADBD"/>
        <w:bottom w:val="single" w:sz="8" w:space="0" w:color="86ADBD"/>
        <w:right w:val="single" w:sz="8" w:space="0" w:color="86ADBD"/>
        <w:insideH w:val="single" w:sz="8" w:space="0" w:color="86ADBD"/>
      </w:tblBorders>
    </w:tblPr>
    <w:tblStylePr w:type="firstRow">
      <w:pPr>
        <w:spacing w:before="0" w:after="0" w:line="240" w:lineRule="auto"/>
      </w:pPr>
      <w:rPr>
        <w:b/>
        <w:bCs/>
        <w:color w:val="FFFFFF"/>
      </w:rPr>
      <w:tblPr/>
      <w:tcPr>
        <w:tcBorders>
          <w:top w:val="single" w:sz="8" w:space="0" w:color="86ADBD"/>
          <w:left w:val="single" w:sz="8" w:space="0" w:color="86ADBD"/>
          <w:bottom w:val="single" w:sz="8" w:space="0" w:color="86ADBD"/>
          <w:right w:val="single" w:sz="8" w:space="0" w:color="86ADBD"/>
          <w:insideH w:val="nil"/>
          <w:insideV w:val="nil"/>
        </w:tcBorders>
        <w:shd w:val="clear" w:color="auto" w:fill="5F93A8"/>
      </w:tcPr>
    </w:tblStylePr>
    <w:tblStylePr w:type="lastRow">
      <w:pPr>
        <w:spacing w:before="0" w:after="0" w:line="240" w:lineRule="auto"/>
      </w:pPr>
      <w:rPr>
        <w:b/>
        <w:bCs/>
      </w:rPr>
      <w:tblPr/>
      <w:tcPr>
        <w:tcBorders>
          <w:top w:val="double" w:sz="6" w:space="0" w:color="86ADBD"/>
          <w:left w:val="single" w:sz="8" w:space="0" w:color="86ADBD"/>
          <w:bottom w:val="single" w:sz="8" w:space="0" w:color="86ADBD"/>
          <w:right w:val="single" w:sz="8" w:space="0" w:color="86ADBD"/>
          <w:insideH w:val="nil"/>
          <w:insideV w:val="nil"/>
        </w:tcBorders>
      </w:tcPr>
    </w:tblStylePr>
    <w:tblStylePr w:type="firstCol">
      <w:rPr>
        <w:b/>
        <w:bCs/>
      </w:rPr>
    </w:tblStylePr>
    <w:tblStylePr w:type="lastCol">
      <w:rPr>
        <w:b/>
        <w:bCs/>
      </w:rPr>
    </w:tblStylePr>
    <w:tblStylePr w:type="band1Vert">
      <w:tblPr/>
      <w:tcPr>
        <w:shd w:val="clear" w:color="auto" w:fill="D7E4E9"/>
      </w:tcPr>
    </w:tblStylePr>
    <w:tblStylePr w:type="band1Horz">
      <w:tblPr/>
      <w:tcPr>
        <w:tcBorders>
          <w:insideH w:val="nil"/>
          <w:insideV w:val="nil"/>
        </w:tcBorders>
        <w:shd w:val="clear" w:color="auto" w:fill="D7E4E9"/>
      </w:tcPr>
    </w:tblStylePr>
    <w:tblStylePr w:type="band2Horz">
      <w:tblPr/>
      <w:tcPr>
        <w:tcBorders>
          <w:insideH w:val="nil"/>
          <w:insideV w:val="nil"/>
        </w:tcBorders>
      </w:tcPr>
    </w:tblStylePr>
  </w:style>
  <w:style w:type="paragraph" w:customStyle="1" w:styleId="BankNormal">
    <w:name w:val="BankNormal"/>
    <w:basedOn w:val="Normal"/>
    <w:rsid w:val="00894E5E"/>
    <w:pPr>
      <w:spacing w:before="0"/>
    </w:pPr>
    <w:rPr>
      <w:rFonts w:ascii="Times New Roman" w:hAnsi="Times New Roman"/>
    </w:rPr>
  </w:style>
  <w:style w:type="paragraph" w:customStyle="1" w:styleId="MainParawithChapter">
    <w:name w:val="Main Para with Chapter#"/>
    <w:basedOn w:val="Normal"/>
    <w:rsid w:val="00894E5E"/>
    <w:pPr>
      <w:tabs>
        <w:tab w:val="num" w:pos="360"/>
      </w:tabs>
      <w:spacing w:before="0"/>
      <w:outlineLvl w:val="1"/>
    </w:pPr>
    <w:rPr>
      <w:rFonts w:ascii="Times New Roman" w:hAnsi="Times New Roman"/>
      <w:szCs w:val="24"/>
    </w:rPr>
  </w:style>
  <w:style w:type="paragraph" w:customStyle="1" w:styleId="Sub-Para1underXY">
    <w:name w:val="Sub-Para 1 under X.Y"/>
    <w:basedOn w:val="Normal"/>
    <w:rsid w:val="00894E5E"/>
    <w:pPr>
      <w:tabs>
        <w:tab w:val="num" w:pos="360"/>
      </w:tabs>
      <w:spacing w:before="0"/>
      <w:outlineLvl w:val="2"/>
    </w:pPr>
    <w:rPr>
      <w:rFonts w:ascii="Times New Roman" w:hAnsi="Times New Roman"/>
      <w:szCs w:val="24"/>
    </w:rPr>
  </w:style>
  <w:style w:type="paragraph" w:customStyle="1" w:styleId="Sub-Para2underXY">
    <w:name w:val="Sub-Para 2 under X.Y"/>
    <w:basedOn w:val="Normal"/>
    <w:rsid w:val="00894E5E"/>
    <w:pPr>
      <w:tabs>
        <w:tab w:val="num" w:pos="360"/>
      </w:tabs>
      <w:spacing w:before="0"/>
      <w:outlineLvl w:val="3"/>
    </w:pPr>
    <w:rPr>
      <w:rFonts w:ascii="Times New Roman" w:hAnsi="Times New Roman"/>
      <w:szCs w:val="24"/>
    </w:rPr>
  </w:style>
  <w:style w:type="paragraph" w:customStyle="1" w:styleId="Sub-Para3underXY">
    <w:name w:val="Sub-Para 3 under X.Y"/>
    <w:basedOn w:val="Normal"/>
    <w:rsid w:val="00894E5E"/>
    <w:pPr>
      <w:tabs>
        <w:tab w:val="num" w:pos="360"/>
      </w:tabs>
      <w:spacing w:before="0"/>
      <w:outlineLvl w:val="4"/>
    </w:pPr>
    <w:rPr>
      <w:rFonts w:ascii="Times New Roman" w:hAnsi="Times New Roman"/>
      <w:szCs w:val="24"/>
    </w:rPr>
  </w:style>
  <w:style w:type="paragraph" w:customStyle="1" w:styleId="Sub-Para4underXY">
    <w:name w:val="Sub-Para 4 under X.Y"/>
    <w:basedOn w:val="Normal"/>
    <w:rsid w:val="00894E5E"/>
    <w:pPr>
      <w:tabs>
        <w:tab w:val="num" w:pos="360"/>
      </w:tabs>
      <w:spacing w:before="0"/>
      <w:outlineLvl w:val="5"/>
    </w:pPr>
    <w:rPr>
      <w:rFonts w:ascii="Times New Roman" w:hAnsi="Times New Roman"/>
      <w:szCs w:val="24"/>
    </w:rPr>
  </w:style>
  <w:style w:type="character" w:customStyle="1" w:styleId="Style11pt">
    <w:name w:val="Style 11 pt"/>
    <w:basedOn w:val="DefaultParagraphFont"/>
    <w:rsid w:val="00894E5E"/>
    <w:rPr>
      <w:sz w:val="22"/>
    </w:rPr>
  </w:style>
  <w:style w:type="paragraph" w:customStyle="1" w:styleId="ChapterNumber">
    <w:name w:val="ChapterNumber"/>
    <w:basedOn w:val="Normal"/>
    <w:next w:val="Normal"/>
    <w:rsid w:val="00894E5E"/>
    <w:pPr>
      <w:spacing w:before="0" w:after="360"/>
    </w:pPr>
    <w:rPr>
      <w:rFonts w:ascii="Times New Roman" w:hAnsi="Times New Roman"/>
    </w:rPr>
  </w:style>
  <w:style w:type="table" w:styleId="LightShading-Accent2">
    <w:name w:val="Light Shading Accent 2"/>
    <w:basedOn w:val="TableNormal"/>
    <w:uiPriority w:val="60"/>
    <w:rsid w:val="00A223B3"/>
    <w:rPr>
      <w:color w:val="456E7F"/>
    </w:rPr>
    <w:tblPr>
      <w:tblStyleRowBandSize w:val="1"/>
      <w:tblStyleColBandSize w:val="1"/>
      <w:tblBorders>
        <w:top w:val="single" w:sz="8" w:space="0" w:color="5F93A8"/>
        <w:bottom w:val="single" w:sz="8" w:space="0" w:color="5F93A8"/>
      </w:tblBorders>
    </w:tblPr>
    <w:tblStylePr w:type="firstRow">
      <w:pPr>
        <w:spacing w:before="0" w:after="0" w:line="240" w:lineRule="auto"/>
      </w:pPr>
      <w:rPr>
        <w:b/>
        <w:bCs/>
      </w:rPr>
      <w:tblPr/>
      <w:tcPr>
        <w:tcBorders>
          <w:top w:val="single" w:sz="8" w:space="0" w:color="5F93A8"/>
          <w:left w:val="nil"/>
          <w:bottom w:val="single" w:sz="8" w:space="0" w:color="5F93A8"/>
          <w:right w:val="nil"/>
          <w:insideH w:val="nil"/>
          <w:insideV w:val="nil"/>
        </w:tcBorders>
      </w:tcPr>
    </w:tblStylePr>
    <w:tblStylePr w:type="lastRow">
      <w:pPr>
        <w:spacing w:before="0" w:after="0" w:line="240" w:lineRule="auto"/>
      </w:pPr>
      <w:rPr>
        <w:b/>
        <w:bCs/>
      </w:rPr>
      <w:tblPr/>
      <w:tcPr>
        <w:tcBorders>
          <w:top w:val="single" w:sz="8" w:space="0" w:color="5F93A8"/>
          <w:left w:val="nil"/>
          <w:bottom w:val="single" w:sz="8" w:space="0" w:color="5F93A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E9"/>
      </w:tcPr>
    </w:tblStylePr>
    <w:tblStylePr w:type="band1Horz">
      <w:tblPr/>
      <w:tcPr>
        <w:tcBorders>
          <w:left w:val="nil"/>
          <w:right w:val="nil"/>
          <w:insideH w:val="nil"/>
          <w:insideV w:val="nil"/>
        </w:tcBorders>
        <w:shd w:val="clear" w:color="auto" w:fill="D7E4E9"/>
      </w:tcPr>
    </w:tblStylePr>
  </w:style>
  <w:style w:type="table" w:styleId="LightGrid-Accent2">
    <w:name w:val="Light Grid Accent 2"/>
    <w:basedOn w:val="TableNormal"/>
    <w:uiPriority w:val="62"/>
    <w:rsid w:val="00A223B3"/>
    <w:tblPr>
      <w:tblStyleRowBandSize w:val="1"/>
      <w:tblStyleColBandSize w:val="1"/>
      <w:tblBorders>
        <w:top w:val="single" w:sz="8" w:space="0" w:color="5F93A8"/>
        <w:left w:val="single" w:sz="8" w:space="0" w:color="5F93A8"/>
        <w:bottom w:val="single" w:sz="8" w:space="0" w:color="5F93A8"/>
        <w:right w:val="single" w:sz="8" w:space="0" w:color="5F93A8"/>
        <w:insideH w:val="single" w:sz="8" w:space="0" w:color="5F93A8"/>
        <w:insideV w:val="single" w:sz="8" w:space="0" w:color="5F93A8"/>
      </w:tblBorders>
    </w:tblPr>
    <w:tblStylePr w:type="firstRow">
      <w:pPr>
        <w:spacing w:before="0" w:after="0" w:line="240" w:lineRule="auto"/>
      </w:pPr>
      <w:rPr>
        <w:rFonts w:ascii="Bahnschrift SemiLight" w:eastAsia="Times New Roman" w:hAnsi="Bahnschrift SemiLight" w:cs="Times New Roman"/>
        <w:b/>
        <w:bCs/>
      </w:rPr>
      <w:tblPr/>
      <w:tcPr>
        <w:tcBorders>
          <w:top w:val="single" w:sz="8" w:space="0" w:color="5F93A8"/>
          <w:left w:val="single" w:sz="8" w:space="0" w:color="5F93A8"/>
          <w:bottom w:val="single" w:sz="18" w:space="0" w:color="5F93A8"/>
          <w:right w:val="single" w:sz="8" w:space="0" w:color="5F93A8"/>
          <w:insideH w:val="nil"/>
          <w:insideV w:val="single" w:sz="8" w:space="0" w:color="5F93A8"/>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5F93A8"/>
          <w:left w:val="single" w:sz="8" w:space="0" w:color="5F93A8"/>
          <w:bottom w:val="single" w:sz="8" w:space="0" w:color="5F93A8"/>
          <w:right w:val="single" w:sz="8" w:space="0" w:color="5F93A8"/>
          <w:insideH w:val="nil"/>
          <w:insideV w:val="single" w:sz="8" w:space="0" w:color="5F93A8"/>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5F93A8"/>
          <w:left w:val="single" w:sz="8" w:space="0" w:color="5F93A8"/>
          <w:bottom w:val="single" w:sz="8" w:space="0" w:color="5F93A8"/>
          <w:right w:val="single" w:sz="8" w:space="0" w:color="5F93A8"/>
        </w:tcBorders>
      </w:tcPr>
    </w:tblStylePr>
    <w:tblStylePr w:type="band1Vert">
      <w:tblPr/>
      <w:tcPr>
        <w:tcBorders>
          <w:top w:val="single" w:sz="8" w:space="0" w:color="5F93A8"/>
          <w:left w:val="single" w:sz="8" w:space="0" w:color="5F93A8"/>
          <w:bottom w:val="single" w:sz="8" w:space="0" w:color="5F93A8"/>
          <w:right w:val="single" w:sz="8" w:space="0" w:color="5F93A8"/>
        </w:tcBorders>
        <w:shd w:val="clear" w:color="auto" w:fill="D7E4E9"/>
      </w:tcPr>
    </w:tblStylePr>
    <w:tblStylePr w:type="band1Horz">
      <w:tblPr/>
      <w:tcPr>
        <w:tcBorders>
          <w:top w:val="single" w:sz="8" w:space="0" w:color="5F93A8"/>
          <w:left w:val="single" w:sz="8" w:space="0" w:color="5F93A8"/>
          <w:bottom w:val="single" w:sz="8" w:space="0" w:color="5F93A8"/>
          <w:right w:val="single" w:sz="8" w:space="0" w:color="5F93A8"/>
          <w:insideV w:val="single" w:sz="8" w:space="0" w:color="5F93A8"/>
        </w:tcBorders>
        <w:shd w:val="clear" w:color="auto" w:fill="D7E4E9"/>
      </w:tcPr>
    </w:tblStylePr>
    <w:tblStylePr w:type="band2Horz">
      <w:tblPr/>
      <w:tcPr>
        <w:tcBorders>
          <w:top w:val="single" w:sz="8" w:space="0" w:color="5F93A8"/>
          <w:left w:val="single" w:sz="8" w:space="0" w:color="5F93A8"/>
          <w:bottom w:val="single" w:sz="8" w:space="0" w:color="5F93A8"/>
          <w:right w:val="single" w:sz="8" w:space="0" w:color="5F93A8"/>
          <w:insideV w:val="single" w:sz="8" w:space="0" w:color="5F93A8"/>
        </w:tcBorders>
      </w:tcPr>
    </w:tblStylePr>
  </w:style>
  <w:style w:type="table" w:styleId="MediumList2-Accent2">
    <w:name w:val="Medium List 2 Accent 2"/>
    <w:basedOn w:val="TableNormal"/>
    <w:uiPriority w:val="66"/>
    <w:rsid w:val="00A223B3"/>
    <w:rPr>
      <w:rFonts w:ascii="Cambria" w:eastAsia="Times New Roman" w:hAnsi="Cambria"/>
      <w:color w:val="000000"/>
    </w:rPr>
    <w:tblPr>
      <w:tblStyleRowBandSize w:val="1"/>
      <w:tblStyleColBandSize w:val="1"/>
      <w:tblBorders>
        <w:top w:val="single" w:sz="8" w:space="0" w:color="5F93A8"/>
        <w:left w:val="single" w:sz="8" w:space="0" w:color="5F93A8"/>
        <w:bottom w:val="single" w:sz="8" w:space="0" w:color="5F93A8"/>
        <w:right w:val="single" w:sz="8" w:space="0" w:color="5F93A8"/>
      </w:tblBorders>
    </w:tblPr>
    <w:tblStylePr w:type="firstRow">
      <w:rPr>
        <w:sz w:val="24"/>
        <w:szCs w:val="24"/>
      </w:rPr>
      <w:tblPr/>
      <w:tcPr>
        <w:tcBorders>
          <w:top w:val="nil"/>
          <w:left w:val="nil"/>
          <w:bottom w:val="single" w:sz="24" w:space="0" w:color="5F93A8"/>
          <w:right w:val="nil"/>
          <w:insideH w:val="nil"/>
          <w:insideV w:val="nil"/>
        </w:tcBorders>
        <w:shd w:val="clear" w:color="auto" w:fill="FFFFFF"/>
      </w:tcPr>
    </w:tblStylePr>
    <w:tblStylePr w:type="lastRow">
      <w:tblPr/>
      <w:tcPr>
        <w:tcBorders>
          <w:top w:val="single" w:sz="8" w:space="0" w:color="5F93A8"/>
          <w:left w:val="nil"/>
          <w:bottom w:val="nil"/>
          <w:right w:val="nil"/>
          <w:insideH w:val="nil"/>
          <w:insideV w:val="nil"/>
        </w:tcBorders>
        <w:shd w:val="clear" w:color="auto" w:fill="FFFFFF"/>
      </w:tcPr>
    </w:tblStylePr>
    <w:tblStylePr w:type="firstCol">
      <w:tblPr/>
      <w:tcPr>
        <w:tcBorders>
          <w:top w:val="nil"/>
          <w:left w:val="nil"/>
          <w:bottom w:val="nil"/>
          <w:right w:val="single" w:sz="8" w:space="0" w:color="5F93A8"/>
          <w:insideH w:val="nil"/>
          <w:insideV w:val="nil"/>
        </w:tcBorders>
        <w:shd w:val="clear" w:color="auto" w:fill="FFFFFF"/>
      </w:tcPr>
    </w:tblStylePr>
    <w:tblStylePr w:type="lastCol">
      <w:tblPr/>
      <w:tcPr>
        <w:tcBorders>
          <w:top w:val="nil"/>
          <w:left w:val="single" w:sz="8" w:space="0" w:color="5F93A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E4E9"/>
      </w:tcPr>
    </w:tblStylePr>
    <w:tblStylePr w:type="band1Horz">
      <w:tblPr/>
      <w:tcPr>
        <w:tcBorders>
          <w:top w:val="nil"/>
          <w:bottom w:val="nil"/>
          <w:insideH w:val="nil"/>
          <w:insideV w:val="nil"/>
        </w:tcBorders>
        <w:shd w:val="clear" w:color="auto" w:fill="D7E4E9"/>
      </w:tcPr>
    </w:tblStylePr>
    <w:tblStylePr w:type="nwCell">
      <w:tblPr/>
      <w:tcPr>
        <w:shd w:val="clear" w:color="auto" w:fill="FFFFFF"/>
      </w:tcPr>
    </w:tblStylePr>
    <w:tblStylePr w:type="swCell">
      <w:tblPr/>
      <w:tcPr>
        <w:tcBorders>
          <w:top w:val="nil"/>
        </w:tcBorders>
      </w:tcPr>
    </w:tblStylePr>
  </w:style>
  <w:style w:type="table" w:styleId="MediumGrid2-Accent2">
    <w:name w:val="Medium Grid 2 Accent 2"/>
    <w:basedOn w:val="TableNormal"/>
    <w:uiPriority w:val="68"/>
    <w:rsid w:val="00A223B3"/>
    <w:rPr>
      <w:rFonts w:ascii="Cambria" w:eastAsia="Times New Roman" w:hAnsi="Cambria"/>
      <w:color w:val="000000"/>
    </w:rPr>
    <w:tblPr>
      <w:tblStyleRowBandSize w:val="1"/>
      <w:tblStyleColBandSize w:val="1"/>
      <w:tblBorders>
        <w:top w:val="single" w:sz="8" w:space="0" w:color="5F93A8"/>
        <w:left w:val="single" w:sz="8" w:space="0" w:color="5F93A8"/>
        <w:bottom w:val="single" w:sz="8" w:space="0" w:color="5F93A8"/>
        <w:right w:val="single" w:sz="8" w:space="0" w:color="5F93A8"/>
        <w:insideH w:val="single" w:sz="8" w:space="0" w:color="5F93A8"/>
        <w:insideV w:val="single" w:sz="8" w:space="0" w:color="5F93A8"/>
      </w:tblBorders>
    </w:tblPr>
    <w:tcPr>
      <w:shd w:val="clear" w:color="auto" w:fill="D7E4E9"/>
    </w:tcPr>
    <w:tblStylePr w:type="firstRow">
      <w:rPr>
        <w:b/>
        <w:bCs/>
        <w:color w:val="000000"/>
      </w:rPr>
      <w:tblPr/>
      <w:tcPr>
        <w:shd w:val="clear" w:color="auto" w:fill="EFF4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9ED"/>
      </w:tcPr>
    </w:tblStylePr>
    <w:tblStylePr w:type="band1Vert">
      <w:tblPr/>
      <w:tcPr>
        <w:shd w:val="clear" w:color="auto" w:fill="AFC9D3"/>
      </w:tcPr>
    </w:tblStylePr>
    <w:tblStylePr w:type="band1Horz">
      <w:tblPr/>
      <w:tcPr>
        <w:tcBorders>
          <w:insideH w:val="single" w:sz="6" w:space="0" w:color="5F93A8"/>
          <w:insideV w:val="single" w:sz="6" w:space="0" w:color="5F93A8"/>
        </w:tcBorders>
        <w:shd w:val="clear" w:color="auto" w:fill="AFC9D3"/>
      </w:tcPr>
    </w:tblStylePr>
    <w:tblStylePr w:type="nwCell">
      <w:tblPr/>
      <w:tcPr>
        <w:shd w:val="clear" w:color="auto" w:fill="FFFFFF"/>
      </w:tcPr>
    </w:tblStylePr>
  </w:style>
  <w:style w:type="paragraph" w:customStyle="1" w:styleId="List1">
    <w:name w:val="List1"/>
    <w:aliases w:val="l"/>
    <w:basedOn w:val="Normal"/>
    <w:rsid w:val="0001619B"/>
    <w:pPr>
      <w:keepLines/>
      <w:numPr>
        <w:numId w:val="2"/>
      </w:numPr>
      <w:tabs>
        <w:tab w:val="clear" w:pos="360"/>
      </w:tabs>
      <w:spacing w:before="260" w:after="0" w:line="260" w:lineRule="exact"/>
      <w:ind w:left="1276" w:hanging="425"/>
    </w:pPr>
    <w:rPr>
      <w:rFonts w:ascii="Book Antiqua" w:hAnsi="Book Antiqua"/>
    </w:rPr>
  </w:style>
  <w:style w:type="paragraph" w:customStyle="1" w:styleId="normalcv">
    <w:name w:val="normal cv"/>
    <w:basedOn w:val="Normal"/>
    <w:rsid w:val="002057CF"/>
    <w:pPr>
      <w:keepNext/>
      <w:keepLines/>
      <w:spacing w:before="0"/>
    </w:pPr>
  </w:style>
  <w:style w:type="character" w:customStyle="1" w:styleId="WW8Num5z0">
    <w:name w:val="WW8Num5z0"/>
    <w:rsid w:val="006134ED"/>
    <w:rPr>
      <w:rFonts w:ascii="Wingdings" w:hAnsi="Wingdings" w:cs="StarSymbol"/>
      <w:sz w:val="18"/>
      <w:szCs w:val="18"/>
    </w:rPr>
  </w:style>
  <w:style w:type="character" w:customStyle="1" w:styleId="WW8Num5z1">
    <w:name w:val="WW8Num5z1"/>
    <w:rsid w:val="006134ED"/>
    <w:rPr>
      <w:rFonts w:ascii="Wingdings 2" w:hAnsi="Wingdings 2" w:cs="StarSymbol"/>
      <w:sz w:val="18"/>
      <w:szCs w:val="18"/>
    </w:rPr>
  </w:style>
  <w:style w:type="character" w:customStyle="1" w:styleId="WW8Num5z2">
    <w:name w:val="WW8Num5z2"/>
    <w:rsid w:val="006134ED"/>
    <w:rPr>
      <w:rFonts w:ascii="StarSymbol" w:hAnsi="StarSymbol" w:cs="StarSymbol"/>
      <w:sz w:val="18"/>
      <w:szCs w:val="18"/>
    </w:rPr>
  </w:style>
  <w:style w:type="character" w:customStyle="1" w:styleId="WW8Num7z0">
    <w:name w:val="WW8Num7z0"/>
    <w:rsid w:val="006134ED"/>
    <w:rPr>
      <w:rFonts w:ascii="Wingdings" w:hAnsi="Wingdings" w:cs="StarSymbol"/>
      <w:sz w:val="18"/>
      <w:szCs w:val="18"/>
    </w:rPr>
  </w:style>
  <w:style w:type="character" w:customStyle="1" w:styleId="WW8Num7z1">
    <w:name w:val="WW8Num7z1"/>
    <w:rsid w:val="006134ED"/>
    <w:rPr>
      <w:rFonts w:ascii="Wingdings 2" w:hAnsi="Wingdings 2" w:cs="StarSymbol"/>
      <w:sz w:val="18"/>
      <w:szCs w:val="18"/>
    </w:rPr>
  </w:style>
  <w:style w:type="character" w:customStyle="1" w:styleId="WW8Num7z2">
    <w:name w:val="WW8Num7z2"/>
    <w:rsid w:val="006134ED"/>
    <w:rPr>
      <w:rFonts w:ascii="StarSymbol" w:hAnsi="StarSymbol" w:cs="StarSymbol"/>
      <w:sz w:val="18"/>
      <w:szCs w:val="18"/>
    </w:rPr>
  </w:style>
  <w:style w:type="character" w:customStyle="1" w:styleId="WW8Num8z0">
    <w:name w:val="WW8Num8z0"/>
    <w:rsid w:val="006134ED"/>
    <w:rPr>
      <w:rFonts w:ascii="Wingdings" w:hAnsi="Wingdings" w:cs="StarSymbol"/>
      <w:sz w:val="18"/>
      <w:szCs w:val="18"/>
    </w:rPr>
  </w:style>
  <w:style w:type="character" w:customStyle="1" w:styleId="WW8Num8z1">
    <w:name w:val="WW8Num8z1"/>
    <w:rsid w:val="006134ED"/>
    <w:rPr>
      <w:rFonts w:ascii="Wingdings 2" w:hAnsi="Wingdings 2" w:cs="StarSymbol"/>
      <w:sz w:val="18"/>
      <w:szCs w:val="18"/>
    </w:rPr>
  </w:style>
  <w:style w:type="character" w:customStyle="1" w:styleId="WW8Num8z2">
    <w:name w:val="WW8Num8z2"/>
    <w:rsid w:val="006134ED"/>
    <w:rPr>
      <w:rFonts w:ascii="StarSymbol" w:hAnsi="StarSymbol" w:cs="StarSymbol"/>
      <w:sz w:val="18"/>
      <w:szCs w:val="18"/>
    </w:rPr>
  </w:style>
  <w:style w:type="character" w:customStyle="1" w:styleId="WW8Num10z0">
    <w:name w:val="WW8Num10z0"/>
    <w:rsid w:val="006134ED"/>
    <w:rPr>
      <w:rFonts w:ascii="Wingdings" w:hAnsi="Wingdings" w:cs="StarSymbol"/>
      <w:sz w:val="18"/>
      <w:szCs w:val="18"/>
    </w:rPr>
  </w:style>
  <w:style w:type="character" w:customStyle="1" w:styleId="WW8Num10z1">
    <w:name w:val="WW8Num10z1"/>
    <w:rsid w:val="006134ED"/>
    <w:rPr>
      <w:rFonts w:ascii="Wingdings 2" w:hAnsi="Wingdings 2" w:cs="StarSymbol"/>
      <w:sz w:val="18"/>
      <w:szCs w:val="18"/>
    </w:rPr>
  </w:style>
  <w:style w:type="character" w:customStyle="1" w:styleId="WW8Num10z2">
    <w:name w:val="WW8Num10z2"/>
    <w:rsid w:val="006134ED"/>
    <w:rPr>
      <w:rFonts w:ascii="StarSymbol" w:hAnsi="StarSymbol" w:cs="StarSymbol"/>
      <w:sz w:val="18"/>
      <w:szCs w:val="18"/>
    </w:rPr>
  </w:style>
  <w:style w:type="character" w:customStyle="1" w:styleId="WW8Num11z0">
    <w:name w:val="WW8Num11z0"/>
    <w:rsid w:val="006134ED"/>
    <w:rPr>
      <w:rFonts w:ascii="Wingdings" w:hAnsi="Wingdings" w:cs="StarSymbol"/>
      <w:sz w:val="18"/>
      <w:szCs w:val="18"/>
    </w:rPr>
  </w:style>
  <w:style w:type="character" w:customStyle="1" w:styleId="WW8Num11z1">
    <w:name w:val="WW8Num11z1"/>
    <w:rsid w:val="006134ED"/>
    <w:rPr>
      <w:rFonts w:ascii="Wingdings 2" w:hAnsi="Wingdings 2" w:cs="StarSymbol"/>
      <w:sz w:val="18"/>
      <w:szCs w:val="18"/>
    </w:rPr>
  </w:style>
  <w:style w:type="character" w:customStyle="1" w:styleId="WW8Num11z2">
    <w:name w:val="WW8Num11z2"/>
    <w:rsid w:val="006134ED"/>
    <w:rPr>
      <w:rFonts w:ascii="StarSymbol" w:hAnsi="StarSymbol" w:cs="StarSymbol"/>
      <w:sz w:val="18"/>
      <w:szCs w:val="18"/>
    </w:rPr>
  </w:style>
  <w:style w:type="character" w:customStyle="1" w:styleId="WW8Num13z0">
    <w:name w:val="WW8Num13z0"/>
    <w:rsid w:val="006134ED"/>
    <w:rPr>
      <w:rFonts w:ascii="Wingdings" w:hAnsi="Wingdings" w:cs="StarSymbol"/>
      <w:sz w:val="18"/>
      <w:szCs w:val="18"/>
    </w:rPr>
  </w:style>
  <w:style w:type="character" w:customStyle="1" w:styleId="WW8Num13z1">
    <w:name w:val="WW8Num13z1"/>
    <w:rsid w:val="006134ED"/>
    <w:rPr>
      <w:rFonts w:ascii="Wingdings 2" w:hAnsi="Wingdings 2" w:cs="StarSymbol"/>
      <w:sz w:val="18"/>
      <w:szCs w:val="18"/>
    </w:rPr>
  </w:style>
  <w:style w:type="character" w:customStyle="1" w:styleId="WW8Num13z2">
    <w:name w:val="WW8Num13z2"/>
    <w:rsid w:val="006134ED"/>
    <w:rPr>
      <w:rFonts w:ascii="StarSymbol" w:hAnsi="StarSymbol" w:cs="StarSymbol"/>
      <w:sz w:val="18"/>
      <w:szCs w:val="18"/>
    </w:rPr>
  </w:style>
  <w:style w:type="character" w:customStyle="1" w:styleId="WW8Num15z0">
    <w:name w:val="WW8Num15z0"/>
    <w:rsid w:val="006134ED"/>
    <w:rPr>
      <w:rFonts w:ascii="Wingdings" w:hAnsi="Wingdings" w:cs="StarSymbol"/>
      <w:sz w:val="18"/>
      <w:szCs w:val="18"/>
    </w:rPr>
  </w:style>
  <w:style w:type="character" w:customStyle="1" w:styleId="WW8Num15z1">
    <w:name w:val="WW8Num15z1"/>
    <w:rsid w:val="006134ED"/>
    <w:rPr>
      <w:rFonts w:ascii="Wingdings 2" w:hAnsi="Wingdings 2" w:cs="StarSymbol"/>
      <w:sz w:val="18"/>
      <w:szCs w:val="18"/>
    </w:rPr>
  </w:style>
  <w:style w:type="character" w:customStyle="1" w:styleId="WW8Num15z2">
    <w:name w:val="WW8Num15z2"/>
    <w:rsid w:val="006134ED"/>
    <w:rPr>
      <w:rFonts w:ascii="StarSymbol" w:hAnsi="StarSymbol" w:cs="StarSymbol"/>
      <w:sz w:val="18"/>
      <w:szCs w:val="18"/>
    </w:rPr>
  </w:style>
  <w:style w:type="character" w:customStyle="1" w:styleId="WW8Num17z0">
    <w:name w:val="WW8Num17z0"/>
    <w:rsid w:val="006134ED"/>
    <w:rPr>
      <w:rFonts w:ascii="Wingdings" w:hAnsi="Wingdings" w:cs="StarSymbol"/>
      <w:sz w:val="18"/>
      <w:szCs w:val="18"/>
    </w:rPr>
  </w:style>
  <w:style w:type="character" w:customStyle="1" w:styleId="WW8Num17z1">
    <w:name w:val="WW8Num17z1"/>
    <w:rsid w:val="006134ED"/>
    <w:rPr>
      <w:rFonts w:ascii="Wingdings 2" w:hAnsi="Wingdings 2" w:cs="StarSymbol"/>
      <w:sz w:val="18"/>
      <w:szCs w:val="18"/>
    </w:rPr>
  </w:style>
  <w:style w:type="character" w:customStyle="1" w:styleId="WW8Num17z2">
    <w:name w:val="WW8Num17z2"/>
    <w:rsid w:val="006134ED"/>
    <w:rPr>
      <w:rFonts w:ascii="StarSymbol" w:hAnsi="StarSymbol" w:cs="StarSymbol"/>
      <w:sz w:val="18"/>
      <w:szCs w:val="18"/>
    </w:rPr>
  </w:style>
  <w:style w:type="character" w:customStyle="1" w:styleId="WW8Num19z0">
    <w:name w:val="WW8Num19z0"/>
    <w:rsid w:val="006134ED"/>
    <w:rPr>
      <w:rFonts w:ascii="Wingdings" w:hAnsi="Wingdings" w:cs="StarSymbol"/>
      <w:sz w:val="18"/>
      <w:szCs w:val="18"/>
    </w:rPr>
  </w:style>
  <w:style w:type="character" w:customStyle="1" w:styleId="WW8Num19z1">
    <w:name w:val="WW8Num19z1"/>
    <w:rsid w:val="006134ED"/>
    <w:rPr>
      <w:rFonts w:ascii="Wingdings 2" w:hAnsi="Wingdings 2" w:cs="StarSymbol"/>
      <w:sz w:val="18"/>
      <w:szCs w:val="18"/>
    </w:rPr>
  </w:style>
  <w:style w:type="character" w:customStyle="1" w:styleId="WW8Num19z2">
    <w:name w:val="WW8Num19z2"/>
    <w:rsid w:val="006134ED"/>
    <w:rPr>
      <w:rFonts w:ascii="StarSymbol" w:hAnsi="StarSymbol" w:cs="StarSymbol"/>
      <w:sz w:val="18"/>
      <w:szCs w:val="18"/>
    </w:rPr>
  </w:style>
  <w:style w:type="character" w:customStyle="1" w:styleId="WW8Num20z0">
    <w:name w:val="WW8Num20z0"/>
    <w:rsid w:val="006134ED"/>
    <w:rPr>
      <w:rFonts w:ascii="Wingdings" w:hAnsi="Wingdings" w:cs="StarSymbol"/>
      <w:sz w:val="18"/>
      <w:szCs w:val="18"/>
    </w:rPr>
  </w:style>
  <w:style w:type="character" w:customStyle="1" w:styleId="WW8Num20z1">
    <w:name w:val="WW8Num20z1"/>
    <w:rsid w:val="006134ED"/>
    <w:rPr>
      <w:rFonts w:ascii="Wingdings 2" w:hAnsi="Wingdings 2" w:cs="StarSymbol"/>
      <w:sz w:val="18"/>
      <w:szCs w:val="18"/>
    </w:rPr>
  </w:style>
  <w:style w:type="character" w:customStyle="1" w:styleId="WW8Num20z2">
    <w:name w:val="WW8Num20z2"/>
    <w:rsid w:val="006134ED"/>
    <w:rPr>
      <w:rFonts w:ascii="StarSymbol" w:hAnsi="StarSymbol" w:cs="StarSymbol"/>
      <w:sz w:val="18"/>
      <w:szCs w:val="18"/>
    </w:rPr>
  </w:style>
  <w:style w:type="character" w:customStyle="1" w:styleId="WW8Num21z0">
    <w:name w:val="WW8Num21z0"/>
    <w:rsid w:val="006134ED"/>
    <w:rPr>
      <w:rFonts w:ascii="Wingdings" w:hAnsi="Wingdings" w:cs="StarSymbol"/>
      <w:sz w:val="18"/>
      <w:szCs w:val="18"/>
    </w:rPr>
  </w:style>
  <w:style w:type="character" w:customStyle="1" w:styleId="WW8Num21z1">
    <w:name w:val="WW8Num21z1"/>
    <w:rsid w:val="006134ED"/>
    <w:rPr>
      <w:rFonts w:ascii="Wingdings 2" w:hAnsi="Wingdings 2" w:cs="StarSymbol"/>
      <w:sz w:val="18"/>
      <w:szCs w:val="18"/>
    </w:rPr>
  </w:style>
  <w:style w:type="character" w:customStyle="1" w:styleId="WW8Num21z2">
    <w:name w:val="WW8Num21z2"/>
    <w:rsid w:val="006134ED"/>
    <w:rPr>
      <w:rFonts w:ascii="StarSymbol" w:hAnsi="StarSymbol" w:cs="StarSymbol"/>
      <w:sz w:val="18"/>
      <w:szCs w:val="18"/>
    </w:rPr>
  </w:style>
  <w:style w:type="character" w:customStyle="1" w:styleId="WW8Num22z0">
    <w:name w:val="WW8Num22z0"/>
    <w:rsid w:val="006134ED"/>
    <w:rPr>
      <w:rFonts w:ascii="Wingdings" w:hAnsi="Wingdings" w:cs="StarSymbol"/>
      <w:sz w:val="18"/>
      <w:szCs w:val="18"/>
    </w:rPr>
  </w:style>
  <w:style w:type="character" w:customStyle="1" w:styleId="WW8Num22z1">
    <w:name w:val="WW8Num22z1"/>
    <w:rsid w:val="006134ED"/>
    <w:rPr>
      <w:rFonts w:ascii="Wingdings 2" w:hAnsi="Wingdings 2" w:cs="StarSymbol"/>
      <w:sz w:val="18"/>
      <w:szCs w:val="18"/>
    </w:rPr>
  </w:style>
  <w:style w:type="character" w:customStyle="1" w:styleId="WW8Num22z2">
    <w:name w:val="WW8Num22z2"/>
    <w:rsid w:val="006134ED"/>
    <w:rPr>
      <w:rFonts w:ascii="StarSymbol" w:hAnsi="StarSymbol" w:cs="StarSymbol"/>
      <w:sz w:val="18"/>
      <w:szCs w:val="18"/>
    </w:rPr>
  </w:style>
  <w:style w:type="character" w:customStyle="1" w:styleId="WW8Num23z0">
    <w:name w:val="WW8Num23z0"/>
    <w:rsid w:val="006134ED"/>
    <w:rPr>
      <w:rFonts w:ascii="Wingdings" w:hAnsi="Wingdings" w:cs="StarSymbol"/>
      <w:sz w:val="18"/>
      <w:szCs w:val="18"/>
    </w:rPr>
  </w:style>
  <w:style w:type="character" w:customStyle="1" w:styleId="WW8Num23z1">
    <w:name w:val="WW8Num23z1"/>
    <w:rsid w:val="006134ED"/>
    <w:rPr>
      <w:rFonts w:ascii="Wingdings 2" w:hAnsi="Wingdings 2" w:cs="StarSymbol"/>
      <w:sz w:val="18"/>
      <w:szCs w:val="18"/>
    </w:rPr>
  </w:style>
  <w:style w:type="character" w:customStyle="1" w:styleId="WW8Num23z2">
    <w:name w:val="WW8Num23z2"/>
    <w:rsid w:val="006134ED"/>
    <w:rPr>
      <w:rFonts w:ascii="StarSymbol" w:hAnsi="StarSymbol" w:cs="StarSymbol"/>
      <w:sz w:val="18"/>
      <w:szCs w:val="18"/>
    </w:rPr>
  </w:style>
  <w:style w:type="character" w:customStyle="1" w:styleId="WW8Num24z0">
    <w:name w:val="WW8Num24z0"/>
    <w:rsid w:val="006134ED"/>
    <w:rPr>
      <w:rFonts w:ascii="Wingdings" w:hAnsi="Wingdings" w:cs="StarSymbol"/>
      <w:sz w:val="18"/>
      <w:szCs w:val="18"/>
    </w:rPr>
  </w:style>
  <w:style w:type="character" w:customStyle="1" w:styleId="WW8Num24z1">
    <w:name w:val="WW8Num24z1"/>
    <w:rsid w:val="006134ED"/>
    <w:rPr>
      <w:rFonts w:ascii="Wingdings 2" w:hAnsi="Wingdings 2" w:cs="StarSymbol"/>
      <w:sz w:val="18"/>
      <w:szCs w:val="18"/>
    </w:rPr>
  </w:style>
  <w:style w:type="character" w:customStyle="1" w:styleId="WW8Num24z2">
    <w:name w:val="WW8Num24z2"/>
    <w:rsid w:val="006134ED"/>
    <w:rPr>
      <w:rFonts w:ascii="StarSymbol" w:hAnsi="StarSymbol" w:cs="StarSymbol"/>
      <w:sz w:val="18"/>
      <w:szCs w:val="18"/>
    </w:rPr>
  </w:style>
  <w:style w:type="character" w:customStyle="1" w:styleId="WW8Num26z0">
    <w:name w:val="WW8Num26z0"/>
    <w:rsid w:val="006134ED"/>
    <w:rPr>
      <w:rFonts w:ascii="Symbol" w:hAnsi="Symbol" w:cs="Symbol"/>
    </w:rPr>
  </w:style>
  <w:style w:type="character" w:customStyle="1" w:styleId="WW8Num26z1">
    <w:name w:val="WW8Num26z1"/>
    <w:rsid w:val="006134ED"/>
    <w:rPr>
      <w:rFonts w:ascii="Courier New" w:hAnsi="Courier New" w:cs="Courier New"/>
    </w:rPr>
  </w:style>
  <w:style w:type="character" w:customStyle="1" w:styleId="WW8Num26z2">
    <w:name w:val="WW8Num26z2"/>
    <w:rsid w:val="006134ED"/>
    <w:rPr>
      <w:rFonts w:ascii="Wingdings" w:hAnsi="Wingdings" w:cs="Wingdings"/>
    </w:rPr>
  </w:style>
  <w:style w:type="character" w:customStyle="1" w:styleId="WW8Num27z0">
    <w:name w:val="WW8Num27z0"/>
    <w:rsid w:val="006134ED"/>
    <w:rPr>
      <w:rFonts w:ascii="Symbol" w:hAnsi="Symbol" w:cs="Symbol"/>
    </w:rPr>
  </w:style>
  <w:style w:type="character" w:customStyle="1" w:styleId="WW8Num27z1">
    <w:name w:val="WW8Num27z1"/>
    <w:rsid w:val="006134ED"/>
    <w:rPr>
      <w:rFonts w:ascii="Courier New" w:hAnsi="Courier New" w:cs="Courier New"/>
    </w:rPr>
  </w:style>
  <w:style w:type="character" w:customStyle="1" w:styleId="WW8Num27z2">
    <w:name w:val="WW8Num27z2"/>
    <w:rsid w:val="006134ED"/>
    <w:rPr>
      <w:rFonts w:ascii="Wingdings" w:hAnsi="Wingdings" w:cs="Wingdings"/>
    </w:rPr>
  </w:style>
  <w:style w:type="character" w:customStyle="1" w:styleId="WW8Num28z0">
    <w:name w:val="WW8Num28z0"/>
    <w:rsid w:val="006134ED"/>
    <w:rPr>
      <w:rFonts w:ascii="Wingdings" w:hAnsi="Wingdings" w:cs="StarSymbol"/>
      <w:sz w:val="18"/>
      <w:szCs w:val="18"/>
    </w:rPr>
  </w:style>
  <w:style w:type="character" w:customStyle="1" w:styleId="WW8Num28z1">
    <w:name w:val="WW8Num28z1"/>
    <w:rsid w:val="006134ED"/>
    <w:rPr>
      <w:rFonts w:ascii="Wingdings 2" w:hAnsi="Wingdings 2" w:cs="StarSymbol"/>
      <w:sz w:val="18"/>
      <w:szCs w:val="18"/>
    </w:rPr>
  </w:style>
  <w:style w:type="character" w:customStyle="1" w:styleId="WW8Num28z2">
    <w:name w:val="WW8Num28z2"/>
    <w:rsid w:val="006134ED"/>
    <w:rPr>
      <w:rFonts w:ascii="StarSymbol" w:hAnsi="StarSymbol" w:cs="StarSymbol"/>
      <w:sz w:val="18"/>
      <w:szCs w:val="18"/>
    </w:rPr>
  </w:style>
  <w:style w:type="character" w:customStyle="1" w:styleId="WW8Num30z0">
    <w:name w:val="WW8Num30z0"/>
    <w:rsid w:val="006134ED"/>
    <w:rPr>
      <w:rFonts w:ascii="Wingdings" w:hAnsi="Wingdings" w:cs="StarSymbol"/>
      <w:sz w:val="18"/>
      <w:szCs w:val="18"/>
    </w:rPr>
  </w:style>
  <w:style w:type="character" w:customStyle="1" w:styleId="WW8Num30z1">
    <w:name w:val="WW8Num30z1"/>
    <w:rsid w:val="006134ED"/>
    <w:rPr>
      <w:rFonts w:ascii="Wingdings 2" w:hAnsi="Wingdings 2" w:cs="StarSymbol"/>
      <w:sz w:val="18"/>
      <w:szCs w:val="18"/>
    </w:rPr>
  </w:style>
  <w:style w:type="character" w:customStyle="1" w:styleId="WW8Num30z2">
    <w:name w:val="WW8Num30z2"/>
    <w:rsid w:val="006134ED"/>
    <w:rPr>
      <w:rFonts w:ascii="StarSymbol" w:hAnsi="StarSymbol" w:cs="StarSymbol"/>
      <w:sz w:val="18"/>
      <w:szCs w:val="18"/>
    </w:rPr>
  </w:style>
  <w:style w:type="character" w:customStyle="1" w:styleId="WW8Num32z0">
    <w:name w:val="WW8Num32z0"/>
    <w:rsid w:val="006134ED"/>
    <w:rPr>
      <w:rFonts w:ascii="Wingdings" w:hAnsi="Wingdings" w:cs="StarSymbol"/>
      <w:sz w:val="18"/>
      <w:szCs w:val="18"/>
    </w:rPr>
  </w:style>
  <w:style w:type="character" w:customStyle="1" w:styleId="WW8Num32z1">
    <w:name w:val="WW8Num32z1"/>
    <w:rsid w:val="006134ED"/>
    <w:rPr>
      <w:rFonts w:ascii="Wingdings 2" w:hAnsi="Wingdings 2" w:cs="StarSymbol"/>
      <w:sz w:val="18"/>
      <w:szCs w:val="18"/>
    </w:rPr>
  </w:style>
  <w:style w:type="character" w:customStyle="1" w:styleId="WW8Num32z2">
    <w:name w:val="WW8Num32z2"/>
    <w:rsid w:val="006134ED"/>
    <w:rPr>
      <w:rFonts w:ascii="StarSymbol" w:hAnsi="StarSymbol" w:cs="StarSymbol"/>
      <w:sz w:val="18"/>
      <w:szCs w:val="18"/>
    </w:rPr>
  </w:style>
  <w:style w:type="character" w:customStyle="1" w:styleId="WW8Num34z0">
    <w:name w:val="WW8Num34z0"/>
    <w:rsid w:val="006134ED"/>
    <w:rPr>
      <w:rFonts w:ascii="Wingdings" w:hAnsi="Wingdings" w:cs="StarSymbol"/>
      <w:sz w:val="18"/>
      <w:szCs w:val="18"/>
    </w:rPr>
  </w:style>
  <w:style w:type="character" w:customStyle="1" w:styleId="WW8Num34z1">
    <w:name w:val="WW8Num34z1"/>
    <w:rsid w:val="006134ED"/>
    <w:rPr>
      <w:rFonts w:ascii="Wingdings 2" w:hAnsi="Wingdings 2" w:cs="StarSymbol"/>
      <w:sz w:val="18"/>
      <w:szCs w:val="18"/>
    </w:rPr>
  </w:style>
  <w:style w:type="character" w:customStyle="1" w:styleId="WW8Num34z2">
    <w:name w:val="WW8Num34z2"/>
    <w:rsid w:val="006134ED"/>
    <w:rPr>
      <w:rFonts w:ascii="StarSymbol" w:hAnsi="StarSymbol" w:cs="StarSymbol"/>
      <w:sz w:val="18"/>
      <w:szCs w:val="18"/>
    </w:rPr>
  </w:style>
  <w:style w:type="character" w:customStyle="1" w:styleId="WW8Num36z0">
    <w:name w:val="WW8Num36z0"/>
    <w:rsid w:val="006134ED"/>
    <w:rPr>
      <w:rFonts w:ascii="Wingdings" w:hAnsi="Wingdings" w:cs="StarSymbol"/>
      <w:sz w:val="18"/>
      <w:szCs w:val="18"/>
    </w:rPr>
  </w:style>
  <w:style w:type="character" w:customStyle="1" w:styleId="WW8Num36z1">
    <w:name w:val="WW8Num36z1"/>
    <w:rsid w:val="006134ED"/>
    <w:rPr>
      <w:rFonts w:ascii="Wingdings 2" w:hAnsi="Wingdings 2" w:cs="StarSymbol"/>
      <w:sz w:val="18"/>
      <w:szCs w:val="18"/>
    </w:rPr>
  </w:style>
  <w:style w:type="character" w:customStyle="1" w:styleId="WW8Num36z2">
    <w:name w:val="WW8Num36z2"/>
    <w:rsid w:val="006134ED"/>
    <w:rPr>
      <w:rFonts w:ascii="StarSymbol" w:hAnsi="StarSymbol" w:cs="StarSymbol"/>
      <w:sz w:val="18"/>
      <w:szCs w:val="18"/>
    </w:rPr>
  </w:style>
  <w:style w:type="character" w:customStyle="1" w:styleId="StyleItalic">
    <w:name w:val="Style Italic"/>
    <w:rsid w:val="006134ED"/>
  </w:style>
  <w:style w:type="character" w:customStyle="1" w:styleId="NumberingSymbols">
    <w:name w:val="Numbering Symbols"/>
    <w:rsid w:val="006134ED"/>
  </w:style>
  <w:style w:type="character" w:customStyle="1" w:styleId="WW-DefaultParagraphFont">
    <w:name w:val="WW-Default Paragraph Font"/>
    <w:rsid w:val="006134ED"/>
  </w:style>
  <w:style w:type="character" w:customStyle="1" w:styleId="RTFNum61">
    <w:name w:val="RTF_Num 6 1"/>
    <w:rsid w:val="006134ED"/>
  </w:style>
  <w:style w:type="character" w:customStyle="1" w:styleId="RTFNum62">
    <w:name w:val="RTF_Num 6 2"/>
    <w:rsid w:val="006134ED"/>
  </w:style>
  <w:style w:type="character" w:customStyle="1" w:styleId="RTFNum63">
    <w:name w:val="RTF_Num 6 3"/>
    <w:rsid w:val="006134ED"/>
  </w:style>
  <w:style w:type="character" w:customStyle="1" w:styleId="RTFNum64">
    <w:name w:val="RTF_Num 6 4"/>
    <w:rsid w:val="006134ED"/>
  </w:style>
  <w:style w:type="character" w:customStyle="1" w:styleId="RTFNum65">
    <w:name w:val="RTF_Num 6 5"/>
    <w:rsid w:val="006134ED"/>
  </w:style>
  <w:style w:type="character" w:customStyle="1" w:styleId="RTFNum66">
    <w:name w:val="RTF_Num 6 6"/>
    <w:rsid w:val="006134ED"/>
  </w:style>
  <w:style w:type="character" w:customStyle="1" w:styleId="RTFNum67">
    <w:name w:val="RTF_Num 6 7"/>
    <w:rsid w:val="006134ED"/>
  </w:style>
  <w:style w:type="character" w:customStyle="1" w:styleId="RTFNum68">
    <w:name w:val="RTF_Num 6 8"/>
    <w:rsid w:val="006134ED"/>
  </w:style>
  <w:style w:type="character" w:customStyle="1" w:styleId="RTFNum69">
    <w:name w:val="RTF_Num 6 9"/>
    <w:rsid w:val="006134ED"/>
  </w:style>
  <w:style w:type="character" w:customStyle="1" w:styleId="RTFNum41">
    <w:name w:val="RTF_Num 4 1"/>
    <w:rsid w:val="006134ED"/>
    <w:rPr>
      <w:rFonts w:ascii="Symbol" w:eastAsia="Symbol" w:hAnsi="Symbol" w:cs="Symbol"/>
    </w:rPr>
  </w:style>
  <w:style w:type="character" w:customStyle="1" w:styleId="RTFNum42">
    <w:name w:val="RTF_Num 4 2"/>
    <w:rsid w:val="006134ED"/>
    <w:rPr>
      <w:rFonts w:ascii="Courier New" w:eastAsia="Courier New" w:hAnsi="Courier New" w:cs="Courier New"/>
    </w:rPr>
  </w:style>
  <w:style w:type="character" w:customStyle="1" w:styleId="RTFNum43">
    <w:name w:val="RTF_Num 4 3"/>
    <w:rsid w:val="006134ED"/>
    <w:rPr>
      <w:rFonts w:ascii="Wingdings" w:eastAsia="Wingdings" w:hAnsi="Wingdings" w:cs="Wingdings"/>
    </w:rPr>
  </w:style>
  <w:style w:type="character" w:customStyle="1" w:styleId="RTFNum44">
    <w:name w:val="RTF_Num 4 4"/>
    <w:rsid w:val="006134ED"/>
    <w:rPr>
      <w:rFonts w:ascii="Symbol" w:eastAsia="Symbol" w:hAnsi="Symbol" w:cs="Symbol"/>
    </w:rPr>
  </w:style>
  <w:style w:type="character" w:customStyle="1" w:styleId="RTFNum45">
    <w:name w:val="RTF_Num 4 5"/>
    <w:rsid w:val="006134ED"/>
    <w:rPr>
      <w:rFonts w:ascii="Courier New" w:eastAsia="Courier New" w:hAnsi="Courier New" w:cs="Courier New"/>
    </w:rPr>
  </w:style>
  <w:style w:type="character" w:customStyle="1" w:styleId="RTFNum46">
    <w:name w:val="RTF_Num 4 6"/>
    <w:rsid w:val="006134ED"/>
    <w:rPr>
      <w:rFonts w:ascii="Wingdings" w:eastAsia="Wingdings" w:hAnsi="Wingdings" w:cs="Wingdings"/>
    </w:rPr>
  </w:style>
  <w:style w:type="character" w:customStyle="1" w:styleId="RTFNum47">
    <w:name w:val="RTF_Num 4 7"/>
    <w:rsid w:val="006134ED"/>
    <w:rPr>
      <w:rFonts w:ascii="Symbol" w:eastAsia="Symbol" w:hAnsi="Symbol" w:cs="Symbol"/>
    </w:rPr>
  </w:style>
  <w:style w:type="character" w:customStyle="1" w:styleId="RTFNum48">
    <w:name w:val="RTF_Num 4 8"/>
    <w:rsid w:val="006134ED"/>
    <w:rPr>
      <w:rFonts w:ascii="Courier New" w:eastAsia="Courier New" w:hAnsi="Courier New" w:cs="Courier New"/>
    </w:rPr>
  </w:style>
  <w:style w:type="character" w:customStyle="1" w:styleId="RTFNum49">
    <w:name w:val="RTF_Num 4 9"/>
    <w:rsid w:val="006134ED"/>
    <w:rPr>
      <w:rFonts w:ascii="Wingdings" w:eastAsia="Wingdings" w:hAnsi="Wingdings" w:cs="Wingdings"/>
    </w:rPr>
  </w:style>
  <w:style w:type="character" w:customStyle="1" w:styleId="RTFNum21">
    <w:name w:val="RTF_Num 2 1"/>
    <w:rsid w:val="006134ED"/>
    <w:rPr>
      <w:rFonts w:ascii="Symbol" w:eastAsia="Symbol" w:hAnsi="Symbol" w:cs="Symbol"/>
    </w:rPr>
  </w:style>
  <w:style w:type="character" w:customStyle="1" w:styleId="RTFNum22">
    <w:name w:val="RTF_Num 2 2"/>
    <w:rsid w:val="006134ED"/>
    <w:rPr>
      <w:rFonts w:ascii="Courier New" w:eastAsia="Courier New" w:hAnsi="Courier New" w:cs="Courier New"/>
    </w:rPr>
  </w:style>
  <w:style w:type="character" w:customStyle="1" w:styleId="RTFNum23">
    <w:name w:val="RTF_Num 2 3"/>
    <w:rsid w:val="006134ED"/>
    <w:rPr>
      <w:rFonts w:ascii="Wingdings" w:eastAsia="Wingdings" w:hAnsi="Wingdings" w:cs="Wingdings"/>
    </w:rPr>
  </w:style>
  <w:style w:type="character" w:customStyle="1" w:styleId="RTFNum24">
    <w:name w:val="RTF_Num 2 4"/>
    <w:rsid w:val="006134ED"/>
    <w:rPr>
      <w:rFonts w:ascii="Symbol" w:eastAsia="Symbol" w:hAnsi="Symbol" w:cs="Symbol"/>
    </w:rPr>
  </w:style>
  <w:style w:type="character" w:customStyle="1" w:styleId="RTFNum25">
    <w:name w:val="RTF_Num 2 5"/>
    <w:rsid w:val="006134ED"/>
    <w:rPr>
      <w:rFonts w:ascii="Courier New" w:eastAsia="Courier New" w:hAnsi="Courier New" w:cs="Courier New"/>
    </w:rPr>
  </w:style>
  <w:style w:type="character" w:customStyle="1" w:styleId="RTFNum26">
    <w:name w:val="RTF_Num 2 6"/>
    <w:rsid w:val="006134ED"/>
    <w:rPr>
      <w:rFonts w:ascii="Wingdings" w:eastAsia="Wingdings" w:hAnsi="Wingdings" w:cs="Wingdings"/>
    </w:rPr>
  </w:style>
  <w:style w:type="character" w:customStyle="1" w:styleId="RTFNum27">
    <w:name w:val="RTF_Num 2 7"/>
    <w:rsid w:val="006134ED"/>
    <w:rPr>
      <w:rFonts w:ascii="Symbol" w:eastAsia="Symbol" w:hAnsi="Symbol" w:cs="Symbol"/>
    </w:rPr>
  </w:style>
  <w:style w:type="character" w:customStyle="1" w:styleId="RTFNum28">
    <w:name w:val="RTF_Num 2 8"/>
    <w:rsid w:val="006134ED"/>
    <w:rPr>
      <w:rFonts w:ascii="Courier New" w:eastAsia="Courier New" w:hAnsi="Courier New" w:cs="Courier New"/>
    </w:rPr>
  </w:style>
  <w:style w:type="character" w:customStyle="1" w:styleId="RTFNum29">
    <w:name w:val="RTF_Num 2 9"/>
    <w:rsid w:val="006134ED"/>
    <w:rPr>
      <w:rFonts w:ascii="Wingdings" w:eastAsia="Wingdings" w:hAnsi="Wingdings" w:cs="Wingdings"/>
    </w:rPr>
  </w:style>
  <w:style w:type="character" w:customStyle="1" w:styleId="FootnoteCharacters">
    <w:name w:val="Footnote Characters"/>
    <w:rsid w:val="006134ED"/>
  </w:style>
  <w:style w:type="character" w:customStyle="1" w:styleId="EndnoteCharacters">
    <w:name w:val="Endnote Characters"/>
    <w:rsid w:val="006134ED"/>
    <w:rPr>
      <w:vertAlign w:val="superscript"/>
    </w:rPr>
  </w:style>
  <w:style w:type="character" w:customStyle="1" w:styleId="WW-EndnoteCharacters">
    <w:name w:val="WW-Endnote Characters"/>
    <w:rsid w:val="006134ED"/>
  </w:style>
  <w:style w:type="character" w:customStyle="1" w:styleId="WW-StrongEmphasis">
    <w:name w:val="WW-Strong Emphasis"/>
    <w:basedOn w:val="DefaultParagraphFont"/>
    <w:rsid w:val="006134ED"/>
    <w:rPr>
      <w:b/>
      <w:bCs/>
      <w:sz w:val="24"/>
    </w:rPr>
  </w:style>
  <w:style w:type="paragraph" w:customStyle="1" w:styleId="Heading">
    <w:name w:val="Heading"/>
    <w:basedOn w:val="Normal"/>
    <w:next w:val="BodyText"/>
    <w:rsid w:val="006134ED"/>
    <w:pPr>
      <w:keepNext/>
      <w:widowControl w:val="0"/>
      <w:suppressAutoHyphens/>
    </w:pPr>
    <w:rPr>
      <w:rFonts w:eastAsia="DejaVu Sans" w:cs="DejaVu Sans"/>
      <w:kern w:val="1"/>
      <w:sz w:val="28"/>
      <w:szCs w:val="28"/>
    </w:rPr>
  </w:style>
  <w:style w:type="paragraph" w:styleId="List">
    <w:name w:val="List"/>
    <w:basedOn w:val="BodyText"/>
    <w:locked/>
    <w:rsid w:val="006134ED"/>
    <w:pPr>
      <w:widowControl w:val="0"/>
      <w:suppressAutoHyphens/>
      <w:spacing w:before="0"/>
    </w:pPr>
    <w:rPr>
      <w:rFonts w:ascii="Times New Roman" w:eastAsia="DejaVu Sans" w:hAnsi="Times New Roman"/>
      <w:kern w:val="1"/>
      <w:szCs w:val="24"/>
    </w:rPr>
  </w:style>
  <w:style w:type="paragraph" w:customStyle="1" w:styleId="Index">
    <w:name w:val="Index"/>
    <w:basedOn w:val="Normal"/>
    <w:rsid w:val="006134ED"/>
    <w:pPr>
      <w:widowControl w:val="0"/>
      <w:suppressLineNumbers/>
      <w:suppressAutoHyphens/>
      <w:spacing w:before="0" w:after="0"/>
    </w:pPr>
    <w:rPr>
      <w:rFonts w:ascii="Times New Roman" w:eastAsia="DejaVu Sans" w:hAnsi="Times New Roman"/>
      <w:kern w:val="1"/>
      <w:szCs w:val="24"/>
    </w:rPr>
  </w:style>
  <w:style w:type="paragraph" w:customStyle="1" w:styleId="BankNormalChar">
    <w:name w:val="BankNormal Char"/>
    <w:basedOn w:val="Normal"/>
    <w:rsid w:val="006134ED"/>
    <w:pPr>
      <w:widowControl w:val="0"/>
      <w:suppressAutoHyphens/>
      <w:overflowPunct w:val="0"/>
      <w:autoSpaceDE w:val="0"/>
      <w:spacing w:before="0"/>
      <w:textAlignment w:val="baseline"/>
    </w:pPr>
    <w:rPr>
      <w:rFonts w:ascii="Times New Roman" w:eastAsia="DejaVu Sans" w:hAnsi="Times New Roman"/>
      <w:kern w:val="1"/>
      <w:szCs w:val="24"/>
    </w:rPr>
  </w:style>
  <w:style w:type="paragraph" w:customStyle="1" w:styleId="Text0">
    <w:name w:val="Text"/>
    <w:basedOn w:val="Caption"/>
    <w:link w:val="TextChar"/>
    <w:rsid w:val="006134ED"/>
    <w:pPr>
      <w:widowControl w:val="0"/>
      <w:suppressLineNumbers/>
      <w:suppressAutoHyphens/>
    </w:pPr>
    <w:rPr>
      <w:rFonts w:ascii="Times New Roman" w:eastAsia="DejaVu Sans" w:hAnsi="Times New Roman"/>
      <w:b w:val="0"/>
      <w:bCs w:val="0"/>
      <w:i/>
      <w:iCs/>
      <w:kern w:val="1"/>
      <w:sz w:val="24"/>
      <w:szCs w:val="24"/>
    </w:rPr>
  </w:style>
  <w:style w:type="character" w:customStyle="1" w:styleId="TextChar">
    <w:name w:val="Text Char"/>
    <w:basedOn w:val="BodyTextChar"/>
    <w:link w:val="Text0"/>
    <w:rsid w:val="00FF780D"/>
    <w:rPr>
      <w:rFonts w:ascii="Times New Roman" w:eastAsia="DejaVu Sans" w:hAnsi="Times New Roman" w:cs="Times New Roman"/>
      <w:i/>
      <w:iCs/>
      <w:kern w:val="1"/>
      <w:sz w:val="24"/>
      <w:szCs w:val="24"/>
      <w:lang w:val="en-GB" w:eastAsia="en-GB"/>
    </w:rPr>
  </w:style>
  <w:style w:type="paragraph" w:customStyle="1" w:styleId="TableContents">
    <w:name w:val="Table Contents"/>
    <w:basedOn w:val="Normal"/>
    <w:rsid w:val="006134ED"/>
    <w:pPr>
      <w:widowControl w:val="0"/>
      <w:suppressLineNumbers/>
      <w:suppressAutoHyphens/>
      <w:spacing w:before="0" w:after="0"/>
    </w:pPr>
    <w:rPr>
      <w:rFonts w:ascii="Times New Roman" w:eastAsia="DejaVu Sans" w:hAnsi="Times New Roman"/>
      <w:kern w:val="1"/>
      <w:szCs w:val="24"/>
    </w:rPr>
  </w:style>
  <w:style w:type="paragraph" w:customStyle="1" w:styleId="StyleItalicBefore6ptAfter6pt">
    <w:name w:val="Style Italic Before:  6 pt After:  6 pt"/>
    <w:basedOn w:val="Normal"/>
    <w:rsid w:val="006134ED"/>
    <w:pPr>
      <w:widowControl w:val="0"/>
      <w:suppressAutoHyphens/>
      <w:spacing w:before="60" w:after="60"/>
    </w:pPr>
    <w:rPr>
      <w:rFonts w:ascii="Times New Roman" w:eastAsia="DejaVu Sans" w:hAnsi="Times New Roman"/>
      <w:i/>
      <w:iCs/>
      <w:kern w:val="1"/>
      <w:szCs w:val="24"/>
    </w:rPr>
  </w:style>
  <w:style w:type="paragraph" w:customStyle="1" w:styleId="Numbering2Continue">
    <w:name w:val="Numbering 2 Continue"/>
    <w:basedOn w:val="List"/>
    <w:rsid w:val="006134ED"/>
    <w:pPr>
      <w:ind w:left="720"/>
    </w:pPr>
  </w:style>
  <w:style w:type="paragraph" w:customStyle="1" w:styleId="Numbering1">
    <w:name w:val="Numbering 1"/>
    <w:basedOn w:val="List"/>
    <w:rsid w:val="006134ED"/>
    <w:pPr>
      <w:ind w:left="360" w:hanging="360"/>
    </w:pPr>
  </w:style>
  <w:style w:type="paragraph" w:customStyle="1" w:styleId="Numbering1Continue">
    <w:name w:val="Numbering 1 Continue"/>
    <w:basedOn w:val="List"/>
    <w:rsid w:val="006134ED"/>
    <w:pPr>
      <w:ind w:left="360"/>
    </w:pPr>
  </w:style>
  <w:style w:type="paragraph" w:customStyle="1" w:styleId="Numbering1End">
    <w:name w:val="Numbering 1 End"/>
    <w:basedOn w:val="List"/>
    <w:rsid w:val="006134ED"/>
    <w:pPr>
      <w:spacing w:after="240"/>
      <w:ind w:left="360" w:hanging="360"/>
    </w:pPr>
  </w:style>
  <w:style w:type="paragraph" w:customStyle="1" w:styleId="Numbering1Start">
    <w:name w:val="Numbering 1 Start"/>
    <w:basedOn w:val="List"/>
    <w:rsid w:val="006134ED"/>
    <w:pPr>
      <w:spacing w:before="240"/>
      <w:ind w:left="360" w:hanging="360"/>
    </w:pPr>
  </w:style>
  <w:style w:type="paragraph" w:customStyle="1" w:styleId="BodyAndIndent">
    <w:name w:val="BodyAndIndent"/>
    <w:basedOn w:val="Normal"/>
    <w:rsid w:val="006134ED"/>
    <w:pPr>
      <w:widowControl w:val="0"/>
      <w:tabs>
        <w:tab w:val="left" w:pos="0"/>
      </w:tabs>
      <w:suppressAutoHyphens/>
      <w:spacing w:before="180" w:after="0" w:line="280" w:lineRule="exact"/>
    </w:pPr>
    <w:rPr>
      <w:rFonts w:ascii="Century Schoolbook" w:eastAsia="Century Schoolbook" w:hAnsi="Century Schoolbook" w:cs="Century Schoolbook"/>
      <w:kern w:val="1"/>
    </w:rPr>
  </w:style>
  <w:style w:type="paragraph" w:customStyle="1" w:styleId="ProjectFrameworkOutputs">
    <w:name w:val="ProjectFrameworkOutputs"/>
    <w:basedOn w:val="Normal"/>
    <w:rsid w:val="006134ED"/>
    <w:pPr>
      <w:widowControl w:val="0"/>
      <w:tabs>
        <w:tab w:val="left" w:pos="270"/>
      </w:tabs>
      <w:suppressAutoHyphens/>
      <w:overflowPunct w:val="0"/>
      <w:autoSpaceDE w:val="0"/>
      <w:spacing w:before="0" w:after="60"/>
      <w:textAlignment w:val="baseline"/>
    </w:pPr>
    <w:rPr>
      <w:rFonts w:eastAsia="Arial"/>
      <w:kern w:val="1"/>
    </w:rPr>
  </w:style>
  <w:style w:type="paragraph" w:styleId="EndnoteText">
    <w:name w:val="endnote text"/>
    <w:basedOn w:val="Normal"/>
    <w:link w:val="EndnoteTextChar"/>
    <w:semiHidden/>
    <w:locked/>
    <w:rsid w:val="006134ED"/>
    <w:pPr>
      <w:widowControl w:val="0"/>
      <w:autoSpaceDE w:val="0"/>
      <w:spacing w:before="0" w:after="0"/>
    </w:pPr>
    <w:rPr>
      <w:rFonts w:ascii="Courier New" w:hAnsi="Courier New" w:cs="Courier New"/>
      <w:kern w:val="1"/>
      <w:szCs w:val="24"/>
    </w:rPr>
  </w:style>
  <w:style w:type="character" w:customStyle="1" w:styleId="EndnoteTextChar">
    <w:name w:val="Endnote Text Char"/>
    <w:basedOn w:val="DefaultParagraphFont"/>
    <w:link w:val="EndnoteText"/>
    <w:semiHidden/>
    <w:rsid w:val="006134ED"/>
    <w:rPr>
      <w:rFonts w:ascii="Courier New" w:eastAsia="Times New Roman" w:hAnsi="Courier New" w:cs="Courier New"/>
      <w:kern w:val="1"/>
      <w:sz w:val="24"/>
      <w:szCs w:val="24"/>
      <w:lang w:val="en-US"/>
    </w:rPr>
  </w:style>
  <w:style w:type="paragraph" w:customStyle="1" w:styleId="Contents10">
    <w:name w:val="Contents 10"/>
    <w:basedOn w:val="Index"/>
    <w:rsid w:val="006134ED"/>
    <w:pPr>
      <w:tabs>
        <w:tab w:val="right" w:leader="dot" w:pos="9637"/>
      </w:tabs>
      <w:ind w:left="2547"/>
    </w:pPr>
  </w:style>
  <w:style w:type="paragraph" w:customStyle="1" w:styleId="TableHeading">
    <w:name w:val="Table Heading"/>
    <w:basedOn w:val="TableContents"/>
    <w:rsid w:val="006134ED"/>
    <w:pPr>
      <w:jc w:val="center"/>
    </w:pPr>
    <w:rPr>
      <w:b/>
      <w:bCs/>
    </w:rPr>
  </w:style>
  <w:style w:type="paragraph" w:customStyle="1" w:styleId="Framecontents">
    <w:name w:val="Frame contents"/>
    <w:basedOn w:val="BodyText"/>
    <w:rsid w:val="006134ED"/>
    <w:pPr>
      <w:widowControl w:val="0"/>
      <w:suppressAutoHyphens/>
      <w:spacing w:before="0"/>
    </w:pPr>
    <w:rPr>
      <w:rFonts w:ascii="Times New Roman" w:eastAsia="DejaVu Sans" w:hAnsi="Times New Roman"/>
      <w:kern w:val="1"/>
      <w:szCs w:val="24"/>
    </w:rPr>
  </w:style>
  <w:style w:type="character" w:customStyle="1" w:styleId="StrongEmphasis">
    <w:name w:val="Strong Emphasis"/>
    <w:basedOn w:val="DefaultParagraphFont"/>
    <w:rsid w:val="006134ED"/>
    <w:rPr>
      <w:b/>
      <w:bCs/>
      <w:sz w:val="24"/>
    </w:rPr>
  </w:style>
  <w:style w:type="paragraph" w:styleId="BodyTextIndent3">
    <w:name w:val="Body Text Indent 3"/>
    <w:basedOn w:val="Normal"/>
    <w:link w:val="BodyTextIndent3Char"/>
    <w:locked/>
    <w:rsid w:val="006134ED"/>
    <w:pPr>
      <w:widowControl w:val="0"/>
      <w:suppressAutoHyphens/>
      <w:spacing w:before="0"/>
      <w:ind w:left="720"/>
    </w:pPr>
    <w:rPr>
      <w:rFonts w:ascii="Times New Roman" w:hAnsi="Times New Roman"/>
      <w:snapToGrid w:val="0"/>
      <w:spacing w:val="-3"/>
    </w:rPr>
  </w:style>
  <w:style w:type="character" w:customStyle="1" w:styleId="BodyTextIndent3Char">
    <w:name w:val="Body Text Indent 3 Char"/>
    <w:basedOn w:val="DefaultParagraphFont"/>
    <w:link w:val="BodyTextIndent3"/>
    <w:rsid w:val="006134ED"/>
    <w:rPr>
      <w:rFonts w:ascii="Times New Roman" w:eastAsia="Times New Roman" w:hAnsi="Times New Roman"/>
      <w:snapToGrid w:val="0"/>
      <w:spacing w:val="-3"/>
      <w:sz w:val="24"/>
      <w:lang w:val="en-US" w:eastAsia="en-US"/>
    </w:rPr>
  </w:style>
  <w:style w:type="character" w:customStyle="1" w:styleId="txtminorheading">
    <w:name w:val="txt_minorheading"/>
    <w:basedOn w:val="DefaultParagraphFont"/>
    <w:rsid w:val="006134ED"/>
  </w:style>
  <w:style w:type="paragraph" w:customStyle="1" w:styleId="normaltableau">
    <w:name w:val="normal_tableau"/>
    <w:basedOn w:val="Normal"/>
    <w:rsid w:val="006134ED"/>
    <w:rPr>
      <w:rFonts w:ascii="Optima" w:hAnsi="Optima"/>
    </w:rPr>
  </w:style>
  <w:style w:type="paragraph" w:customStyle="1" w:styleId="Char1CharCharChar">
    <w:name w:val="Char1 Char Char Char"/>
    <w:basedOn w:val="Normal"/>
    <w:rsid w:val="006134ED"/>
    <w:pPr>
      <w:spacing w:before="0" w:after="160" w:line="240" w:lineRule="exact"/>
    </w:pPr>
    <w:rPr>
      <w:kern w:val="16"/>
    </w:rPr>
  </w:style>
  <w:style w:type="paragraph" w:customStyle="1" w:styleId="CharCharCharCharCharCharChar">
    <w:name w:val="Char Char Char Char Char Char Char"/>
    <w:basedOn w:val="Normal"/>
    <w:rsid w:val="006134ED"/>
    <w:pPr>
      <w:spacing w:before="0" w:after="160" w:line="240" w:lineRule="exact"/>
    </w:pPr>
  </w:style>
  <w:style w:type="paragraph" w:styleId="Index3">
    <w:name w:val="index 3"/>
    <w:basedOn w:val="Normal"/>
    <w:next w:val="Normal"/>
    <w:autoRedefine/>
    <w:locked/>
    <w:rsid w:val="006134ED"/>
    <w:pPr>
      <w:spacing w:before="0"/>
      <w:ind w:left="660" w:hanging="220"/>
    </w:pPr>
  </w:style>
  <w:style w:type="paragraph" w:customStyle="1" w:styleId="ColorfulList-Accent11">
    <w:name w:val="Colorful List - Accent 11"/>
    <w:basedOn w:val="Normal"/>
    <w:uiPriority w:val="34"/>
    <w:rsid w:val="006134ED"/>
    <w:pPr>
      <w:widowControl w:val="0"/>
      <w:suppressAutoHyphens/>
      <w:spacing w:before="0" w:after="0"/>
      <w:ind w:left="720"/>
      <w:contextualSpacing/>
    </w:pPr>
    <w:rPr>
      <w:rFonts w:ascii="Times New Roman" w:eastAsia="DejaVu Sans" w:hAnsi="Times New Roman"/>
      <w:kern w:val="1"/>
      <w:szCs w:val="24"/>
    </w:rPr>
  </w:style>
  <w:style w:type="paragraph" w:customStyle="1" w:styleId="BodyTextbullet">
    <w:name w:val="Body Text bullet"/>
    <w:basedOn w:val="Normal"/>
    <w:autoRedefine/>
    <w:rsid w:val="000E39E1"/>
  </w:style>
  <w:style w:type="paragraph" w:customStyle="1" w:styleId="FigureBody">
    <w:name w:val="Figure Body"/>
    <w:basedOn w:val="Normal"/>
    <w:rsid w:val="006134ED"/>
    <w:pPr>
      <w:keepNext/>
      <w:keepLines/>
      <w:shd w:val="clear" w:color="FFFF00" w:fill="FFFFFF"/>
      <w:spacing w:before="0" w:after="0"/>
      <w:jc w:val="center"/>
    </w:pPr>
  </w:style>
  <w:style w:type="paragraph" w:customStyle="1" w:styleId="AnnexHeading1">
    <w:name w:val="Annex Heading 1"/>
    <w:basedOn w:val="Heading1"/>
    <w:next w:val="Normal"/>
    <w:rsid w:val="006134ED"/>
    <w:pPr>
      <w:tabs>
        <w:tab w:val="num" w:pos="1582"/>
      </w:tabs>
      <w:spacing w:before="360" w:after="120"/>
      <w:ind w:left="1440" w:hanging="1440"/>
      <w:jc w:val="both"/>
    </w:pPr>
    <w:rPr>
      <w:color w:val="auto"/>
      <w:kern w:val="32"/>
      <w:szCs w:val="32"/>
      <w:lang w:eastAsia="en-US"/>
    </w:rPr>
  </w:style>
  <w:style w:type="paragraph" w:customStyle="1" w:styleId="AnnexHeading2">
    <w:name w:val="Annex Heading 2"/>
    <w:basedOn w:val="Heading2"/>
    <w:next w:val="Normal"/>
    <w:rsid w:val="006134ED"/>
    <w:pPr>
      <w:numPr>
        <w:ilvl w:val="0"/>
        <w:numId w:val="0"/>
      </w:numPr>
      <w:spacing w:before="300" w:after="100"/>
      <w:jc w:val="both"/>
    </w:pPr>
    <w:rPr>
      <w:bCs/>
      <w:color w:val="auto"/>
      <w:sz w:val="26"/>
      <w:szCs w:val="28"/>
      <w:lang w:eastAsia="en-US"/>
    </w:rPr>
  </w:style>
  <w:style w:type="paragraph" w:customStyle="1" w:styleId="AnnexHeading3">
    <w:name w:val="Annex Heading 3"/>
    <w:basedOn w:val="Heading3"/>
    <w:next w:val="Normal"/>
    <w:rsid w:val="006134ED"/>
    <w:pPr>
      <w:spacing w:after="80"/>
      <w:jc w:val="both"/>
    </w:pPr>
    <w:rPr>
      <w:rFonts w:eastAsia="Times New Roman"/>
      <w:color w:val="auto"/>
      <w:sz w:val="24"/>
      <w:szCs w:val="26"/>
      <w:lang w:eastAsia="en-US"/>
    </w:rPr>
  </w:style>
  <w:style w:type="paragraph" w:customStyle="1" w:styleId="AnnexHeading4">
    <w:name w:val="Annex Heading 4"/>
    <w:basedOn w:val="Heading4"/>
    <w:next w:val="Normal"/>
    <w:rsid w:val="006134ED"/>
    <w:pPr>
      <w:widowControl/>
      <w:suppressAutoHyphens w:val="0"/>
      <w:spacing w:before="180" w:after="60"/>
      <w:jc w:val="both"/>
    </w:pPr>
    <w:rPr>
      <w:rFonts w:eastAsia="Times New Roman"/>
      <w:bCs/>
      <w:lang w:val="en-GB" w:eastAsia="en-US"/>
    </w:rPr>
  </w:style>
  <w:style w:type="paragraph" w:styleId="Date">
    <w:name w:val="Date"/>
    <w:basedOn w:val="Normal"/>
    <w:next w:val="Normal"/>
    <w:link w:val="DateChar"/>
    <w:locked/>
    <w:rsid w:val="006134ED"/>
    <w:pPr>
      <w:spacing w:before="0"/>
    </w:pPr>
  </w:style>
  <w:style w:type="character" w:customStyle="1" w:styleId="DateChar">
    <w:name w:val="Date Char"/>
    <w:basedOn w:val="DefaultParagraphFont"/>
    <w:link w:val="Date"/>
    <w:rsid w:val="006134ED"/>
    <w:rPr>
      <w:rFonts w:ascii="Arial" w:eastAsia="Times New Roman" w:hAnsi="Arial"/>
      <w:sz w:val="22"/>
      <w:lang w:val="en-GB" w:eastAsia="en-US"/>
    </w:rPr>
  </w:style>
  <w:style w:type="paragraph" w:customStyle="1" w:styleId="heading0">
    <w:name w:val="heading"/>
    <w:basedOn w:val="UnnumberedHeading1"/>
    <w:next w:val="Normal"/>
    <w:rsid w:val="006134ED"/>
  </w:style>
  <w:style w:type="paragraph" w:customStyle="1" w:styleId="UnnumberedHeading1">
    <w:name w:val="Unnumbered Heading 1"/>
    <w:basedOn w:val="Heading1"/>
    <w:next w:val="Normal"/>
    <w:rsid w:val="006134ED"/>
    <w:pPr>
      <w:spacing w:before="360" w:after="120"/>
      <w:jc w:val="both"/>
    </w:pPr>
    <w:rPr>
      <w:color w:val="auto"/>
      <w:kern w:val="32"/>
      <w:szCs w:val="32"/>
      <w:lang w:val="en-US" w:eastAsia="en-US"/>
    </w:rPr>
  </w:style>
  <w:style w:type="paragraph" w:styleId="ListBullet2">
    <w:name w:val="List Bullet 2"/>
    <w:basedOn w:val="Normal"/>
    <w:locked/>
    <w:rsid w:val="006134ED"/>
    <w:pPr>
      <w:tabs>
        <w:tab w:val="num" w:pos="567"/>
      </w:tabs>
      <w:spacing w:before="0"/>
      <w:ind w:left="568" w:hanging="284"/>
    </w:pPr>
  </w:style>
  <w:style w:type="paragraph" w:styleId="ListNumber2">
    <w:name w:val="List Number 2"/>
    <w:basedOn w:val="Normal"/>
    <w:autoRedefine/>
    <w:locked/>
    <w:rsid w:val="006134ED"/>
    <w:pPr>
      <w:tabs>
        <w:tab w:val="num" w:pos="284"/>
      </w:tabs>
      <w:spacing w:before="0"/>
      <w:ind w:left="567" w:hanging="283"/>
    </w:pPr>
  </w:style>
  <w:style w:type="paragraph" w:styleId="ListBullet3">
    <w:name w:val="List Bullet 3"/>
    <w:basedOn w:val="Normal"/>
    <w:autoRedefine/>
    <w:locked/>
    <w:rsid w:val="006134ED"/>
    <w:pPr>
      <w:spacing w:before="0"/>
    </w:pPr>
  </w:style>
  <w:style w:type="character" w:styleId="HTMLTypewriter">
    <w:name w:val="HTML Typewriter"/>
    <w:basedOn w:val="DefaultParagraphFont"/>
    <w:locked/>
    <w:rsid w:val="006134ED"/>
    <w:rPr>
      <w:rFonts w:ascii="Arial Unicode MS" w:eastAsia="Arial Unicode MS" w:hAnsi="Arial Unicode MS" w:cs="Arial Unicode MS"/>
      <w:sz w:val="20"/>
      <w:szCs w:val="20"/>
    </w:rPr>
  </w:style>
  <w:style w:type="paragraph" w:styleId="PlainText">
    <w:name w:val="Plain Text"/>
    <w:basedOn w:val="Normal"/>
    <w:link w:val="PlainTextChar"/>
    <w:locked/>
    <w:rsid w:val="006134ED"/>
    <w:pPr>
      <w:spacing w:before="0" w:after="0"/>
    </w:pPr>
    <w:rPr>
      <w:rFonts w:ascii="Courier New" w:hAnsi="Courier New" w:cs="Courier New"/>
      <w:b/>
      <w:bCs/>
    </w:rPr>
  </w:style>
  <w:style w:type="character" w:customStyle="1" w:styleId="PlainTextChar">
    <w:name w:val="Plain Text Char"/>
    <w:basedOn w:val="DefaultParagraphFont"/>
    <w:link w:val="PlainText"/>
    <w:rsid w:val="006134ED"/>
    <w:rPr>
      <w:rFonts w:ascii="Courier New" w:eastAsia="Times New Roman" w:hAnsi="Courier New" w:cs="Courier New"/>
      <w:b/>
      <w:bCs/>
      <w:lang w:val="en-GB" w:eastAsia="en-US"/>
    </w:rPr>
  </w:style>
  <w:style w:type="paragraph" w:customStyle="1" w:styleId="UnnumberedHeading2">
    <w:name w:val="Unnumbered Heading 2"/>
    <w:basedOn w:val="Heading2"/>
    <w:next w:val="Normal"/>
    <w:rsid w:val="006134ED"/>
    <w:pPr>
      <w:numPr>
        <w:ilvl w:val="0"/>
        <w:numId w:val="0"/>
      </w:numPr>
      <w:spacing w:before="300" w:after="100"/>
      <w:jc w:val="both"/>
    </w:pPr>
    <w:rPr>
      <w:bCs/>
      <w:color w:val="auto"/>
      <w:sz w:val="26"/>
      <w:szCs w:val="28"/>
      <w:lang w:eastAsia="en-US"/>
    </w:rPr>
  </w:style>
  <w:style w:type="paragraph" w:customStyle="1" w:styleId="UnnumberedHeading3">
    <w:name w:val="Unnumbered Heading 3"/>
    <w:basedOn w:val="Heading3"/>
    <w:next w:val="Normal"/>
    <w:rsid w:val="006134ED"/>
    <w:pPr>
      <w:spacing w:after="80"/>
      <w:jc w:val="both"/>
    </w:pPr>
    <w:rPr>
      <w:rFonts w:eastAsia="Times New Roman"/>
      <w:bCs/>
      <w:color w:val="auto"/>
      <w:sz w:val="24"/>
      <w:szCs w:val="26"/>
      <w:lang w:eastAsia="en-US"/>
    </w:rPr>
  </w:style>
  <w:style w:type="paragraph" w:styleId="Index1">
    <w:name w:val="index 1"/>
    <w:basedOn w:val="Normal"/>
    <w:next w:val="Normal"/>
    <w:autoRedefine/>
    <w:locked/>
    <w:rsid w:val="006134ED"/>
    <w:pPr>
      <w:widowControl w:val="0"/>
      <w:suppressAutoHyphens/>
      <w:spacing w:before="0" w:after="0"/>
      <w:ind w:left="240" w:hanging="240"/>
    </w:pPr>
    <w:rPr>
      <w:rFonts w:ascii="Times New Roman" w:eastAsia="DejaVu Sans" w:hAnsi="Times New Roman"/>
      <w:kern w:val="1"/>
      <w:szCs w:val="24"/>
    </w:rPr>
  </w:style>
  <w:style w:type="paragraph" w:styleId="IndexHeading">
    <w:name w:val="index heading"/>
    <w:basedOn w:val="Normal"/>
    <w:next w:val="Normal"/>
    <w:locked/>
    <w:rsid w:val="006134ED"/>
    <w:rPr>
      <w:rFonts w:ascii="Times New Roman" w:eastAsia="MS Mincho" w:hAnsi="Times New Roman"/>
      <w:b/>
      <w:i/>
      <w:lang w:val="en-CA"/>
    </w:rPr>
  </w:style>
  <w:style w:type="paragraph" w:customStyle="1" w:styleId="BodyText0">
    <w:name w:val="BodyText"/>
    <w:basedOn w:val="BodyTextbullet"/>
    <w:rsid w:val="000054C4"/>
  </w:style>
  <w:style w:type="paragraph" w:styleId="BlockText">
    <w:name w:val="Block Text"/>
    <w:basedOn w:val="Normal"/>
    <w:link w:val="BlockTextChar"/>
    <w:locked/>
    <w:rsid w:val="006134ED"/>
    <w:pPr>
      <w:spacing w:before="0"/>
      <w:ind w:left="1440" w:right="1440"/>
    </w:pPr>
    <w:rPr>
      <w:rFonts w:ascii="Times New Roman" w:eastAsia="MS Mincho" w:hAnsi="Times New Roman"/>
      <w:lang w:val="en-CA"/>
    </w:rPr>
  </w:style>
  <w:style w:type="character" w:customStyle="1" w:styleId="BlockTextChar">
    <w:name w:val="Block Text Char"/>
    <w:link w:val="BlockText"/>
    <w:rsid w:val="007A6D77"/>
    <w:rPr>
      <w:rFonts w:ascii="Times New Roman" w:eastAsia="MS Mincho" w:hAnsi="Times New Roman" w:cs="Arial"/>
      <w:sz w:val="24"/>
      <w:lang w:val="en-CA" w:eastAsia="en-US"/>
    </w:rPr>
  </w:style>
  <w:style w:type="paragraph" w:styleId="Closing">
    <w:name w:val="Closing"/>
    <w:basedOn w:val="Normal"/>
    <w:link w:val="ClosingChar"/>
    <w:locked/>
    <w:rsid w:val="006134ED"/>
    <w:pPr>
      <w:spacing w:before="0" w:after="0"/>
      <w:ind w:left="4252"/>
    </w:pPr>
    <w:rPr>
      <w:rFonts w:ascii="Times New Roman" w:eastAsia="MS Mincho" w:hAnsi="Times New Roman"/>
      <w:lang w:val="en-CA"/>
    </w:rPr>
  </w:style>
  <w:style w:type="character" w:customStyle="1" w:styleId="ClosingChar">
    <w:name w:val="Closing Char"/>
    <w:basedOn w:val="DefaultParagraphFont"/>
    <w:link w:val="Closing"/>
    <w:rsid w:val="006134ED"/>
    <w:rPr>
      <w:rFonts w:ascii="Times New Roman" w:eastAsia="MS Mincho" w:hAnsi="Times New Roman"/>
      <w:sz w:val="24"/>
      <w:lang w:val="en-CA" w:eastAsia="en-US"/>
    </w:rPr>
  </w:style>
  <w:style w:type="paragraph" w:styleId="EnvelopeAddress">
    <w:name w:val="envelope address"/>
    <w:basedOn w:val="Normal"/>
    <w:locked/>
    <w:rsid w:val="006134ED"/>
    <w:pPr>
      <w:framePr w:w="7920" w:h="1980" w:hRule="exact" w:hSpace="180" w:wrap="auto" w:hAnchor="page" w:xAlign="center" w:yAlign="bottom"/>
      <w:spacing w:before="0" w:after="0"/>
      <w:ind w:left="2880"/>
    </w:pPr>
    <w:rPr>
      <w:rFonts w:eastAsia="MS Mincho"/>
      <w:lang w:val="en-CA"/>
    </w:rPr>
  </w:style>
  <w:style w:type="character" w:styleId="LineNumber">
    <w:name w:val="line number"/>
    <w:basedOn w:val="DefaultParagraphFont"/>
    <w:locked/>
    <w:rsid w:val="006134ED"/>
  </w:style>
  <w:style w:type="paragraph" w:styleId="ListBullet4">
    <w:name w:val="List Bullet 4"/>
    <w:basedOn w:val="Normal"/>
    <w:autoRedefine/>
    <w:locked/>
    <w:rsid w:val="006134ED"/>
    <w:pPr>
      <w:tabs>
        <w:tab w:val="num" w:pos="1800"/>
      </w:tabs>
      <w:ind w:left="1800" w:hanging="360"/>
    </w:pPr>
    <w:rPr>
      <w:rFonts w:ascii="Times New Roman" w:eastAsia="MS Mincho" w:hAnsi="Times New Roman"/>
      <w:lang w:val="en-CA"/>
    </w:rPr>
  </w:style>
  <w:style w:type="paragraph" w:styleId="ListBullet5">
    <w:name w:val="List Bullet 5"/>
    <w:basedOn w:val="Normal"/>
    <w:autoRedefine/>
    <w:locked/>
    <w:rsid w:val="006134ED"/>
    <w:pPr>
      <w:tabs>
        <w:tab w:val="num" w:pos="2520"/>
      </w:tabs>
      <w:ind w:left="2520" w:hanging="360"/>
    </w:pPr>
    <w:rPr>
      <w:rFonts w:ascii="Times New Roman" w:eastAsia="MS Mincho" w:hAnsi="Times New Roman"/>
      <w:lang w:val="en-CA"/>
    </w:rPr>
  </w:style>
  <w:style w:type="paragraph" w:styleId="ListNumber3">
    <w:name w:val="List Number 3"/>
    <w:basedOn w:val="Normal"/>
    <w:locked/>
    <w:rsid w:val="006134ED"/>
    <w:pPr>
      <w:tabs>
        <w:tab w:val="num" w:pos="1080"/>
      </w:tabs>
      <w:spacing w:before="0" w:after="0"/>
      <w:ind w:left="1080" w:hanging="360"/>
    </w:pPr>
    <w:rPr>
      <w:rFonts w:ascii="Times New Roman" w:eastAsia="MS Mincho" w:hAnsi="Times New Roman"/>
      <w:lang w:val="en-CA"/>
    </w:rPr>
  </w:style>
  <w:style w:type="paragraph" w:styleId="ListNumber4">
    <w:name w:val="List Number 4"/>
    <w:basedOn w:val="Normal"/>
    <w:locked/>
    <w:rsid w:val="006134ED"/>
    <w:pPr>
      <w:tabs>
        <w:tab w:val="num" w:pos="1440"/>
      </w:tabs>
      <w:spacing w:before="0" w:after="0"/>
      <w:ind w:left="1440" w:hanging="360"/>
    </w:pPr>
    <w:rPr>
      <w:rFonts w:ascii="Times New Roman" w:eastAsia="MS Mincho" w:hAnsi="Times New Roman"/>
      <w:lang w:val="en-CA"/>
    </w:rPr>
  </w:style>
  <w:style w:type="paragraph" w:styleId="ListNumber5">
    <w:name w:val="List Number 5"/>
    <w:basedOn w:val="Normal"/>
    <w:locked/>
    <w:rsid w:val="006134ED"/>
    <w:pPr>
      <w:tabs>
        <w:tab w:val="num" w:pos="1800"/>
      </w:tabs>
      <w:spacing w:before="0" w:after="0"/>
      <w:ind w:left="1800" w:hanging="360"/>
    </w:pPr>
    <w:rPr>
      <w:rFonts w:ascii="Times New Roman" w:eastAsia="MS Mincho" w:hAnsi="Times New Roman"/>
      <w:lang w:val="en-CA"/>
    </w:rPr>
  </w:style>
  <w:style w:type="paragraph" w:styleId="TableofAuthorities">
    <w:name w:val="table of authorities"/>
    <w:basedOn w:val="Normal"/>
    <w:next w:val="Normal"/>
    <w:locked/>
    <w:rsid w:val="006134ED"/>
    <w:pPr>
      <w:spacing w:before="0" w:after="0"/>
      <w:ind w:left="240" w:hanging="240"/>
    </w:pPr>
    <w:rPr>
      <w:rFonts w:ascii="Times New Roman" w:eastAsia="MS Mincho" w:hAnsi="Times New Roman"/>
      <w:lang w:val="en-CA"/>
    </w:rPr>
  </w:style>
  <w:style w:type="paragraph" w:styleId="TOAHeading">
    <w:name w:val="toa heading"/>
    <w:basedOn w:val="Normal"/>
    <w:next w:val="Normal"/>
    <w:locked/>
    <w:rsid w:val="006134ED"/>
    <w:pPr>
      <w:spacing w:after="0"/>
    </w:pPr>
    <w:rPr>
      <w:rFonts w:eastAsia="MS Mincho"/>
      <w:b/>
      <w:lang w:val="en-CA"/>
    </w:rPr>
  </w:style>
  <w:style w:type="paragraph" w:customStyle="1" w:styleId="Annex1">
    <w:name w:val="Annex 1"/>
    <w:basedOn w:val="Heading1"/>
    <w:next w:val="Normal"/>
    <w:rsid w:val="006134ED"/>
    <w:pPr>
      <w:tabs>
        <w:tab w:val="num" w:pos="0"/>
        <w:tab w:val="left" w:pos="499"/>
      </w:tabs>
      <w:spacing w:before="1800" w:after="800" w:line="560" w:lineRule="exact"/>
      <w:ind w:hanging="499"/>
    </w:pPr>
    <w:rPr>
      <w:rFonts w:ascii="Times New Roman" w:eastAsia="MS Mincho" w:hAnsi="Times New Roman"/>
      <w:b w:val="0"/>
      <w:color w:val="auto"/>
      <w:kern w:val="28"/>
      <w:szCs w:val="20"/>
      <w:lang w:eastAsia="en-US"/>
    </w:rPr>
  </w:style>
  <w:style w:type="paragraph" w:customStyle="1" w:styleId="Annex2">
    <w:name w:val="Annex 2"/>
    <w:basedOn w:val="Heading2"/>
    <w:next w:val="Normal"/>
    <w:rsid w:val="006134ED"/>
    <w:pPr>
      <w:numPr>
        <w:ilvl w:val="0"/>
        <w:numId w:val="0"/>
      </w:numPr>
      <w:tabs>
        <w:tab w:val="num" w:pos="0"/>
        <w:tab w:val="left" w:pos="499"/>
      </w:tabs>
      <w:spacing w:before="360" w:after="0"/>
      <w:ind w:hanging="499"/>
    </w:pPr>
    <w:rPr>
      <w:rFonts w:ascii="Times New Roman" w:hAnsi="Times New Roman" w:cs="Times New Roman"/>
      <w:iCs/>
      <w:color w:val="auto"/>
      <w:sz w:val="26"/>
      <w:szCs w:val="20"/>
      <w:lang w:eastAsia="en-US"/>
    </w:rPr>
  </w:style>
  <w:style w:type="paragraph" w:customStyle="1" w:styleId="Annex3">
    <w:name w:val="Annex 3"/>
    <w:basedOn w:val="Heading3"/>
    <w:next w:val="Normal"/>
    <w:rsid w:val="006134ED"/>
    <w:pPr>
      <w:tabs>
        <w:tab w:val="num" w:pos="0"/>
        <w:tab w:val="left" w:pos="499"/>
      </w:tabs>
      <w:spacing w:before="360" w:after="0"/>
      <w:ind w:hanging="499"/>
      <w:jc w:val="both"/>
    </w:pPr>
    <w:rPr>
      <w:rFonts w:ascii="Times New Roman" w:hAnsi="Times New Roman" w:cs="Times New Roman"/>
      <w:color w:val="auto"/>
      <w:lang w:eastAsia="en-US"/>
    </w:rPr>
  </w:style>
  <w:style w:type="character" w:styleId="HTMLAcronym">
    <w:name w:val="HTML Acronym"/>
    <w:basedOn w:val="DefaultParagraphFont"/>
    <w:locked/>
    <w:rsid w:val="006134ED"/>
  </w:style>
  <w:style w:type="paragraph" w:styleId="HTMLAddress">
    <w:name w:val="HTML Address"/>
    <w:basedOn w:val="Normal"/>
    <w:link w:val="HTMLAddressChar"/>
    <w:locked/>
    <w:rsid w:val="006134ED"/>
    <w:pPr>
      <w:spacing w:before="0" w:after="0"/>
    </w:pPr>
    <w:rPr>
      <w:rFonts w:ascii="Times New Roman" w:eastAsia="MS Mincho" w:hAnsi="Times New Roman"/>
      <w:i/>
      <w:iCs/>
      <w:lang w:val="en-CA"/>
    </w:rPr>
  </w:style>
  <w:style w:type="character" w:customStyle="1" w:styleId="HTMLAddressChar">
    <w:name w:val="HTML Address Char"/>
    <w:basedOn w:val="DefaultParagraphFont"/>
    <w:link w:val="HTMLAddress"/>
    <w:rsid w:val="006134ED"/>
    <w:rPr>
      <w:rFonts w:ascii="Times New Roman" w:eastAsia="MS Mincho" w:hAnsi="Times New Roman"/>
      <w:i/>
      <w:iCs/>
      <w:sz w:val="24"/>
      <w:lang w:val="en-CA" w:eastAsia="en-US"/>
    </w:rPr>
  </w:style>
  <w:style w:type="character" w:styleId="HTMLCite">
    <w:name w:val="HTML Cite"/>
    <w:basedOn w:val="DefaultParagraphFont"/>
    <w:locked/>
    <w:rsid w:val="006134ED"/>
    <w:rPr>
      <w:i/>
      <w:iCs/>
    </w:rPr>
  </w:style>
  <w:style w:type="character" w:styleId="HTMLCode">
    <w:name w:val="HTML Code"/>
    <w:basedOn w:val="DefaultParagraphFont"/>
    <w:locked/>
    <w:rsid w:val="006134ED"/>
    <w:rPr>
      <w:rFonts w:ascii="Courier New" w:hAnsi="Courier New" w:cs="Courier New"/>
      <w:sz w:val="20"/>
      <w:szCs w:val="20"/>
    </w:rPr>
  </w:style>
  <w:style w:type="character" w:styleId="HTMLDefinition">
    <w:name w:val="HTML Definition"/>
    <w:basedOn w:val="DefaultParagraphFont"/>
    <w:locked/>
    <w:rsid w:val="006134ED"/>
    <w:rPr>
      <w:i/>
      <w:iCs/>
    </w:rPr>
  </w:style>
  <w:style w:type="character" w:styleId="HTMLKeyboard">
    <w:name w:val="HTML Keyboard"/>
    <w:basedOn w:val="DefaultParagraphFont"/>
    <w:locked/>
    <w:rsid w:val="006134ED"/>
    <w:rPr>
      <w:rFonts w:ascii="Courier New" w:hAnsi="Courier New" w:cs="Courier New"/>
      <w:sz w:val="20"/>
      <w:szCs w:val="20"/>
    </w:rPr>
  </w:style>
  <w:style w:type="character" w:styleId="HTMLSample">
    <w:name w:val="HTML Sample"/>
    <w:basedOn w:val="DefaultParagraphFont"/>
    <w:locked/>
    <w:rsid w:val="006134ED"/>
    <w:rPr>
      <w:rFonts w:ascii="Courier New" w:hAnsi="Courier New" w:cs="Courier New"/>
    </w:rPr>
  </w:style>
  <w:style w:type="character" w:styleId="HTMLVariable">
    <w:name w:val="HTML Variable"/>
    <w:basedOn w:val="DefaultParagraphFont"/>
    <w:locked/>
    <w:rsid w:val="006134ED"/>
    <w:rPr>
      <w:i/>
      <w:iCs/>
    </w:rPr>
  </w:style>
  <w:style w:type="paragraph" w:customStyle="1" w:styleId="VignetteBullet">
    <w:name w:val="Vignette Bullet"/>
    <w:basedOn w:val="VignetteBody"/>
    <w:rsid w:val="006134ED"/>
    <w:pPr>
      <w:tabs>
        <w:tab w:val="num" w:pos="360"/>
      </w:tabs>
      <w:ind w:left="357" w:hanging="357"/>
    </w:pPr>
  </w:style>
  <w:style w:type="paragraph" w:customStyle="1" w:styleId="VignetteBody">
    <w:name w:val="Vignette Body"/>
    <w:basedOn w:val="VignetteTitle"/>
    <w:rsid w:val="006134ED"/>
    <w:rPr>
      <w:b w:val="0"/>
    </w:rPr>
  </w:style>
  <w:style w:type="paragraph" w:customStyle="1" w:styleId="VignetteTitle">
    <w:name w:val="Vignette Title"/>
    <w:basedOn w:val="BodyText"/>
    <w:next w:val="VignetteBody"/>
    <w:rsid w:val="006134ED"/>
    <w:pPr>
      <w:spacing w:before="160" w:after="0" w:line="260" w:lineRule="exact"/>
    </w:pPr>
    <w:rPr>
      <w:rFonts w:ascii="Helvetica" w:hAnsi="Helvetica"/>
      <w:b/>
    </w:rPr>
  </w:style>
  <w:style w:type="paragraph" w:customStyle="1" w:styleId="Sig1">
    <w:name w:val="Sig 1"/>
    <w:basedOn w:val="BodyText"/>
    <w:next w:val="Sig2"/>
    <w:rsid w:val="006134ED"/>
    <w:pPr>
      <w:spacing w:before="160" w:after="0"/>
    </w:pPr>
    <w:rPr>
      <w:rFonts w:ascii="Helvetica" w:hAnsi="Helvetica"/>
      <w:b/>
    </w:rPr>
  </w:style>
  <w:style w:type="paragraph" w:customStyle="1" w:styleId="Sig2">
    <w:name w:val="Sig 2"/>
    <w:basedOn w:val="BodyText"/>
    <w:rsid w:val="006134ED"/>
    <w:pPr>
      <w:spacing w:before="160" w:after="0" w:line="260" w:lineRule="exact"/>
    </w:pPr>
    <w:rPr>
      <w:rFonts w:ascii="Helvetica" w:hAnsi="Helvetica"/>
      <w:i/>
    </w:rPr>
  </w:style>
  <w:style w:type="paragraph" w:customStyle="1" w:styleId="TableBody">
    <w:name w:val="Table Body"/>
    <w:basedOn w:val="BodyText"/>
    <w:rsid w:val="006134ED"/>
    <w:pPr>
      <w:spacing w:before="60" w:after="60" w:line="220" w:lineRule="exact"/>
    </w:pPr>
    <w:rPr>
      <w:rFonts w:ascii="Helvetica" w:hAnsi="Helvetica"/>
    </w:rPr>
  </w:style>
  <w:style w:type="paragraph" w:customStyle="1" w:styleId="TableLeft0">
    <w:name w:val="Table Left"/>
    <w:basedOn w:val="TableBody"/>
    <w:rsid w:val="006134ED"/>
    <w:pPr>
      <w:keepNext/>
    </w:pPr>
  </w:style>
  <w:style w:type="paragraph" w:styleId="NormalIndent">
    <w:name w:val="Normal Indent"/>
    <w:basedOn w:val="Normal"/>
    <w:locked/>
    <w:rsid w:val="006134ED"/>
    <w:pPr>
      <w:spacing w:before="0"/>
      <w:ind w:left="284"/>
    </w:pPr>
  </w:style>
  <w:style w:type="paragraph" w:customStyle="1" w:styleId="Text2">
    <w:name w:val="Text 2"/>
    <w:basedOn w:val="Normal"/>
    <w:rsid w:val="006134ED"/>
    <w:pPr>
      <w:tabs>
        <w:tab w:val="left" w:pos="2161"/>
      </w:tabs>
      <w:overflowPunct w:val="0"/>
      <w:autoSpaceDE w:val="0"/>
      <w:autoSpaceDN w:val="0"/>
      <w:adjustRightInd w:val="0"/>
      <w:spacing w:before="0"/>
      <w:ind w:left="1077"/>
      <w:textAlignment w:val="baseline"/>
    </w:pPr>
    <w:rPr>
      <w:rFonts w:ascii="Courier" w:hAnsi="Courier"/>
    </w:rPr>
  </w:style>
  <w:style w:type="paragraph" w:customStyle="1" w:styleId="MainBullet">
    <w:name w:val="Main Bullet"/>
    <w:basedOn w:val="Normal"/>
    <w:rsid w:val="006134ED"/>
    <w:pPr>
      <w:tabs>
        <w:tab w:val="num" w:pos="768"/>
      </w:tabs>
      <w:spacing w:before="0" w:after="220"/>
      <w:ind w:left="768" w:hanging="360"/>
    </w:pPr>
  </w:style>
  <w:style w:type="paragraph" w:customStyle="1" w:styleId="tablebullet0">
    <w:name w:val="table bullet"/>
    <w:basedOn w:val="Normal"/>
    <w:rsid w:val="006134ED"/>
    <w:pPr>
      <w:tabs>
        <w:tab w:val="num" w:pos="1488"/>
      </w:tabs>
      <w:spacing w:before="0" w:after="0"/>
      <w:ind w:left="1488" w:hanging="360"/>
    </w:pPr>
  </w:style>
  <w:style w:type="paragraph" w:customStyle="1" w:styleId="xl24">
    <w:name w:val="xl24"/>
    <w:basedOn w:val="Normal"/>
    <w:rsid w:val="006134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xl25">
    <w:name w:val="xl25"/>
    <w:basedOn w:val="Normal"/>
    <w:rsid w:val="006134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Cs w:val="24"/>
    </w:rPr>
  </w:style>
  <w:style w:type="paragraph" w:customStyle="1" w:styleId="sdfootnote-western">
    <w:name w:val="sdfootnote-western"/>
    <w:basedOn w:val="Normal"/>
    <w:rsid w:val="006134ED"/>
    <w:pPr>
      <w:spacing w:before="100" w:beforeAutospacing="1" w:after="0"/>
    </w:pPr>
    <w:rPr>
      <w:rFonts w:eastAsia="Arial Unicode MS"/>
    </w:rPr>
  </w:style>
  <w:style w:type="paragraph" w:customStyle="1" w:styleId="normalcvhead3">
    <w:name w:val="normal cv head 3"/>
    <w:basedOn w:val="Normal"/>
    <w:rsid w:val="006134ED"/>
    <w:pPr>
      <w:spacing w:before="0"/>
    </w:pPr>
    <w:rPr>
      <w:b/>
      <w:i/>
    </w:rPr>
  </w:style>
  <w:style w:type="paragraph" w:customStyle="1" w:styleId="Tabletext0">
    <w:name w:val="Table text"/>
    <w:basedOn w:val="Normal"/>
    <w:rsid w:val="006134ED"/>
    <w:pPr>
      <w:tabs>
        <w:tab w:val="left" w:pos="357"/>
        <w:tab w:val="left" w:pos="720"/>
      </w:tabs>
      <w:spacing w:after="0"/>
    </w:pPr>
    <w:rPr>
      <w:rFonts w:ascii="Times New Roman" w:hAnsi="Times New Roman"/>
      <w:snapToGrid w:val="0"/>
    </w:rPr>
  </w:style>
  <w:style w:type="paragraph" w:styleId="Index2">
    <w:name w:val="index 2"/>
    <w:basedOn w:val="Normal"/>
    <w:next w:val="Normal"/>
    <w:autoRedefine/>
    <w:locked/>
    <w:rsid w:val="006134ED"/>
    <w:pPr>
      <w:spacing w:before="0"/>
      <w:ind w:left="440" w:hanging="220"/>
    </w:pPr>
  </w:style>
  <w:style w:type="paragraph" w:styleId="Index4">
    <w:name w:val="index 4"/>
    <w:basedOn w:val="Normal"/>
    <w:next w:val="Normal"/>
    <w:autoRedefine/>
    <w:locked/>
    <w:rsid w:val="006134ED"/>
    <w:pPr>
      <w:spacing w:before="0"/>
      <w:ind w:left="880" w:hanging="220"/>
    </w:pPr>
  </w:style>
  <w:style w:type="paragraph" w:styleId="Index5">
    <w:name w:val="index 5"/>
    <w:basedOn w:val="Normal"/>
    <w:next w:val="Normal"/>
    <w:autoRedefine/>
    <w:locked/>
    <w:rsid w:val="006134ED"/>
    <w:pPr>
      <w:spacing w:before="0"/>
      <w:ind w:left="1100" w:hanging="220"/>
    </w:pPr>
  </w:style>
  <w:style w:type="paragraph" w:styleId="Index6">
    <w:name w:val="index 6"/>
    <w:basedOn w:val="Normal"/>
    <w:next w:val="Normal"/>
    <w:autoRedefine/>
    <w:locked/>
    <w:rsid w:val="006134ED"/>
    <w:pPr>
      <w:spacing w:before="0"/>
      <w:ind w:left="1320" w:hanging="220"/>
    </w:pPr>
  </w:style>
  <w:style w:type="paragraph" w:styleId="Index7">
    <w:name w:val="index 7"/>
    <w:basedOn w:val="Normal"/>
    <w:next w:val="Normal"/>
    <w:autoRedefine/>
    <w:locked/>
    <w:rsid w:val="006134ED"/>
    <w:pPr>
      <w:spacing w:before="0"/>
      <w:ind w:left="1540" w:hanging="220"/>
    </w:pPr>
  </w:style>
  <w:style w:type="paragraph" w:styleId="Index8">
    <w:name w:val="index 8"/>
    <w:basedOn w:val="Normal"/>
    <w:next w:val="Normal"/>
    <w:autoRedefine/>
    <w:locked/>
    <w:rsid w:val="006134ED"/>
    <w:pPr>
      <w:spacing w:before="0"/>
      <w:ind w:left="1760" w:hanging="220"/>
    </w:pPr>
  </w:style>
  <w:style w:type="paragraph" w:styleId="Index9">
    <w:name w:val="index 9"/>
    <w:basedOn w:val="Normal"/>
    <w:next w:val="Normal"/>
    <w:autoRedefine/>
    <w:locked/>
    <w:rsid w:val="006134ED"/>
    <w:pPr>
      <w:spacing w:before="0"/>
      <w:ind w:left="1980" w:hanging="220"/>
    </w:pPr>
  </w:style>
  <w:style w:type="paragraph" w:customStyle="1" w:styleId="Asuntodelcomentario">
    <w:name w:val="Asunto del comentario"/>
    <w:basedOn w:val="CommentText"/>
    <w:next w:val="CommentText"/>
    <w:semiHidden/>
    <w:rsid w:val="006134ED"/>
    <w:pPr>
      <w:spacing w:before="0"/>
    </w:pPr>
    <w:rPr>
      <w:b/>
      <w:bCs/>
    </w:rPr>
  </w:style>
  <w:style w:type="paragraph" w:customStyle="1" w:styleId="Textodeglobo">
    <w:name w:val="Texto de globo"/>
    <w:basedOn w:val="Normal"/>
    <w:semiHidden/>
    <w:rsid w:val="006134ED"/>
    <w:pPr>
      <w:spacing w:before="0"/>
    </w:pPr>
    <w:rPr>
      <w:rFonts w:cs="Tahoma"/>
      <w:sz w:val="16"/>
      <w:szCs w:val="16"/>
    </w:rPr>
  </w:style>
  <w:style w:type="paragraph" w:customStyle="1" w:styleId="MT1">
    <w:name w:val="MT1"/>
    <w:basedOn w:val="Normal"/>
    <w:next w:val="Normal"/>
    <w:link w:val="MT1Char"/>
    <w:rsid w:val="006134ED"/>
    <w:pPr>
      <w:tabs>
        <w:tab w:val="num" w:pos="720"/>
      </w:tabs>
      <w:spacing w:before="0"/>
      <w:ind w:left="720" w:hanging="720"/>
      <w:outlineLvl w:val="0"/>
    </w:pPr>
    <w:rPr>
      <w:rFonts w:ascii="Times New Roman Bold" w:hAnsi="Times New Roman Bold"/>
      <w:b/>
      <w:caps/>
      <w:color w:val="333399"/>
      <w:sz w:val="28"/>
      <w:lang w:val="en-CA"/>
    </w:rPr>
  </w:style>
  <w:style w:type="character" w:customStyle="1" w:styleId="MT1Char">
    <w:name w:val="MT1 Char"/>
    <w:basedOn w:val="DefaultParagraphFont"/>
    <w:link w:val="MT1"/>
    <w:rsid w:val="00404056"/>
    <w:rPr>
      <w:rFonts w:ascii="Times New Roman Bold" w:eastAsia="Times New Roman" w:hAnsi="Times New Roman Bold"/>
      <w:b/>
      <w:caps/>
      <w:color w:val="333399"/>
      <w:sz w:val="28"/>
      <w:lang w:val="en-CA" w:eastAsia="en-US"/>
    </w:rPr>
  </w:style>
  <w:style w:type="paragraph" w:customStyle="1" w:styleId="MT2">
    <w:name w:val="MT2"/>
    <w:basedOn w:val="Normal"/>
    <w:rsid w:val="006134ED"/>
    <w:pPr>
      <w:tabs>
        <w:tab w:val="num" w:pos="720"/>
      </w:tabs>
      <w:spacing w:before="0"/>
      <w:ind w:left="720" w:hanging="720"/>
      <w:outlineLvl w:val="1"/>
    </w:pPr>
    <w:rPr>
      <w:rFonts w:ascii="Times New Roman" w:hAnsi="Times New Roman"/>
      <w:b/>
      <w:bCs/>
      <w:lang w:val="en-CA"/>
    </w:rPr>
  </w:style>
  <w:style w:type="paragraph" w:customStyle="1" w:styleId="MT3">
    <w:name w:val="MT3"/>
    <w:basedOn w:val="Normal"/>
    <w:rsid w:val="006134ED"/>
    <w:pPr>
      <w:tabs>
        <w:tab w:val="num" w:pos="720"/>
      </w:tabs>
      <w:spacing w:before="0"/>
      <w:ind w:left="720" w:hanging="720"/>
    </w:pPr>
    <w:rPr>
      <w:rFonts w:ascii="Times New Roman" w:hAnsi="Times New Roman"/>
      <w:lang w:val="en-CA"/>
    </w:rPr>
  </w:style>
  <w:style w:type="paragraph" w:customStyle="1" w:styleId="MT4">
    <w:name w:val="MT4"/>
    <w:basedOn w:val="Normal"/>
    <w:rsid w:val="006134ED"/>
    <w:pPr>
      <w:tabs>
        <w:tab w:val="num" w:pos="1440"/>
      </w:tabs>
      <w:spacing w:before="0"/>
      <w:ind w:left="1440" w:hanging="720"/>
    </w:pPr>
    <w:rPr>
      <w:rFonts w:ascii="Times New Roman" w:hAnsi="Times New Roman"/>
      <w:lang w:val="en-CA"/>
    </w:rPr>
  </w:style>
  <w:style w:type="paragraph" w:customStyle="1" w:styleId="MT5">
    <w:name w:val="MT5"/>
    <w:basedOn w:val="Normal"/>
    <w:rsid w:val="006134ED"/>
    <w:pPr>
      <w:tabs>
        <w:tab w:val="num" w:pos="720"/>
      </w:tabs>
      <w:spacing w:before="0"/>
      <w:ind w:left="720" w:hanging="720"/>
    </w:pPr>
    <w:rPr>
      <w:rFonts w:ascii="Times New Roman Bold" w:hAnsi="Times New Roman Bold"/>
      <w:b/>
      <w:caps/>
      <w:szCs w:val="24"/>
      <w:lang w:val="en-CA"/>
    </w:rPr>
  </w:style>
  <w:style w:type="paragraph" w:customStyle="1" w:styleId="MT6">
    <w:name w:val="MT6"/>
    <w:basedOn w:val="Normal"/>
    <w:rsid w:val="006134ED"/>
    <w:pPr>
      <w:tabs>
        <w:tab w:val="num" w:pos="720"/>
      </w:tabs>
      <w:spacing w:before="0"/>
      <w:ind w:left="720" w:hanging="720"/>
    </w:pPr>
    <w:rPr>
      <w:rFonts w:ascii="Times New Roman" w:hAnsi="Times New Roman"/>
      <w:lang w:val="en-CA"/>
    </w:rPr>
  </w:style>
  <w:style w:type="paragraph" w:customStyle="1" w:styleId="MT7">
    <w:name w:val="MT7"/>
    <w:basedOn w:val="Normal"/>
    <w:rsid w:val="006134ED"/>
    <w:pPr>
      <w:tabs>
        <w:tab w:val="num" w:pos="1440"/>
      </w:tabs>
      <w:spacing w:before="0"/>
      <w:ind w:left="1440" w:hanging="720"/>
    </w:pPr>
    <w:rPr>
      <w:rFonts w:ascii="Times New Roman" w:hAnsi="Times New Roman"/>
      <w:lang w:val="en-CA"/>
    </w:rPr>
  </w:style>
  <w:style w:type="paragraph" w:customStyle="1" w:styleId="MT8">
    <w:name w:val="MT8"/>
    <w:basedOn w:val="Normal"/>
    <w:rsid w:val="006134ED"/>
    <w:pPr>
      <w:tabs>
        <w:tab w:val="num" w:pos="4320"/>
      </w:tabs>
      <w:spacing w:before="0"/>
      <w:ind w:left="4320" w:hanging="720"/>
    </w:pPr>
    <w:rPr>
      <w:rFonts w:ascii="Times New Roman" w:hAnsi="Times New Roman"/>
      <w:lang w:val="en-CA"/>
    </w:rPr>
  </w:style>
  <w:style w:type="paragraph" w:customStyle="1" w:styleId="MT9">
    <w:name w:val="MT9"/>
    <w:basedOn w:val="Normal"/>
    <w:rsid w:val="006134ED"/>
    <w:pPr>
      <w:tabs>
        <w:tab w:val="num" w:pos="4320"/>
      </w:tabs>
      <w:spacing w:before="0"/>
      <w:ind w:left="4320" w:hanging="720"/>
    </w:pPr>
    <w:rPr>
      <w:rFonts w:ascii="Times New Roman" w:hAnsi="Times New Roman"/>
      <w:lang w:val="en-CA"/>
    </w:rPr>
  </w:style>
  <w:style w:type="paragraph" w:customStyle="1" w:styleId="SumTextBoxHead">
    <w:name w:val="Sum TextBox Head"/>
    <w:basedOn w:val="Normal"/>
    <w:link w:val="SumTextBoxHeadChar"/>
    <w:rsid w:val="000054C4"/>
    <w:pPr>
      <w:pBdr>
        <w:top w:val="single" w:sz="8" w:space="10" w:color="FFFFFF" w:themeColor="background1"/>
        <w:bottom w:val="single" w:sz="8" w:space="10" w:color="FFFFFF" w:themeColor="background1"/>
      </w:pBdr>
      <w:spacing w:before="0" w:after="0"/>
    </w:pPr>
    <w:rPr>
      <w:b/>
      <w:iCs/>
      <w:lang w:val="en-GB" w:eastAsia="en-GB"/>
    </w:rPr>
  </w:style>
  <w:style w:type="character" w:customStyle="1" w:styleId="SumTextBoxHeadChar">
    <w:name w:val="Sum TextBox Head Char"/>
    <w:basedOn w:val="DefaultParagraphFont"/>
    <w:link w:val="SumTextBoxHead"/>
    <w:rsid w:val="000054C4"/>
    <w:rPr>
      <w:rFonts w:ascii="Arial" w:eastAsiaTheme="minorEastAsia" w:hAnsi="Arial" w:cs="Arial"/>
      <w:b/>
      <w:iCs/>
      <w:sz w:val="22"/>
      <w:szCs w:val="22"/>
      <w:lang w:val="en-GB" w:eastAsia="en-GB"/>
    </w:rPr>
  </w:style>
  <w:style w:type="paragraph" w:customStyle="1" w:styleId="SumTextBoxTex">
    <w:name w:val="Sum TextBox Tex"/>
    <w:basedOn w:val="Normal"/>
    <w:link w:val="SumTextBoxTexChar"/>
    <w:rsid w:val="00BB5CA2"/>
    <w:pPr>
      <w:pBdr>
        <w:top w:val="single" w:sz="24" w:space="10" w:color="F79D9C" w:themeColor="accent3" w:themeTint="7F"/>
        <w:bottom w:val="single" w:sz="24" w:space="10" w:color="F79D9C" w:themeColor="accent3" w:themeTint="7F"/>
      </w:pBdr>
      <w:spacing w:before="40" w:after="0"/>
      <w:ind w:left="851" w:right="1131"/>
    </w:pPr>
    <w:rPr>
      <w:lang w:val="en-GB" w:eastAsia="en-GB"/>
    </w:rPr>
  </w:style>
  <w:style w:type="character" w:customStyle="1" w:styleId="SumTextBoxTexChar">
    <w:name w:val="Sum TextBox Tex Char"/>
    <w:basedOn w:val="DefaultParagraphFont"/>
    <w:link w:val="SumTextBoxTex"/>
    <w:rsid w:val="00BB5CA2"/>
    <w:rPr>
      <w:rFonts w:ascii="Arial" w:eastAsiaTheme="minorEastAsia" w:hAnsi="Arial" w:cs="Arial"/>
      <w:sz w:val="18"/>
      <w:szCs w:val="18"/>
      <w:lang w:val="en-GB" w:eastAsia="en-GB"/>
    </w:rPr>
  </w:style>
  <w:style w:type="paragraph" w:customStyle="1" w:styleId="IncyteFootnote">
    <w:name w:val="Incyte Footnote"/>
    <w:basedOn w:val="Header"/>
    <w:link w:val="IncyteFootnoteChar"/>
    <w:rsid w:val="002D26A5"/>
    <w:rPr>
      <w:b/>
      <w:bCs/>
      <w:color w:val="456E7F" w:themeColor="accent2" w:themeShade="BF"/>
      <w:sz w:val="16"/>
      <w:szCs w:val="16"/>
    </w:rPr>
  </w:style>
  <w:style w:type="character" w:customStyle="1" w:styleId="IncyteFootnoteChar">
    <w:name w:val="Incyte Footnote Char"/>
    <w:basedOn w:val="FootnoteTextChar1"/>
    <w:link w:val="IncyteFootnote"/>
    <w:rsid w:val="002D26A5"/>
    <w:rPr>
      <w:rFonts w:ascii="Garamond" w:eastAsiaTheme="minorEastAsia" w:hAnsi="Garamond" w:cs="Arial"/>
      <w:b/>
      <w:bCs/>
      <w:color w:val="456E7F" w:themeColor="accent2" w:themeShade="BF"/>
      <w:sz w:val="16"/>
      <w:szCs w:val="16"/>
      <w:lang w:val="en-US"/>
    </w:rPr>
  </w:style>
  <w:style w:type="paragraph" w:customStyle="1" w:styleId="MTBody">
    <w:name w:val="MTBody"/>
    <w:basedOn w:val="Normal"/>
    <w:link w:val="MTBodyChar"/>
    <w:rsid w:val="006241A9"/>
    <w:pPr>
      <w:spacing w:before="0"/>
    </w:pPr>
    <w:rPr>
      <w:rFonts w:ascii="Times New Roman" w:hAnsi="Times New Roman"/>
      <w:lang w:val="en-CA"/>
    </w:rPr>
  </w:style>
  <w:style w:type="character" w:customStyle="1" w:styleId="MTBodyChar">
    <w:name w:val="MTBody Char"/>
    <w:basedOn w:val="DefaultParagraphFont"/>
    <w:link w:val="MTBody"/>
    <w:rsid w:val="00404056"/>
    <w:rPr>
      <w:rFonts w:ascii="Times New Roman" w:eastAsia="Times New Roman" w:hAnsi="Times New Roman"/>
      <w:sz w:val="24"/>
      <w:lang w:val="en-CA" w:eastAsia="en-US"/>
    </w:rPr>
  </w:style>
  <w:style w:type="character" w:customStyle="1" w:styleId="mtbold">
    <w:name w:val="mtbold"/>
    <w:basedOn w:val="DefaultParagraphFont"/>
    <w:rsid w:val="006241A9"/>
    <w:rPr>
      <w:rFonts w:ascii="Times New Roman Bold" w:hAnsi="Times New Roman Bold"/>
      <w:b/>
      <w:sz w:val="24"/>
    </w:rPr>
  </w:style>
  <w:style w:type="paragraph" w:customStyle="1" w:styleId="mtbodyindentnospacing">
    <w:name w:val="mtbodyindentnospacing"/>
    <w:basedOn w:val="Normal"/>
    <w:rsid w:val="006241A9"/>
    <w:pPr>
      <w:spacing w:before="0" w:after="0"/>
      <w:ind w:left="720"/>
    </w:pPr>
    <w:rPr>
      <w:rFonts w:ascii="Times New Roman" w:hAnsi="Times New Roman"/>
      <w:lang w:val="en-CA"/>
    </w:rPr>
  </w:style>
  <w:style w:type="paragraph" w:customStyle="1" w:styleId="mtlistnoindent">
    <w:name w:val="mtlistnoindent"/>
    <w:basedOn w:val="MTBody"/>
    <w:link w:val="mtlistnoindentChar"/>
    <w:uiPriority w:val="99"/>
    <w:rsid w:val="006241A9"/>
    <w:pPr>
      <w:numPr>
        <w:numId w:val="3"/>
      </w:numPr>
    </w:pPr>
  </w:style>
  <w:style w:type="character" w:customStyle="1" w:styleId="mtlistnoindentChar">
    <w:name w:val="mtlistnoindent Char"/>
    <w:basedOn w:val="DefaultParagraphFont"/>
    <w:link w:val="mtlistnoindent"/>
    <w:uiPriority w:val="99"/>
    <w:rsid w:val="006241A9"/>
    <w:rPr>
      <w:rFonts w:ascii="Times New Roman" w:eastAsiaTheme="minorEastAsia" w:hAnsi="Times New Roman" w:cs="Arial"/>
      <w:sz w:val="22"/>
      <w:szCs w:val="22"/>
      <w:lang w:val="en-CA"/>
    </w:rPr>
  </w:style>
  <w:style w:type="character" w:customStyle="1" w:styleId="MTBold0">
    <w:name w:val="MTBold"/>
    <w:basedOn w:val="DefaultParagraphFont"/>
    <w:rsid w:val="006241A9"/>
    <w:rPr>
      <w:rFonts w:ascii="Times New Roman" w:hAnsi="Times New Roman"/>
      <w:b/>
      <w:sz w:val="24"/>
    </w:rPr>
  </w:style>
  <w:style w:type="character" w:customStyle="1" w:styleId="MTItalic">
    <w:name w:val="MTItalic"/>
    <w:basedOn w:val="DefaultParagraphFont"/>
    <w:rsid w:val="006241A9"/>
    <w:rPr>
      <w:rFonts w:ascii="Times New Roman" w:hAnsi="Times New Roman"/>
      <w:i/>
      <w:sz w:val="24"/>
    </w:rPr>
  </w:style>
  <w:style w:type="paragraph" w:customStyle="1" w:styleId="TableTxt">
    <w:name w:val="TableTxt"/>
    <w:basedOn w:val="BodyText"/>
    <w:rsid w:val="00624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pPr>
    <w:rPr>
      <w:rFonts w:ascii="Times New Roman" w:hAnsi="Times New Roman"/>
      <w:b/>
      <w:snapToGrid w:val="0"/>
    </w:rPr>
  </w:style>
  <w:style w:type="character" w:customStyle="1" w:styleId="tablessuperscript">
    <w:name w:val="tablessuperscript"/>
    <w:basedOn w:val="DefaultParagraphFont"/>
    <w:rsid w:val="00404056"/>
    <w:rPr>
      <w:dstrike w:val="0"/>
      <w:sz w:val="22"/>
      <w:vertAlign w:val="superscript"/>
    </w:rPr>
  </w:style>
  <w:style w:type="paragraph" w:customStyle="1" w:styleId="TablesCharChar">
    <w:name w:val="Tables Char Char"/>
    <w:basedOn w:val="Normal"/>
    <w:link w:val="TablesCharCharChar"/>
    <w:rsid w:val="00404056"/>
    <w:pPr>
      <w:widowControl w:val="0"/>
      <w:spacing w:before="0"/>
    </w:pPr>
    <w:rPr>
      <w:rFonts w:ascii="Times New Roman" w:eastAsia="MS Mincho" w:hAnsi="Times New Roman"/>
      <w:lang w:val="en-CA"/>
    </w:rPr>
  </w:style>
  <w:style w:type="character" w:customStyle="1" w:styleId="TablesCharCharChar">
    <w:name w:val="Tables Char Char Char"/>
    <w:basedOn w:val="DefaultParagraphFont"/>
    <w:link w:val="TablesCharChar"/>
    <w:rsid w:val="00404056"/>
    <w:rPr>
      <w:rFonts w:ascii="Times New Roman" w:eastAsia="MS Mincho" w:hAnsi="Times New Roman"/>
      <w:lang w:val="en-CA" w:eastAsia="en-US"/>
    </w:rPr>
  </w:style>
  <w:style w:type="paragraph" w:customStyle="1" w:styleId="Tables">
    <w:name w:val="Tables"/>
    <w:basedOn w:val="Normal"/>
    <w:link w:val="TablesChar"/>
    <w:rsid w:val="00404056"/>
    <w:pPr>
      <w:spacing w:before="0"/>
    </w:pPr>
    <w:rPr>
      <w:rFonts w:ascii="Times New Roman" w:eastAsia="MS Mincho" w:hAnsi="Times New Roman"/>
      <w:lang w:val="en-CA"/>
    </w:rPr>
  </w:style>
  <w:style w:type="character" w:customStyle="1" w:styleId="TablesChar">
    <w:name w:val="Tables Char"/>
    <w:basedOn w:val="DefaultParagraphFont"/>
    <w:link w:val="Tables"/>
    <w:rsid w:val="00404056"/>
    <w:rPr>
      <w:rFonts w:ascii="Times New Roman" w:eastAsia="MS Mincho" w:hAnsi="Times New Roman"/>
      <w:lang w:val="en-CA" w:eastAsia="en-US"/>
    </w:rPr>
  </w:style>
  <w:style w:type="paragraph" w:customStyle="1" w:styleId="TablesCharCharCharChar">
    <w:name w:val="Tables Char Char Char Char"/>
    <w:basedOn w:val="Normal"/>
    <w:link w:val="TablesCharCharCharCharChar"/>
    <w:rsid w:val="00404056"/>
    <w:pPr>
      <w:spacing w:before="0"/>
    </w:pPr>
    <w:rPr>
      <w:rFonts w:ascii="Times New Roman" w:eastAsia="MS Mincho" w:hAnsi="Times New Roman"/>
      <w:lang w:val="en-CA"/>
    </w:rPr>
  </w:style>
  <w:style w:type="character" w:customStyle="1" w:styleId="TablesCharCharCharCharChar">
    <w:name w:val="Tables Char Char Char Char Char"/>
    <w:basedOn w:val="DefaultParagraphFont"/>
    <w:link w:val="TablesCharCharCharChar"/>
    <w:rsid w:val="00404056"/>
    <w:rPr>
      <w:rFonts w:ascii="Times New Roman" w:eastAsia="MS Mincho" w:hAnsi="Times New Roman"/>
      <w:lang w:val="en-CA" w:eastAsia="en-US"/>
    </w:rPr>
  </w:style>
  <w:style w:type="paragraph" w:customStyle="1" w:styleId="Cover3">
    <w:name w:val="Cover3"/>
    <w:basedOn w:val="Normal"/>
    <w:link w:val="Cover3Char"/>
    <w:rsid w:val="0014742E"/>
    <w:pPr>
      <w:spacing w:before="0" w:after="0"/>
      <w:ind w:left="360"/>
    </w:pPr>
    <w:rPr>
      <w:rFonts w:ascii="Trebuchet MS" w:hAnsi="Trebuchet MS"/>
      <w:b/>
      <w:color w:val="5F93A8"/>
      <w:szCs w:val="24"/>
    </w:rPr>
  </w:style>
  <w:style w:type="character" w:customStyle="1" w:styleId="Cover3Char">
    <w:name w:val="Cover3 Char"/>
    <w:basedOn w:val="DefaultParagraphFont"/>
    <w:link w:val="Cover3"/>
    <w:rsid w:val="0014742E"/>
    <w:rPr>
      <w:rFonts w:ascii="Trebuchet MS" w:eastAsia="Times New Roman" w:hAnsi="Trebuchet MS"/>
      <w:b/>
      <w:color w:val="5F93A8"/>
      <w:sz w:val="22"/>
      <w:szCs w:val="24"/>
      <w:lang w:val="en-GB" w:eastAsia="en-GB"/>
    </w:rPr>
  </w:style>
  <w:style w:type="paragraph" w:customStyle="1" w:styleId="14Coverdate">
    <w:name w:val="1.4 Cover date"/>
    <w:basedOn w:val="Normal"/>
    <w:link w:val="14CoverdateChar"/>
    <w:autoRedefine/>
    <w:rsid w:val="0069327C"/>
    <w:pPr>
      <w:spacing w:after="100" w:afterAutospacing="1"/>
      <w:jc w:val="right"/>
    </w:pPr>
    <w:rPr>
      <w:rFonts w:ascii="Liberation Sans" w:hAnsi="Liberation Sans"/>
      <w:color w:val="002D62"/>
      <w:sz w:val="28"/>
      <w:szCs w:val="28"/>
    </w:rPr>
  </w:style>
  <w:style w:type="character" w:customStyle="1" w:styleId="14CoverdateChar">
    <w:name w:val="1.4 Cover date Char"/>
    <w:basedOn w:val="DefaultParagraphFont"/>
    <w:link w:val="14Coverdate"/>
    <w:rsid w:val="0069327C"/>
    <w:rPr>
      <w:rFonts w:ascii="Liberation Sans" w:eastAsia="Times New Roman" w:hAnsi="Liberation Sans"/>
      <w:color w:val="002D62"/>
      <w:sz w:val="28"/>
      <w:szCs w:val="28"/>
      <w:lang w:val="en-GB" w:eastAsia="en-GB"/>
    </w:rPr>
  </w:style>
  <w:style w:type="paragraph" w:customStyle="1" w:styleId="15Coverassociation">
    <w:name w:val="1.5 Cover association"/>
    <w:basedOn w:val="Normal"/>
    <w:link w:val="15CoverassociationChar"/>
    <w:autoRedefine/>
    <w:rsid w:val="008669A7"/>
    <w:pPr>
      <w:spacing w:before="60" w:after="0"/>
    </w:pPr>
    <w:rPr>
      <w:rFonts w:ascii="Liberation Sans" w:hAnsi="Liberation Sans"/>
      <w:b/>
      <w:color w:val="002D62"/>
      <w:sz w:val="36"/>
      <w:szCs w:val="36"/>
    </w:rPr>
  </w:style>
  <w:style w:type="character" w:customStyle="1" w:styleId="15CoverassociationChar">
    <w:name w:val="1.5 Cover association Char"/>
    <w:basedOn w:val="DefaultParagraphFont"/>
    <w:link w:val="15Coverassociation"/>
    <w:rsid w:val="008669A7"/>
    <w:rPr>
      <w:rFonts w:ascii="Liberation Sans" w:eastAsia="Times New Roman" w:hAnsi="Liberation Sans"/>
      <w:b/>
      <w:color w:val="002D62"/>
      <w:sz w:val="36"/>
      <w:szCs w:val="36"/>
      <w:lang w:val="en-GB" w:eastAsia="en-GB"/>
    </w:rPr>
  </w:style>
  <w:style w:type="table" w:styleId="LightShading-Accent1">
    <w:name w:val="Light Shading Accent 1"/>
    <w:basedOn w:val="TableNormal"/>
    <w:uiPriority w:val="60"/>
    <w:rsid w:val="003306EF"/>
    <w:rPr>
      <w:rFonts w:asciiTheme="minorHAnsi" w:eastAsiaTheme="minorEastAsia" w:hAnsiTheme="minorHAnsi" w:cstheme="minorBidi"/>
      <w:color w:val="002149" w:themeColor="accent1" w:themeShade="BF"/>
      <w:sz w:val="22"/>
      <w:szCs w:val="22"/>
      <w:lang w:val="en-US" w:eastAsia="zh-TW"/>
    </w:rPr>
    <w:tblPr>
      <w:tblStyleRowBandSize w:val="1"/>
      <w:tblStyleColBandSize w:val="1"/>
      <w:tblBorders>
        <w:top w:val="single" w:sz="8" w:space="0" w:color="002D62" w:themeColor="accent1"/>
        <w:bottom w:val="single" w:sz="8" w:space="0" w:color="002D62" w:themeColor="accent1"/>
      </w:tblBorders>
    </w:tblPr>
    <w:tblStylePr w:type="firstRow">
      <w:pPr>
        <w:spacing w:before="0" w:after="0" w:line="240" w:lineRule="auto"/>
      </w:pPr>
      <w:rPr>
        <w:b/>
        <w:bCs/>
      </w:rPr>
      <w:tblPr/>
      <w:tcPr>
        <w:tcBorders>
          <w:top w:val="single" w:sz="8" w:space="0" w:color="002D62" w:themeColor="accent1"/>
          <w:left w:val="nil"/>
          <w:bottom w:val="single" w:sz="8" w:space="0" w:color="002D62" w:themeColor="accent1"/>
          <w:right w:val="nil"/>
          <w:insideH w:val="nil"/>
          <w:insideV w:val="nil"/>
        </w:tcBorders>
      </w:tcPr>
    </w:tblStylePr>
    <w:tblStylePr w:type="lastRow">
      <w:pPr>
        <w:spacing w:before="0" w:after="0" w:line="240" w:lineRule="auto"/>
      </w:pPr>
      <w:rPr>
        <w:b/>
        <w:bCs/>
      </w:rPr>
      <w:tblPr/>
      <w:tcPr>
        <w:tcBorders>
          <w:top w:val="single" w:sz="8" w:space="0" w:color="002D62" w:themeColor="accent1"/>
          <w:left w:val="nil"/>
          <w:bottom w:val="single" w:sz="8" w:space="0" w:color="002D6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7FF" w:themeFill="accent1" w:themeFillTint="3F"/>
      </w:tcPr>
    </w:tblStylePr>
    <w:tblStylePr w:type="band1Horz">
      <w:tblPr/>
      <w:tcPr>
        <w:tcBorders>
          <w:left w:val="nil"/>
          <w:right w:val="nil"/>
          <w:insideH w:val="nil"/>
          <w:insideV w:val="nil"/>
        </w:tcBorders>
        <w:shd w:val="clear" w:color="auto" w:fill="99C7FF" w:themeFill="accent1" w:themeFillTint="3F"/>
      </w:tcPr>
    </w:tblStylePr>
  </w:style>
  <w:style w:type="paragraph" w:customStyle="1" w:styleId="Normala">
    <w:name w:val="Normal(a)"/>
    <w:basedOn w:val="Normal"/>
    <w:rsid w:val="00486845"/>
    <w:pPr>
      <w:keepLines/>
      <w:tabs>
        <w:tab w:val="left" w:pos="1418"/>
        <w:tab w:val="num" w:pos="1712"/>
      </w:tabs>
      <w:spacing w:before="0"/>
      <w:ind w:left="1418" w:hanging="426"/>
    </w:pPr>
    <w:rPr>
      <w:rFonts w:ascii="Times New Roman" w:hAnsi="Times New Roman"/>
    </w:rPr>
  </w:style>
  <w:style w:type="paragraph" w:customStyle="1" w:styleId="BodyText20">
    <w:name w:val="Body Text2"/>
    <w:basedOn w:val="Normal"/>
    <w:uiPriority w:val="99"/>
    <w:rsid w:val="006F7B49"/>
    <w:pPr>
      <w:spacing w:before="0" w:after="0" w:line="240" w:lineRule="exact"/>
    </w:pPr>
    <w:rPr>
      <w:rFonts w:eastAsia="Calibri"/>
      <w:color w:val="000000"/>
      <w:sz w:val="17"/>
      <w:szCs w:val="17"/>
    </w:rPr>
  </w:style>
  <w:style w:type="paragraph" w:customStyle="1" w:styleId="Title3">
    <w:name w:val="Title3"/>
    <w:basedOn w:val="Normal"/>
    <w:uiPriority w:val="99"/>
    <w:rsid w:val="006F7B49"/>
    <w:pPr>
      <w:spacing w:before="2160" w:line="520" w:lineRule="exact"/>
    </w:pPr>
    <w:rPr>
      <w:rFonts w:ascii="Verdana" w:eastAsia="Calibri" w:hAnsi="Verdana"/>
      <w:b/>
      <w:sz w:val="48"/>
      <w:lang w:bidi="he-IL"/>
    </w:rPr>
  </w:style>
  <w:style w:type="paragraph" w:customStyle="1" w:styleId="Subtitle2">
    <w:name w:val="Subtitle2"/>
    <w:basedOn w:val="Title3"/>
    <w:uiPriority w:val="99"/>
    <w:rsid w:val="006F7B49"/>
    <w:pPr>
      <w:spacing w:before="0" w:after="0"/>
    </w:pPr>
    <w:rPr>
      <w:rFonts w:ascii="Helvetica" w:hAnsi="Helvetica"/>
      <w:bCs/>
      <w:sz w:val="32"/>
      <w:szCs w:val="32"/>
    </w:rPr>
  </w:style>
  <w:style w:type="paragraph" w:customStyle="1" w:styleId="TableText">
    <w:name w:val="Table Text"/>
    <w:basedOn w:val="Normal"/>
    <w:rsid w:val="006F7B49"/>
    <w:pPr>
      <w:keepLines/>
      <w:numPr>
        <w:numId w:val="4"/>
      </w:numPr>
      <w:tabs>
        <w:tab w:val="clear" w:pos="360"/>
      </w:tabs>
      <w:suppressAutoHyphens/>
      <w:ind w:left="0" w:firstLine="0"/>
    </w:pPr>
    <w:rPr>
      <w:snapToGrid w:val="0"/>
      <w:lang w:val="en-NZ"/>
    </w:rPr>
  </w:style>
  <w:style w:type="paragraph" w:customStyle="1" w:styleId="mtlistbullet">
    <w:name w:val="mtlistbullet"/>
    <w:basedOn w:val="Normal"/>
    <w:rsid w:val="006F7B49"/>
    <w:pPr>
      <w:numPr>
        <w:numId w:val="5"/>
      </w:numPr>
      <w:spacing w:before="0"/>
    </w:pPr>
    <w:rPr>
      <w:rFonts w:ascii="Times New Roman" w:eastAsia="MS Mincho" w:hAnsi="Times New Roman"/>
      <w:lang w:val="en-CA"/>
    </w:rPr>
  </w:style>
  <w:style w:type="paragraph" w:customStyle="1" w:styleId="MTBodyInd">
    <w:name w:val="MTBodyInd"/>
    <w:basedOn w:val="Normal"/>
    <w:rsid w:val="006F7B49"/>
    <w:pPr>
      <w:spacing w:before="0"/>
      <w:ind w:left="720"/>
    </w:pPr>
    <w:rPr>
      <w:rFonts w:ascii="Times New Roman" w:eastAsia="MS Mincho" w:hAnsi="Times New Roman"/>
      <w:lang w:val="en-CA"/>
    </w:rPr>
  </w:style>
  <w:style w:type="paragraph" w:styleId="Title">
    <w:name w:val="Title"/>
    <w:basedOn w:val="Normal"/>
    <w:next w:val="Normal"/>
    <w:link w:val="TitleChar"/>
    <w:uiPriority w:val="99"/>
    <w:locked/>
    <w:rsid w:val="000054C4"/>
    <w:pPr>
      <w:jc w:val="right"/>
    </w:pPr>
    <w:rPr>
      <w:rFonts w:ascii="Trebuchet MS" w:hAnsi="Trebuchet MS"/>
      <w:b/>
      <w:color w:val="002D62" w:themeColor="accent1"/>
      <w:sz w:val="68"/>
      <w:szCs w:val="68"/>
      <w:lang w:val="en-GB" w:eastAsia="en-GB"/>
    </w:rPr>
  </w:style>
  <w:style w:type="character" w:customStyle="1" w:styleId="TitleChar">
    <w:name w:val="Title Char"/>
    <w:basedOn w:val="DefaultParagraphFont"/>
    <w:link w:val="Title"/>
    <w:uiPriority w:val="99"/>
    <w:rsid w:val="000054C4"/>
    <w:rPr>
      <w:rFonts w:ascii="Trebuchet MS" w:eastAsiaTheme="minorEastAsia" w:hAnsi="Trebuchet MS" w:cs="Arial"/>
      <w:b/>
      <w:color w:val="002D62" w:themeColor="accent1"/>
      <w:sz w:val="68"/>
      <w:szCs w:val="68"/>
      <w:lang w:val="en-GB" w:eastAsia="en-GB"/>
    </w:rPr>
  </w:style>
  <w:style w:type="paragraph" w:styleId="Header">
    <w:name w:val="header"/>
    <w:basedOn w:val="Normal"/>
    <w:link w:val="HeaderChar"/>
    <w:unhideWhenUsed/>
    <w:locked/>
    <w:rsid w:val="000054C4"/>
    <w:pPr>
      <w:tabs>
        <w:tab w:val="center" w:pos="4320"/>
        <w:tab w:val="right" w:pos="8640"/>
      </w:tabs>
      <w:spacing w:before="0" w:after="0"/>
    </w:pPr>
  </w:style>
  <w:style w:type="character" w:customStyle="1" w:styleId="HeaderChar">
    <w:name w:val="Header Char"/>
    <w:basedOn w:val="DefaultParagraphFont"/>
    <w:link w:val="Header"/>
    <w:rsid w:val="000054C4"/>
    <w:rPr>
      <w:rFonts w:ascii="Arial" w:eastAsiaTheme="minorEastAsia" w:hAnsi="Arial" w:cs="Arial"/>
      <w:sz w:val="18"/>
      <w:szCs w:val="18"/>
      <w:lang w:val="en-US" w:eastAsia="en-US"/>
    </w:rPr>
  </w:style>
  <w:style w:type="paragraph" w:styleId="NoSpacing">
    <w:name w:val="No Spacing"/>
    <w:basedOn w:val="Normal"/>
    <w:link w:val="NoSpacingChar"/>
    <w:uiPriority w:val="1"/>
    <w:rsid w:val="000054C4"/>
    <w:pPr>
      <w:spacing w:after="0"/>
    </w:pPr>
  </w:style>
  <w:style w:type="character" w:customStyle="1" w:styleId="NoSpacingChar">
    <w:name w:val="No Spacing Char"/>
    <w:basedOn w:val="DefaultParagraphFont"/>
    <w:link w:val="NoSpacing"/>
    <w:uiPriority w:val="99"/>
    <w:rsid w:val="000054C4"/>
  </w:style>
  <w:style w:type="character" w:styleId="SubtleEmphasis">
    <w:name w:val="Subtle Emphasis"/>
    <w:uiPriority w:val="19"/>
    <w:rsid w:val="000054C4"/>
    <w:rPr>
      <w:i/>
    </w:rPr>
  </w:style>
  <w:style w:type="character" w:styleId="IntenseEmphasis">
    <w:name w:val="Intense Emphasis"/>
    <w:uiPriority w:val="21"/>
    <w:rsid w:val="000054C4"/>
    <w:rPr>
      <w:b/>
      <w:i/>
      <w:color w:val="5F93A8" w:themeColor="accent2"/>
      <w:spacing w:val="10"/>
    </w:rPr>
  </w:style>
  <w:style w:type="character" w:styleId="BookTitle">
    <w:name w:val="Book Title"/>
    <w:uiPriority w:val="33"/>
    <w:rsid w:val="000054C4"/>
    <w:rPr>
      <w:rFonts w:asciiTheme="majorHAnsi" w:eastAsiaTheme="majorEastAsia" w:hAnsiTheme="majorHAnsi" w:cstheme="majorBidi"/>
      <w:i/>
      <w:iCs/>
      <w:sz w:val="20"/>
      <w:szCs w:val="20"/>
    </w:rPr>
  </w:style>
  <w:style w:type="paragraph" w:customStyle="1" w:styleId="Heading3incyte">
    <w:name w:val="Heading 3 (incyte)"/>
    <w:basedOn w:val="Heading3"/>
    <w:next w:val="Normal"/>
    <w:qFormat/>
    <w:rsid w:val="00CA6FE9"/>
    <w:rPr>
      <w:sz w:val="24"/>
      <w:szCs w:val="24"/>
    </w:rPr>
  </w:style>
  <w:style w:type="paragraph" w:customStyle="1" w:styleId="Heading50">
    <w:name w:val="Heading5"/>
    <w:basedOn w:val="Heading4"/>
    <w:rsid w:val="009F659C"/>
    <w:rPr>
      <w:i/>
      <w:color w:val="auto"/>
      <w:sz w:val="18"/>
      <w:szCs w:val="18"/>
    </w:rPr>
  </w:style>
  <w:style w:type="paragraph" w:customStyle="1" w:styleId="broodtekst">
    <w:name w:val="broodtekst"/>
    <w:basedOn w:val="Normal"/>
    <w:link w:val="broodtekstChar"/>
    <w:uiPriority w:val="99"/>
    <w:rsid w:val="005A2F33"/>
    <w:pPr>
      <w:spacing w:before="0" w:after="0" w:line="280" w:lineRule="atLeast"/>
    </w:pPr>
    <w:rPr>
      <w:rFonts w:eastAsia="Times New Roman" w:cs="Times New Roman"/>
      <w:szCs w:val="24"/>
      <w:lang w:val="en-GB" w:eastAsia="nl-NL"/>
    </w:rPr>
  </w:style>
  <w:style w:type="character" w:customStyle="1" w:styleId="broodtekstChar">
    <w:name w:val="broodtekst Char"/>
    <w:link w:val="broodtekst"/>
    <w:uiPriority w:val="99"/>
    <w:rsid w:val="005A2F33"/>
    <w:rPr>
      <w:rFonts w:ascii="Arial" w:eastAsia="Times New Roman" w:hAnsi="Arial"/>
      <w:sz w:val="18"/>
      <w:szCs w:val="24"/>
      <w:lang w:val="en-GB" w:eastAsia="nl-NL"/>
    </w:rPr>
  </w:style>
  <w:style w:type="paragraph" w:customStyle="1" w:styleId="CharChar3CharCharCharChar21">
    <w:name w:val="Char Char3 Char Char Char Char21"/>
    <w:basedOn w:val="Normal"/>
    <w:uiPriority w:val="99"/>
    <w:rsid w:val="004819DF"/>
    <w:pPr>
      <w:spacing w:before="60" w:after="160" w:line="240" w:lineRule="exact"/>
    </w:pPr>
    <w:rPr>
      <w:rFonts w:ascii="Verdana" w:eastAsia="Times New Roman" w:hAnsi="Verdana" w:cs="Verdana"/>
      <w:color w:val="000000"/>
    </w:rPr>
  </w:style>
  <w:style w:type="paragraph" w:customStyle="1" w:styleId="DMSLINEX2">
    <w:name w:val="DMSLINEX2"/>
    <w:basedOn w:val="Normal"/>
    <w:rsid w:val="006516B5"/>
    <w:pPr>
      <w:spacing w:before="0" w:after="0" w:line="480" w:lineRule="auto"/>
    </w:pPr>
    <w:rPr>
      <w:rFonts w:eastAsia="Times New Roman" w:cs="Times New Roman"/>
      <w:lang w:val="en-ZA"/>
    </w:rPr>
  </w:style>
  <w:style w:type="paragraph" w:customStyle="1" w:styleId="GVICCVText">
    <w:name w:val="GVIC CV Text"/>
    <w:basedOn w:val="BodyText"/>
    <w:link w:val="GVICCVTextChar"/>
    <w:rsid w:val="009442BB"/>
    <w:pPr>
      <w:spacing w:before="0" w:after="0" w:line="240" w:lineRule="atLeast"/>
    </w:pPr>
    <w:rPr>
      <w:rFonts w:ascii="Calibri" w:eastAsia="Calibri" w:hAnsi="Calibri" w:cs="Times New Roman"/>
      <w:lang w:val="en-GB" w:eastAsia="en-GB"/>
    </w:rPr>
  </w:style>
  <w:style w:type="character" w:customStyle="1" w:styleId="GVICCVTextChar">
    <w:name w:val="GVIC CV Text Char"/>
    <w:link w:val="GVICCVText"/>
    <w:rsid w:val="009442BB"/>
    <w:rPr>
      <w:sz w:val="22"/>
      <w:lang w:val="en-GB" w:eastAsia="en-GB"/>
    </w:rPr>
  </w:style>
  <w:style w:type="paragraph" w:customStyle="1" w:styleId="CVtext0">
    <w:name w:val=".CV text"/>
    <w:basedOn w:val="BodyText"/>
    <w:link w:val="CVtextChar0"/>
    <w:rsid w:val="006B3F00"/>
    <w:pPr>
      <w:spacing w:before="240" w:after="240" w:line="288" w:lineRule="auto"/>
    </w:pPr>
    <w:rPr>
      <w:rFonts w:eastAsia="Times New Roman" w:cs="Times New Roman"/>
      <w:szCs w:val="24"/>
      <w:lang w:val="en-GB" w:eastAsia="en-GB"/>
    </w:rPr>
  </w:style>
  <w:style w:type="character" w:customStyle="1" w:styleId="CVtextChar0">
    <w:name w:val=".CV text Char"/>
    <w:basedOn w:val="BodyTextChar"/>
    <w:link w:val="CVtext0"/>
    <w:rsid w:val="006B3F00"/>
    <w:rPr>
      <w:rFonts w:ascii="Arial" w:eastAsia="Times New Roman" w:hAnsi="Arial" w:cs="Times New Roman"/>
      <w:sz w:val="24"/>
      <w:szCs w:val="24"/>
      <w:lang w:val="en-GB" w:eastAsia="en-GB"/>
    </w:rPr>
  </w:style>
  <w:style w:type="paragraph" w:customStyle="1" w:styleId="CVHeading0">
    <w:name w:val=".CV Heading"/>
    <w:basedOn w:val="CVtext0"/>
    <w:link w:val="CVHeadingChar0"/>
    <w:rsid w:val="006B3F00"/>
    <w:rPr>
      <w:b/>
    </w:rPr>
  </w:style>
  <w:style w:type="character" w:customStyle="1" w:styleId="CVHeadingChar0">
    <w:name w:val=".CV Heading Char"/>
    <w:basedOn w:val="CVtextChar0"/>
    <w:link w:val="CVHeading0"/>
    <w:rsid w:val="006B3F00"/>
    <w:rPr>
      <w:rFonts w:ascii="Arial" w:eastAsia="Times New Roman" w:hAnsi="Arial" w:cs="Times New Roman"/>
      <w:b/>
      <w:sz w:val="24"/>
      <w:szCs w:val="24"/>
      <w:lang w:val="en-GB" w:eastAsia="en-GB"/>
    </w:rPr>
  </w:style>
  <w:style w:type="paragraph" w:customStyle="1" w:styleId="CVboxtext0">
    <w:name w:val=".CV box text"/>
    <w:basedOn w:val="CVtext0"/>
    <w:link w:val="CVboxtextChar0"/>
    <w:rsid w:val="006B3F00"/>
    <w:pPr>
      <w:spacing w:before="60" w:after="60"/>
      <w:ind w:left="153" w:hanging="10"/>
    </w:pPr>
  </w:style>
  <w:style w:type="character" w:customStyle="1" w:styleId="CVboxtextChar0">
    <w:name w:val=".CV box text Char"/>
    <w:basedOn w:val="CVtextChar0"/>
    <w:link w:val="CVboxtext0"/>
    <w:rsid w:val="006B3F00"/>
    <w:rPr>
      <w:rFonts w:ascii="Arial" w:eastAsia="Times New Roman" w:hAnsi="Arial" w:cs="Times New Roman"/>
      <w:sz w:val="24"/>
      <w:szCs w:val="24"/>
      <w:lang w:val="en-GB" w:eastAsia="en-GB"/>
    </w:rPr>
  </w:style>
  <w:style w:type="paragraph" w:customStyle="1" w:styleId="SectionTitle">
    <w:name w:val="Section Title"/>
    <w:basedOn w:val="Normal"/>
    <w:next w:val="Normal"/>
    <w:rsid w:val="008655B8"/>
    <w:pPr>
      <w:spacing w:before="240"/>
    </w:pPr>
    <w:rPr>
      <w:rFonts w:eastAsia="Times New Roman" w:cs="Times New Roman"/>
      <w:u w:val="single"/>
      <w:lang w:val="en-GB" w:eastAsia="en-GB"/>
    </w:rPr>
  </w:style>
  <w:style w:type="table" w:customStyle="1" w:styleId="LightList1">
    <w:name w:val="Light List1"/>
    <w:basedOn w:val="TableNormal"/>
    <w:uiPriority w:val="61"/>
    <w:rsid w:val="0070382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verPageFooter">
    <w:name w:val="Cover Page Footer"/>
    <w:basedOn w:val="Footer"/>
    <w:rsid w:val="00394E89"/>
    <w:pPr>
      <w:tabs>
        <w:tab w:val="clear" w:pos="4513"/>
        <w:tab w:val="clear" w:pos="9026"/>
        <w:tab w:val="center" w:pos="4153"/>
        <w:tab w:val="right" w:pos="8306"/>
      </w:tabs>
      <w:spacing w:before="160" w:after="0" w:line="260" w:lineRule="exact"/>
      <w:jc w:val="center"/>
    </w:pPr>
    <w:rPr>
      <w:rFonts w:ascii="Verdana" w:eastAsia="Times New Roman" w:hAnsi="Verdana" w:cs="Times New Roman"/>
      <w:lang w:val="en-GB" w:eastAsia="en-GB"/>
    </w:rPr>
  </w:style>
  <w:style w:type="character" w:customStyle="1" w:styleId="BookTitle1">
    <w:name w:val="Book Title1"/>
    <w:aliases w:val="Page No."/>
    <w:uiPriority w:val="33"/>
    <w:rsid w:val="00394E89"/>
    <w:rPr>
      <w:sz w:val="32"/>
      <w:szCs w:val="32"/>
    </w:rPr>
  </w:style>
  <w:style w:type="paragraph" w:customStyle="1" w:styleId="Paragraphpresentation">
    <w:name w:val="Paragraph presentation"/>
    <w:basedOn w:val="Normal"/>
    <w:link w:val="ParagraphpresentationChar"/>
    <w:rsid w:val="00394E89"/>
    <w:pPr>
      <w:spacing w:before="0" w:after="240" w:line="260" w:lineRule="atLeast"/>
    </w:pPr>
    <w:rPr>
      <w:rFonts w:ascii="Trebuchet MS" w:eastAsia="Times New Roman" w:hAnsi="Trebuchet MS" w:cs="Times New Roman"/>
      <w:szCs w:val="24"/>
      <w:lang w:val="en-CA"/>
    </w:rPr>
  </w:style>
  <w:style w:type="character" w:customStyle="1" w:styleId="ParagraphpresentationChar">
    <w:name w:val="Paragraph presentation Char"/>
    <w:basedOn w:val="DefaultParagraphFont"/>
    <w:link w:val="Paragraphpresentation"/>
    <w:rsid w:val="00394E89"/>
    <w:rPr>
      <w:rFonts w:ascii="Trebuchet MS" w:eastAsia="Times New Roman" w:hAnsi="Trebuchet MS"/>
      <w:sz w:val="24"/>
      <w:szCs w:val="24"/>
      <w:lang w:val="en-CA" w:eastAsia="en-US"/>
    </w:rPr>
  </w:style>
  <w:style w:type="paragraph" w:customStyle="1" w:styleId="a">
    <w:name w:val="표준 (웹)"/>
    <w:basedOn w:val="Normal"/>
    <w:rsid w:val="00394E89"/>
    <w:pPr>
      <w:spacing w:before="100" w:beforeAutospacing="1" w:after="100" w:afterAutospacing="1"/>
    </w:pPr>
    <w:rPr>
      <w:rFonts w:ascii="Verdana" w:eastAsia="Batang" w:hAnsi="Verdana" w:cs="Times New Roman"/>
      <w:color w:val="666666"/>
      <w:sz w:val="17"/>
      <w:szCs w:val="17"/>
      <w:lang w:eastAsia="ko-KR"/>
    </w:rPr>
  </w:style>
  <w:style w:type="paragraph" w:customStyle="1" w:styleId="BodyText30">
    <w:name w:val="Body Text3"/>
    <w:basedOn w:val="Normal"/>
    <w:rsid w:val="006D60A5"/>
    <w:pPr>
      <w:spacing w:before="0" w:after="0" w:line="240" w:lineRule="exact"/>
    </w:pPr>
    <w:rPr>
      <w:rFonts w:eastAsia="Times New Roman" w:cs="Times New Roman"/>
      <w:color w:val="000000"/>
      <w:sz w:val="17"/>
      <w:szCs w:val="17"/>
      <w:lang w:val="en-GB" w:eastAsia="en-GB"/>
    </w:rPr>
  </w:style>
  <w:style w:type="paragraph" w:customStyle="1" w:styleId="Hyperlink">
    <w:name w:val=".Hyperlink"/>
    <w:basedOn w:val="CVboxtext0"/>
    <w:rsid w:val="00E02295"/>
    <w:pPr>
      <w:numPr>
        <w:numId w:val="6"/>
      </w:numPr>
      <w:spacing w:before="120" w:after="120"/>
    </w:pPr>
    <w:rPr>
      <w:sz w:val="18"/>
      <w:szCs w:val="18"/>
    </w:rPr>
  </w:style>
  <w:style w:type="character" w:customStyle="1" w:styleId="ListParagraphChar">
    <w:name w:val="List Paragraph Char"/>
    <w:basedOn w:val="DefaultParagraphFont"/>
    <w:link w:val="ListParagraph"/>
    <w:uiPriority w:val="34"/>
    <w:rsid w:val="00F2309F"/>
    <w:rPr>
      <w:rFonts w:ascii="Garamond" w:eastAsiaTheme="minorEastAsia" w:hAnsi="Garamond" w:cs="Arial"/>
      <w:sz w:val="24"/>
      <w:lang w:val="en-US"/>
    </w:rPr>
  </w:style>
  <w:style w:type="paragraph" w:styleId="List2">
    <w:name w:val="List 2"/>
    <w:basedOn w:val="Normal"/>
    <w:uiPriority w:val="99"/>
    <w:semiHidden/>
    <w:unhideWhenUsed/>
    <w:locked/>
    <w:rsid w:val="0016246B"/>
    <w:pPr>
      <w:ind w:left="566" w:hanging="283"/>
      <w:contextualSpacing/>
    </w:pPr>
  </w:style>
  <w:style w:type="paragraph" w:customStyle="1" w:styleId="IncyteFigure">
    <w:name w:val="Incyte Figure"/>
    <w:basedOn w:val="Normal"/>
    <w:next w:val="Normal"/>
    <w:qFormat/>
    <w:rsid w:val="00F6527D"/>
    <w:rPr>
      <w:b/>
      <w:color w:val="002D62" w:themeColor="accent1"/>
    </w:rPr>
  </w:style>
  <w:style w:type="table" w:customStyle="1" w:styleId="Incytetable">
    <w:name w:val="Incyte table"/>
    <w:basedOn w:val="TableNormal"/>
    <w:uiPriority w:val="99"/>
    <w:rsid w:val="003E73CB"/>
    <w:tblPr/>
  </w:style>
  <w:style w:type="paragraph" w:styleId="BodyTextFirstIndent2">
    <w:name w:val="Body Text First Indent 2"/>
    <w:basedOn w:val="BodyTextIndent"/>
    <w:link w:val="BodyTextFirstIndent2Char"/>
    <w:uiPriority w:val="99"/>
    <w:unhideWhenUsed/>
    <w:locked/>
    <w:rsid w:val="00F64368"/>
    <w:pPr>
      <w:spacing w:before="120" w:after="120" w:line="240" w:lineRule="auto"/>
      <w:ind w:left="360" w:firstLine="360"/>
    </w:pPr>
    <w:rPr>
      <w:rFonts w:ascii="Garamond" w:eastAsiaTheme="minorEastAsia" w:hAnsi="Garamond"/>
    </w:rPr>
  </w:style>
  <w:style w:type="character" w:customStyle="1" w:styleId="BodyTextFirstIndent2Char">
    <w:name w:val="Body Text First Indent 2 Char"/>
    <w:basedOn w:val="BodyTextIndentChar"/>
    <w:link w:val="BodyTextFirstIndent2"/>
    <w:uiPriority w:val="99"/>
    <w:rsid w:val="00F64368"/>
    <w:rPr>
      <w:rFonts w:ascii="Garamond" w:eastAsiaTheme="minorEastAsia" w:hAnsi="Garamond" w:cs="Arial"/>
      <w:sz w:val="24"/>
      <w:szCs w:val="24"/>
      <w:lang w:val="en-US" w:eastAsia="en-GB"/>
    </w:rPr>
  </w:style>
  <w:style w:type="table" w:styleId="LightList-Accent1">
    <w:name w:val="Light List Accent 1"/>
    <w:basedOn w:val="TableNormal"/>
    <w:uiPriority w:val="61"/>
    <w:rsid w:val="00297787"/>
    <w:rPr>
      <w:rFonts w:asciiTheme="minorHAnsi" w:eastAsiaTheme="minorEastAsia" w:hAnsiTheme="minorHAnsi" w:cstheme="minorBidi"/>
      <w:sz w:val="24"/>
      <w:szCs w:val="24"/>
      <w:lang w:val="en-US" w:eastAsia="en-US"/>
    </w:rPr>
    <w:tblPr>
      <w:tblStyleRowBandSize w:val="1"/>
      <w:tblStyleColBandSize w:val="1"/>
      <w:tblBorders>
        <w:top w:val="single" w:sz="8" w:space="0" w:color="002D62" w:themeColor="accent1"/>
        <w:left w:val="single" w:sz="8" w:space="0" w:color="002D62" w:themeColor="accent1"/>
        <w:bottom w:val="single" w:sz="8" w:space="0" w:color="002D62" w:themeColor="accent1"/>
        <w:right w:val="single" w:sz="8" w:space="0" w:color="002D62" w:themeColor="accent1"/>
      </w:tblBorders>
    </w:tblPr>
    <w:tblStylePr w:type="firstRow">
      <w:pPr>
        <w:spacing w:before="0" w:after="0" w:line="240" w:lineRule="auto"/>
      </w:pPr>
      <w:rPr>
        <w:b/>
        <w:bCs/>
        <w:color w:val="FFFFFF" w:themeColor="background1"/>
      </w:rPr>
      <w:tblPr/>
      <w:tcPr>
        <w:shd w:val="clear" w:color="auto" w:fill="002D62" w:themeFill="accent1"/>
      </w:tcPr>
    </w:tblStylePr>
    <w:tblStylePr w:type="lastRow">
      <w:pPr>
        <w:spacing w:before="0" w:after="0" w:line="240" w:lineRule="auto"/>
      </w:pPr>
      <w:rPr>
        <w:b/>
        <w:bCs/>
      </w:rPr>
      <w:tblPr/>
      <w:tcPr>
        <w:tcBorders>
          <w:top w:val="double" w:sz="6" w:space="0" w:color="002D62" w:themeColor="accent1"/>
          <w:left w:val="single" w:sz="8" w:space="0" w:color="002D62" w:themeColor="accent1"/>
          <w:bottom w:val="single" w:sz="8" w:space="0" w:color="002D62" w:themeColor="accent1"/>
          <w:right w:val="single" w:sz="8" w:space="0" w:color="002D62" w:themeColor="accent1"/>
        </w:tcBorders>
      </w:tcPr>
    </w:tblStylePr>
    <w:tblStylePr w:type="firstCol">
      <w:rPr>
        <w:b/>
        <w:bCs/>
      </w:rPr>
    </w:tblStylePr>
    <w:tblStylePr w:type="lastCol">
      <w:rPr>
        <w:b/>
        <w:bCs/>
      </w:rPr>
    </w:tblStylePr>
    <w:tblStylePr w:type="band1Vert">
      <w:tblPr/>
      <w:tcPr>
        <w:tcBorders>
          <w:top w:val="single" w:sz="8" w:space="0" w:color="002D62" w:themeColor="accent1"/>
          <w:left w:val="single" w:sz="8" w:space="0" w:color="002D62" w:themeColor="accent1"/>
          <w:bottom w:val="single" w:sz="8" w:space="0" w:color="002D62" w:themeColor="accent1"/>
          <w:right w:val="single" w:sz="8" w:space="0" w:color="002D62" w:themeColor="accent1"/>
        </w:tcBorders>
      </w:tcPr>
    </w:tblStylePr>
    <w:tblStylePr w:type="band1Horz">
      <w:tblPr/>
      <w:tcPr>
        <w:tcBorders>
          <w:top w:val="single" w:sz="8" w:space="0" w:color="002D62" w:themeColor="accent1"/>
          <w:left w:val="single" w:sz="8" w:space="0" w:color="002D62" w:themeColor="accent1"/>
          <w:bottom w:val="single" w:sz="8" w:space="0" w:color="002D62" w:themeColor="accent1"/>
          <w:right w:val="single" w:sz="8" w:space="0" w:color="002D62" w:themeColor="accent1"/>
        </w:tcBorders>
      </w:tcPr>
    </w:tblStylePr>
  </w:style>
  <w:style w:type="paragraph" w:customStyle="1" w:styleId="IncyteTitle1">
    <w:name w:val="Incyte Title 1"/>
    <w:basedOn w:val="Title"/>
    <w:next w:val="Normal"/>
    <w:qFormat/>
    <w:rsid w:val="000B3AE0"/>
    <w:rPr>
      <w:rFonts w:ascii="Tahoma" w:hAnsi="Tahoma"/>
      <w:sz w:val="56"/>
      <w:szCs w:val="56"/>
    </w:rPr>
  </w:style>
  <w:style w:type="paragraph" w:customStyle="1" w:styleId="IncyteTitle2">
    <w:name w:val="Incyte Title 2"/>
    <w:basedOn w:val="TOCHeading"/>
    <w:qFormat/>
    <w:rsid w:val="00E93E64"/>
    <w:pPr>
      <w:jc w:val="right"/>
    </w:pPr>
    <w:rPr>
      <w:color w:val="456E7F" w:themeColor="accent2" w:themeShade="BF"/>
      <w:sz w:val="48"/>
      <w:szCs w:val="48"/>
    </w:rPr>
  </w:style>
  <w:style w:type="paragraph" w:customStyle="1" w:styleId="IncyteTitle3">
    <w:name w:val="Incyte Title 3"/>
    <w:basedOn w:val="Normal"/>
    <w:qFormat/>
    <w:rsid w:val="00E93E64"/>
    <w:pPr>
      <w:jc w:val="right"/>
    </w:pPr>
    <w:rPr>
      <w:b/>
      <w:color w:val="002D62" w:themeColor="accent1"/>
      <w:sz w:val="28"/>
      <w:szCs w:val="28"/>
    </w:rPr>
  </w:style>
  <w:style w:type="paragraph" w:customStyle="1" w:styleId="IncyteTabletext">
    <w:name w:val="Incyte Table text"/>
    <w:basedOn w:val="Normal"/>
    <w:qFormat/>
    <w:rsid w:val="002E2024"/>
    <w:rPr>
      <w:sz w:val="20"/>
      <w:szCs w:val="24"/>
      <w:lang w:eastAsia="en-US"/>
    </w:rPr>
  </w:style>
  <w:style w:type="paragraph" w:customStyle="1" w:styleId="Incytefootnote0">
    <w:name w:val="Incyte footnote"/>
    <w:basedOn w:val="FootnoteText"/>
    <w:qFormat/>
    <w:rsid w:val="002E2024"/>
    <w:pPr>
      <w:spacing w:before="120" w:after="120"/>
    </w:pPr>
    <w:rPr>
      <w:sz w:val="16"/>
      <w:szCs w:val="16"/>
    </w:rPr>
  </w:style>
  <w:style w:type="paragraph" w:customStyle="1" w:styleId="TOClevel1">
    <w:name w:val="TOC level 1"/>
    <w:basedOn w:val="TOC1"/>
    <w:qFormat/>
    <w:rsid w:val="001D684F"/>
    <w:rPr>
      <w:rFonts w:ascii="Tahoma" w:hAnsi="Tahoma" w:cs="Tahoma"/>
      <w:szCs w:val="22"/>
    </w:rPr>
  </w:style>
  <w:style w:type="paragraph" w:customStyle="1" w:styleId="TOClevel2">
    <w:name w:val="TOC level 2"/>
    <w:basedOn w:val="TOC2"/>
    <w:qFormat/>
    <w:rsid w:val="00F15EE5"/>
    <w:pPr>
      <w:tabs>
        <w:tab w:val="left" w:pos="494"/>
      </w:tabs>
    </w:pPr>
  </w:style>
  <w:style w:type="paragraph" w:customStyle="1" w:styleId="TOClevel3">
    <w:name w:val="TOC level 3"/>
    <w:basedOn w:val="TOC3"/>
    <w:qFormat/>
    <w:rsid w:val="00F15EE5"/>
    <w:pPr>
      <w:tabs>
        <w:tab w:val="left" w:pos="916"/>
        <w:tab w:val="right" w:leader="dot" w:pos="9011"/>
      </w:tabs>
    </w:pPr>
    <w:rPr>
      <w:i/>
      <w:noProof/>
      <w:sz w:val="20"/>
      <w:szCs w:val="20"/>
    </w:rPr>
  </w:style>
  <w:style w:type="paragraph" w:customStyle="1" w:styleId="Style2">
    <w:name w:val="Style2"/>
    <w:basedOn w:val="TOC3"/>
    <w:rsid w:val="00A63EEA"/>
    <w:pPr>
      <w:tabs>
        <w:tab w:val="left" w:pos="916"/>
        <w:tab w:val="right" w:leader="dot" w:pos="9011"/>
      </w:tabs>
    </w:pPr>
  </w:style>
  <w:style w:type="paragraph" w:customStyle="1" w:styleId="Style3">
    <w:name w:val="Style3"/>
    <w:basedOn w:val="TOClevel3"/>
    <w:rsid w:val="00A63EEA"/>
  </w:style>
  <w:style w:type="paragraph" w:customStyle="1" w:styleId="Style4">
    <w:name w:val="Style4"/>
    <w:basedOn w:val="TOC3"/>
    <w:rsid w:val="00A63EEA"/>
    <w:pPr>
      <w:tabs>
        <w:tab w:val="left" w:pos="916"/>
        <w:tab w:val="right" w:leader="dot" w:pos="9011"/>
      </w:tabs>
    </w:pPr>
    <w:rPr>
      <w:noProof/>
    </w:rPr>
  </w:style>
  <w:style w:type="paragraph" w:customStyle="1" w:styleId="TOC30">
    <w:name w:val="TOC3"/>
    <w:basedOn w:val="TOC3"/>
    <w:qFormat/>
    <w:rsid w:val="00A63EEA"/>
    <w:pPr>
      <w:tabs>
        <w:tab w:val="left" w:pos="916"/>
        <w:tab w:val="right" w:leader="dot" w:pos="9011"/>
      </w:tabs>
    </w:pPr>
    <w:rPr>
      <w:i/>
      <w:noProof/>
    </w:rPr>
  </w:style>
  <w:style w:type="paragraph" w:customStyle="1" w:styleId="Style5">
    <w:name w:val="Style5"/>
    <w:basedOn w:val="TOC3"/>
    <w:rsid w:val="00A63EEA"/>
    <w:pPr>
      <w:tabs>
        <w:tab w:val="left" w:pos="916"/>
        <w:tab w:val="right" w:leader="dot" w:pos="9011"/>
      </w:tabs>
    </w:pPr>
    <w:rPr>
      <w:i/>
      <w:noProof/>
    </w:rPr>
  </w:style>
  <w:style w:type="paragraph" w:customStyle="1" w:styleId="Style6">
    <w:name w:val="Style6"/>
    <w:basedOn w:val="TOC3"/>
    <w:rsid w:val="00A63EEA"/>
    <w:pPr>
      <w:tabs>
        <w:tab w:val="left" w:pos="916"/>
        <w:tab w:val="right" w:leader="dot" w:pos="9011"/>
      </w:tabs>
    </w:pPr>
    <w:rPr>
      <w:noProof/>
    </w:rPr>
  </w:style>
  <w:style w:type="character" w:styleId="UnresolvedMention">
    <w:name w:val="Unresolved Mention"/>
    <w:basedOn w:val="DefaultParagraphFont"/>
    <w:uiPriority w:val="99"/>
    <w:semiHidden/>
    <w:unhideWhenUsed/>
    <w:rsid w:val="001E16A5"/>
    <w:rPr>
      <w:color w:val="605E5C"/>
      <w:shd w:val="clear" w:color="auto" w:fill="E1DFDD"/>
    </w:rPr>
  </w:style>
  <w:style w:type="character" w:customStyle="1" w:styleId="tlid-translation">
    <w:name w:val="tlid-translation"/>
    <w:basedOn w:val="DefaultParagraphFont"/>
    <w:rsid w:val="001E16A5"/>
  </w:style>
  <w:style w:type="paragraph" w:customStyle="1" w:styleId="PYRExhibitChartheader">
    <w:name w:val="PYR Exhibit Chart header"/>
    <w:basedOn w:val="Normal"/>
    <w:rsid w:val="00760291"/>
    <w:pPr>
      <w:keepNext/>
      <w:keepLines/>
      <w:pBdr>
        <w:top w:val="single" w:sz="4" w:space="3" w:color="auto"/>
      </w:pBdr>
      <w:spacing w:before="0" w:after="0" w:line="240" w:lineRule="auto"/>
      <w:jc w:val="both"/>
    </w:pPr>
    <w:rPr>
      <w:rFonts w:ascii="Trebuchet MS" w:eastAsia="Times New Roman" w:hAnsi="Trebuchet MS" w:cs="Times New Roman"/>
      <w:b/>
      <w:bCs/>
      <w:snapToGrid w:val="0"/>
      <w:kern w:val="36"/>
      <w:sz w:val="20"/>
      <w:szCs w:val="20"/>
      <w:lang w:eastAsia="en-US"/>
    </w:rPr>
  </w:style>
  <w:style w:type="paragraph" w:customStyle="1" w:styleId="OvumFigure">
    <w:name w:val="Ovum Figure"/>
    <w:basedOn w:val="Normal"/>
    <w:next w:val="Normal"/>
    <w:qFormat/>
    <w:rsid w:val="00D11E92"/>
    <w:rPr>
      <w:rFonts w:ascii="Times New Roman" w:eastAsia="Times New Roman" w:hAnsi="Times New Roman" w:cs="Times New Roman"/>
      <w:b/>
      <w:color w:val="002D62" w:themeColor="accent1"/>
      <w:sz w:val="24"/>
      <w:szCs w:val="24"/>
      <w:lang w:val="en-AU" w:eastAsia="en-US"/>
    </w:rPr>
  </w:style>
  <w:style w:type="paragraph" w:customStyle="1" w:styleId="OvumBullets">
    <w:name w:val="Ovum Bullets"/>
    <w:basedOn w:val="ListParagraph"/>
    <w:link w:val="OvumBulletsChar"/>
    <w:qFormat/>
    <w:rsid w:val="00A153A4"/>
    <w:pPr>
      <w:spacing w:before="0" w:after="0"/>
      <w:ind w:left="426" w:hanging="360"/>
    </w:pPr>
    <w:rPr>
      <w:rFonts w:ascii="Times New Roman" w:eastAsia="Times New Roman" w:hAnsi="Times New Roman" w:cs="Times New Roman"/>
      <w:sz w:val="24"/>
      <w:szCs w:val="24"/>
      <w:lang w:val="en-GB" w:eastAsia="en-GB"/>
    </w:rPr>
  </w:style>
  <w:style w:type="character" w:customStyle="1" w:styleId="OvumBulletsChar">
    <w:name w:val="Ovum Bullets Char"/>
    <w:basedOn w:val="BulletList1Char"/>
    <w:link w:val="OvumBullets"/>
    <w:rsid w:val="00A153A4"/>
    <w:rPr>
      <w:rFonts w:ascii="Times New Roman" w:eastAsia="Times New Roman" w:hAnsi="Times New Roman"/>
      <w:sz w:val="24"/>
      <w:szCs w:val="24"/>
      <w:lang w:val="en-GB" w:eastAsia="en-GB" w:bidi="ar-SA"/>
    </w:rPr>
  </w:style>
  <w:style w:type="paragraph" w:customStyle="1" w:styleId="OvumHeading3">
    <w:name w:val="Ovum (Heading 3)"/>
    <w:basedOn w:val="Heading3"/>
    <w:next w:val="Normal"/>
    <w:qFormat/>
    <w:rsid w:val="007609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88">
      <w:bodyDiv w:val="1"/>
      <w:marLeft w:val="0"/>
      <w:marRight w:val="0"/>
      <w:marTop w:val="0"/>
      <w:marBottom w:val="0"/>
      <w:divBdr>
        <w:top w:val="none" w:sz="0" w:space="0" w:color="auto"/>
        <w:left w:val="none" w:sz="0" w:space="0" w:color="auto"/>
        <w:bottom w:val="none" w:sz="0" w:space="0" w:color="auto"/>
        <w:right w:val="none" w:sz="0" w:space="0" w:color="auto"/>
      </w:divBdr>
    </w:div>
    <w:div w:id="8991030">
      <w:bodyDiv w:val="1"/>
      <w:marLeft w:val="0"/>
      <w:marRight w:val="0"/>
      <w:marTop w:val="0"/>
      <w:marBottom w:val="0"/>
      <w:divBdr>
        <w:top w:val="none" w:sz="0" w:space="0" w:color="auto"/>
        <w:left w:val="none" w:sz="0" w:space="0" w:color="auto"/>
        <w:bottom w:val="none" w:sz="0" w:space="0" w:color="auto"/>
        <w:right w:val="none" w:sz="0" w:space="0" w:color="auto"/>
      </w:divBdr>
    </w:div>
    <w:div w:id="56052620">
      <w:marLeft w:val="0"/>
      <w:marRight w:val="0"/>
      <w:marTop w:val="0"/>
      <w:marBottom w:val="0"/>
      <w:divBdr>
        <w:top w:val="none" w:sz="0" w:space="0" w:color="auto"/>
        <w:left w:val="none" w:sz="0" w:space="0" w:color="auto"/>
        <w:bottom w:val="none" w:sz="0" w:space="0" w:color="auto"/>
        <w:right w:val="none" w:sz="0" w:space="0" w:color="auto"/>
      </w:divBdr>
      <w:divsChild>
        <w:div w:id="56052627">
          <w:marLeft w:val="994"/>
          <w:marRight w:val="0"/>
          <w:marTop w:val="228"/>
          <w:marBottom w:val="0"/>
          <w:divBdr>
            <w:top w:val="none" w:sz="0" w:space="0" w:color="auto"/>
            <w:left w:val="none" w:sz="0" w:space="0" w:color="auto"/>
            <w:bottom w:val="none" w:sz="0" w:space="0" w:color="auto"/>
            <w:right w:val="none" w:sz="0" w:space="0" w:color="auto"/>
          </w:divBdr>
        </w:div>
      </w:divsChild>
    </w:div>
    <w:div w:id="56052621">
      <w:marLeft w:val="0"/>
      <w:marRight w:val="0"/>
      <w:marTop w:val="0"/>
      <w:marBottom w:val="0"/>
      <w:divBdr>
        <w:top w:val="none" w:sz="0" w:space="0" w:color="auto"/>
        <w:left w:val="none" w:sz="0" w:space="0" w:color="auto"/>
        <w:bottom w:val="none" w:sz="0" w:space="0" w:color="auto"/>
        <w:right w:val="none" w:sz="0" w:space="0" w:color="auto"/>
      </w:divBdr>
    </w:div>
    <w:div w:id="56052622">
      <w:marLeft w:val="0"/>
      <w:marRight w:val="0"/>
      <w:marTop w:val="0"/>
      <w:marBottom w:val="0"/>
      <w:divBdr>
        <w:top w:val="none" w:sz="0" w:space="0" w:color="auto"/>
        <w:left w:val="none" w:sz="0" w:space="0" w:color="auto"/>
        <w:bottom w:val="none" w:sz="0" w:space="0" w:color="auto"/>
        <w:right w:val="none" w:sz="0" w:space="0" w:color="auto"/>
      </w:divBdr>
    </w:div>
    <w:div w:id="56052623">
      <w:marLeft w:val="0"/>
      <w:marRight w:val="0"/>
      <w:marTop w:val="0"/>
      <w:marBottom w:val="0"/>
      <w:divBdr>
        <w:top w:val="none" w:sz="0" w:space="0" w:color="auto"/>
        <w:left w:val="none" w:sz="0" w:space="0" w:color="auto"/>
        <w:bottom w:val="none" w:sz="0" w:space="0" w:color="auto"/>
        <w:right w:val="none" w:sz="0" w:space="0" w:color="auto"/>
      </w:divBdr>
    </w:div>
    <w:div w:id="56052624">
      <w:marLeft w:val="0"/>
      <w:marRight w:val="0"/>
      <w:marTop w:val="0"/>
      <w:marBottom w:val="0"/>
      <w:divBdr>
        <w:top w:val="none" w:sz="0" w:space="0" w:color="auto"/>
        <w:left w:val="none" w:sz="0" w:space="0" w:color="auto"/>
        <w:bottom w:val="none" w:sz="0" w:space="0" w:color="auto"/>
        <w:right w:val="none" w:sz="0" w:space="0" w:color="auto"/>
      </w:divBdr>
    </w:div>
    <w:div w:id="56052625">
      <w:marLeft w:val="0"/>
      <w:marRight w:val="0"/>
      <w:marTop w:val="0"/>
      <w:marBottom w:val="0"/>
      <w:divBdr>
        <w:top w:val="none" w:sz="0" w:space="0" w:color="auto"/>
        <w:left w:val="none" w:sz="0" w:space="0" w:color="auto"/>
        <w:bottom w:val="none" w:sz="0" w:space="0" w:color="auto"/>
        <w:right w:val="none" w:sz="0" w:space="0" w:color="auto"/>
      </w:divBdr>
    </w:div>
    <w:div w:id="56052626">
      <w:marLeft w:val="0"/>
      <w:marRight w:val="0"/>
      <w:marTop w:val="0"/>
      <w:marBottom w:val="0"/>
      <w:divBdr>
        <w:top w:val="none" w:sz="0" w:space="0" w:color="auto"/>
        <w:left w:val="none" w:sz="0" w:space="0" w:color="auto"/>
        <w:bottom w:val="none" w:sz="0" w:space="0" w:color="auto"/>
        <w:right w:val="none" w:sz="0" w:space="0" w:color="auto"/>
      </w:divBdr>
    </w:div>
    <w:div w:id="56052628">
      <w:marLeft w:val="0"/>
      <w:marRight w:val="0"/>
      <w:marTop w:val="0"/>
      <w:marBottom w:val="0"/>
      <w:divBdr>
        <w:top w:val="none" w:sz="0" w:space="0" w:color="auto"/>
        <w:left w:val="none" w:sz="0" w:space="0" w:color="auto"/>
        <w:bottom w:val="none" w:sz="0" w:space="0" w:color="auto"/>
        <w:right w:val="none" w:sz="0" w:space="0" w:color="auto"/>
      </w:divBdr>
    </w:div>
    <w:div w:id="135072854">
      <w:bodyDiv w:val="1"/>
      <w:marLeft w:val="0"/>
      <w:marRight w:val="0"/>
      <w:marTop w:val="0"/>
      <w:marBottom w:val="0"/>
      <w:divBdr>
        <w:top w:val="none" w:sz="0" w:space="0" w:color="auto"/>
        <w:left w:val="none" w:sz="0" w:space="0" w:color="auto"/>
        <w:bottom w:val="none" w:sz="0" w:space="0" w:color="auto"/>
        <w:right w:val="none" w:sz="0" w:space="0" w:color="auto"/>
      </w:divBdr>
    </w:div>
    <w:div w:id="266743267">
      <w:bodyDiv w:val="1"/>
      <w:marLeft w:val="0"/>
      <w:marRight w:val="0"/>
      <w:marTop w:val="0"/>
      <w:marBottom w:val="0"/>
      <w:divBdr>
        <w:top w:val="none" w:sz="0" w:space="0" w:color="auto"/>
        <w:left w:val="none" w:sz="0" w:space="0" w:color="auto"/>
        <w:bottom w:val="none" w:sz="0" w:space="0" w:color="auto"/>
        <w:right w:val="none" w:sz="0" w:space="0" w:color="auto"/>
      </w:divBdr>
    </w:div>
    <w:div w:id="296377983">
      <w:bodyDiv w:val="1"/>
      <w:marLeft w:val="0"/>
      <w:marRight w:val="0"/>
      <w:marTop w:val="0"/>
      <w:marBottom w:val="0"/>
      <w:divBdr>
        <w:top w:val="none" w:sz="0" w:space="0" w:color="auto"/>
        <w:left w:val="none" w:sz="0" w:space="0" w:color="auto"/>
        <w:bottom w:val="none" w:sz="0" w:space="0" w:color="auto"/>
        <w:right w:val="none" w:sz="0" w:space="0" w:color="auto"/>
      </w:divBdr>
    </w:div>
    <w:div w:id="312956388">
      <w:bodyDiv w:val="1"/>
      <w:marLeft w:val="0"/>
      <w:marRight w:val="0"/>
      <w:marTop w:val="0"/>
      <w:marBottom w:val="0"/>
      <w:divBdr>
        <w:top w:val="none" w:sz="0" w:space="0" w:color="auto"/>
        <w:left w:val="none" w:sz="0" w:space="0" w:color="auto"/>
        <w:bottom w:val="none" w:sz="0" w:space="0" w:color="auto"/>
        <w:right w:val="none" w:sz="0" w:space="0" w:color="auto"/>
      </w:divBdr>
      <w:divsChild>
        <w:div w:id="615985419">
          <w:marLeft w:val="274"/>
          <w:marRight w:val="0"/>
          <w:marTop w:val="0"/>
          <w:marBottom w:val="0"/>
          <w:divBdr>
            <w:top w:val="none" w:sz="0" w:space="0" w:color="auto"/>
            <w:left w:val="none" w:sz="0" w:space="0" w:color="auto"/>
            <w:bottom w:val="none" w:sz="0" w:space="0" w:color="auto"/>
            <w:right w:val="none" w:sz="0" w:space="0" w:color="auto"/>
          </w:divBdr>
        </w:div>
        <w:div w:id="1224103353">
          <w:marLeft w:val="274"/>
          <w:marRight w:val="0"/>
          <w:marTop w:val="0"/>
          <w:marBottom w:val="0"/>
          <w:divBdr>
            <w:top w:val="none" w:sz="0" w:space="0" w:color="auto"/>
            <w:left w:val="none" w:sz="0" w:space="0" w:color="auto"/>
            <w:bottom w:val="none" w:sz="0" w:space="0" w:color="auto"/>
            <w:right w:val="none" w:sz="0" w:space="0" w:color="auto"/>
          </w:divBdr>
        </w:div>
      </w:divsChild>
    </w:div>
    <w:div w:id="320698773">
      <w:bodyDiv w:val="1"/>
      <w:marLeft w:val="0"/>
      <w:marRight w:val="0"/>
      <w:marTop w:val="0"/>
      <w:marBottom w:val="0"/>
      <w:divBdr>
        <w:top w:val="none" w:sz="0" w:space="0" w:color="auto"/>
        <w:left w:val="none" w:sz="0" w:space="0" w:color="auto"/>
        <w:bottom w:val="none" w:sz="0" w:space="0" w:color="auto"/>
        <w:right w:val="none" w:sz="0" w:space="0" w:color="auto"/>
      </w:divBdr>
    </w:div>
    <w:div w:id="363671450">
      <w:bodyDiv w:val="1"/>
      <w:marLeft w:val="0"/>
      <w:marRight w:val="0"/>
      <w:marTop w:val="0"/>
      <w:marBottom w:val="0"/>
      <w:divBdr>
        <w:top w:val="none" w:sz="0" w:space="0" w:color="auto"/>
        <w:left w:val="none" w:sz="0" w:space="0" w:color="auto"/>
        <w:bottom w:val="none" w:sz="0" w:space="0" w:color="auto"/>
        <w:right w:val="none" w:sz="0" w:space="0" w:color="auto"/>
      </w:divBdr>
    </w:div>
    <w:div w:id="409426372">
      <w:bodyDiv w:val="1"/>
      <w:marLeft w:val="0"/>
      <w:marRight w:val="0"/>
      <w:marTop w:val="0"/>
      <w:marBottom w:val="0"/>
      <w:divBdr>
        <w:top w:val="none" w:sz="0" w:space="0" w:color="auto"/>
        <w:left w:val="none" w:sz="0" w:space="0" w:color="auto"/>
        <w:bottom w:val="none" w:sz="0" w:space="0" w:color="auto"/>
        <w:right w:val="none" w:sz="0" w:space="0" w:color="auto"/>
      </w:divBdr>
    </w:div>
    <w:div w:id="410663082">
      <w:bodyDiv w:val="1"/>
      <w:marLeft w:val="0"/>
      <w:marRight w:val="0"/>
      <w:marTop w:val="0"/>
      <w:marBottom w:val="0"/>
      <w:divBdr>
        <w:top w:val="none" w:sz="0" w:space="0" w:color="auto"/>
        <w:left w:val="none" w:sz="0" w:space="0" w:color="auto"/>
        <w:bottom w:val="none" w:sz="0" w:space="0" w:color="auto"/>
        <w:right w:val="none" w:sz="0" w:space="0" w:color="auto"/>
      </w:divBdr>
    </w:div>
    <w:div w:id="526792323">
      <w:bodyDiv w:val="1"/>
      <w:marLeft w:val="0"/>
      <w:marRight w:val="0"/>
      <w:marTop w:val="0"/>
      <w:marBottom w:val="0"/>
      <w:divBdr>
        <w:top w:val="none" w:sz="0" w:space="0" w:color="auto"/>
        <w:left w:val="none" w:sz="0" w:space="0" w:color="auto"/>
        <w:bottom w:val="none" w:sz="0" w:space="0" w:color="auto"/>
        <w:right w:val="none" w:sz="0" w:space="0" w:color="auto"/>
      </w:divBdr>
    </w:div>
    <w:div w:id="547574686">
      <w:bodyDiv w:val="1"/>
      <w:marLeft w:val="0"/>
      <w:marRight w:val="0"/>
      <w:marTop w:val="0"/>
      <w:marBottom w:val="0"/>
      <w:divBdr>
        <w:top w:val="none" w:sz="0" w:space="0" w:color="auto"/>
        <w:left w:val="none" w:sz="0" w:space="0" w:color="auto"/>
        <w:bottom w:val="none" w:sz="0" w:space="0" w:color="auto"/>
        <w:right w:val="none" w:sz="0" w:space="0" w:color="auto"/>
      </w:divBdr>
    </w:div>
    <w:div w:id="551889974">
      <w:bodyDiv w:val="1"/>
      <w:marLeft w:val="0"/>
      <w:marRight w:val="0"/>
      <w:marTop w:val="0"/>
      <w:marBottom w:val="0"/>
      <w:divBdr>
        <w:top w:val="none" w:sz="0" w:space="0" w:color="auto"/>
        <w:left w:val="none" w:sz="0" w:space="0" w:color="auto"/>
        <w:bottom w:val="none" w:sz="0" w:space="0" w:color="auto"/>
        <w:right w:val="none" w:sz="0" w:space="0" w:color="auto"/>
      </w:divBdr>
    </w:div>
    <w:div w:id="566186432">
      <w:bodyDiv w:val="1"/>
      <w:marLeft w:val="0"/>
      <w:marRight w:val="0"/>
      <w:marTop w:val="0"/>
      <w:marBottom w:val="0"/>
      <w:divBdr>
        <w:top w:val="none" w:sz="0" w:space="0" w:color="auto"/>
        <w:left w:val="none" w:sz="0" w:space="0" w:color="auto"/>
        <w:bottom w:val="none" w:sz="0" w:space="0" w:color="auto"/>
        <w:right w:val="none" w:sz="0" w:space="0" w:color="auto"/>
      </w:divBdr>
    </w:div>
    <w:div w:id="575673675">
      <w:bodyDiv w:val="1"/>
      <w:marLeft w:val="0"/>
      <w:marRight w:val="0"/>
      <w:marTop w:val="0"/>
      <w:marBottom w:val="0"/>
      <w:divBdr>
        <w:top w:val="none" w:sz="0" w:space="0" w:color="auto"/>
        <w:left w:val="none" w:sz="0" w:space="0" w:color="auto"/>
        <w:bottom w:val="none" w:sz="0" w:space="0" w:color="auto"/>
        <w:right w:val="none" w:sz="0" w:space="0" w:color="auto"/>
      </w:divBdr>
    </w:div>
    <w:div w:id="586429627">
      <w:bodyDiv w:val="1"/>
      <w:marLeft w:val="0"/>
      <w:marRight w:val="0"/>
      <w:marTop w:val="0"/>
      <w:marBottom w:val="0"/>
      <w:divBdr>
        <w:top w:val="none" w:sz="0" w:space="0" w:color="auto"/>
        <w:left w:val="none" w:sz="0" w:space="0" w:color="auto"/>
        <w:bottom w:val="none" w:sz="0" w:space="0" w:color="auto"/>
        <w:right w:val="none" w:sz="0" w:space="0" w:color="auto"/>
      </w:divBdr>
    </w:div>
    <w:div w:id="666054546">
      <w:bodyDiv w:val="1"/>
      <w:marLeft w:val="0"/>
      <w:marRight w:val="0"/>
      <w:marTop w:val="0"/>
      <w:marBottom w:val="0"/>
      <w:divBdr>
        <w:top w:val="none" w:sz="0" w:space="0" w:color="auto"/>
        <w:left w:val="none" w:sz="0" w:space="0" w:color="auto"/>
        <w:bottom w:val="none" w:sz="0" w:space="0" w:color="auto"/>
        <w:right w:val="none" w:sz="0" w:space="0" w:color="auto"/>
      </w:divBdr>
      <w:divsChild>
        <w:div w:id="1517226913">
          <w:marLeft w:val="0"/>
          <w:marRight w:val="0"/>
          <w:marTop w:val="0"/>
          <w:marBottom w:val="0"/>
          <w:divBdr>
            <w:top w:val="none" w:sz="0" w:space="0" w:color="auto"/>
            <w:left w:val="none" w:sz="0" w:space="0" w:color="auto"/>
            <w:bottom w:val="none" w:sz="0" w:space="0" w:color="auto"/>
            <w:right w:val="none" w:sz="0" w:space="0" w:color="auto"/>
          </w:divBdr>
        </w:div>
      </w:divsChild>
    </w:div>
    <w:div w:id="698895172">
      <w:bodyDiv w:val="1"/>
      <w:marLeft w:val="0"/>
      <w:marRight w:val="0"/>
      <w:marTop w:val="0"/>
      <w:marBottom w:val="0"/>
      <w:divBdr>
        <w:top w:val="none" w:sz="0" w:space="0" w:color="auto"/>
        <w:left w:val="none" w:sz="0" w:space="0" w:color="auto"/>
        <w:bottom w:val="none" w:sz="0" w:space="0" w:color="auto"/>
        <w:right w:val="none" w:sz="0" w:space="0" w:color="auto"/>
      </w:divBdr>
    </w:div>
    <w:div w:id="719743442">
      <w:bodyDiv w:val="1"/>
      <w:marLeft w:val="0"/>
      <w:marRight w:val="0"/>
      <w:marTop w:val="0"/>
      <w:marBottom w:val="0"/>
      <w:divBdr>
        <w:top w:val="none" w:sz="0" w:space="0" w:color="auto"/>
        <w:left w:val="none" w:sz="0" w:space="0" w:color="auto"/>
        <w:bottom w:val="none" w:sz="0" w:space="0" w:color="auto"/>
        <w:right w:val="none" w:sz="0" w:space="0" w:color="auto"/>
      </w:divBdr>
    </w:div>
    <w:div w:id="727067706">
      <w:bodyDiv w:val="1"/>
      <w:marLeft w:val="0"/>
      <w:marRight w:val="0"/>
      <w:marTop w:val="0"/>
      <w:marBottom w:val="0"/>
      <w:divBdr>
        <w:top w:val="none" w:sz="0" w:space="0" w:color="auto"/>
        <w:left w:val="none" w:sz="0" w:space="0" w:color="auto"/>
        <w:bottom w:val="none" w:sz="0" w:space="0" w:color="auto"/>
        <w:right w:val="none" w:sz="0" w:space="0" w:color="auto"/>
      </w:divBdr>
    </w:div>
    <w:div w:id="763889344">
      <w:bodyDiv w:val="1"/>
      <w:marLeft w:val="0"/>
      <w:marRight w:val="0"/>
      <w:marTop w:val="0"/>
      <w:marBottom w:val="0"/>
      <w:divBdr>
        <w:top w:val="none" w:sz="0" w:space="0" w:color="auto"/>
        <w:left w:val="none" w:sz="0" w:space="0" w:color="auto"/>
        <w:bottom w:val="none" w:sz="0" w:space="0" w:color="auto"/>
        <w:right w:val="none" w:sz="0" w:space="0" w:color="auto"/>
      </w:divBdr>
      <w:divsChild>
        <w:div w:id="510530199">
          <w:marLeft w:val="1411"/>
          <w:marRight w:val="0"/>
          <w:marTop w:val="67"/>
          <w:marBottom w:val="67"/>
          <w:divBdr>
            <w:top w:val="none" w:sz="0" w:space="0" w:color="auto"/>
            <w:left w:val="none" w:sz="0" w:space="0" w:color="auto"/>
            <w:bottom w:val="none" w:sz="0" w:space="0" w:color="auto"/>
            <w:right w:val="none" w:sz="0" w:space="0" w:color="auto"/>
          </w:divBdr>
        </w:div>
        <w:div w:id="536048604">
          <w:marLeft w:val="1411"/>
          <w:marRight w:val="0"/>
          <w:marTop w:val="67"/>
          <w:marBottom w:val="67"/>
          <w:divBdr>
            <w:top w:val="none" w:sz="0" w:space="0" w:color="auto"/>
            <w:left w:val="none" w:sz="0" w:space="0" w:color="auto"/>
            <w:bottom w:val="none" w:sz="0" w:space="0" w:color="auto"/>
            <w:right w:val="none" w:sz="0" w:space="0" w:color="auto"/>
          </w:divBdr>
        </w:div>
        <w:div w:id="884609653">
          <w:marLeft w:val="274"/>
          <w:marRight w:val="0"/>
          <w:marTop w:val="86"/>
          <w:marBottom w:val="86"/>
          <w:divBdr>
            <w:top w:val="none" w:sz="0" w:space="0" w:color="auto"/>
            <w:left w:val="none" w:sz="0" w:space="0" w:color="auto"/>
            <w:bottom w:val="none" w:sz="0" w:space="0" w:color="auto"/>
            <w:right w:val="none" w:sz="0" w:space="0" w:color="auto"/>
          </w:divBdr>
        </w:div>
        <w:div w:id="1024552865">
          <w:marLeft w:val="1411"/>
          <w:marRight w:val="0"/>
          <w:marTop w:val="67"/>
          <w:marBottom w:val="67"/>
          <w:divBdr>
            <w:top w:val="none" w:sz="0" w:space="0" w:color="auto"/>
            <w:left w:val="none" w:sz="0" w:space="0" w:color="auto"/>
            <w:bottom w:val="none" w:sz="0" w:space="0" w:color="auto"/>
            <w:right w:val="none" w:sz="0" w:space="0" w:color="auto"/>
          </w:divBdr>
        </w:div>
        <w:div w:id="1186291906">
          <w:marLeft w:val="835"/>
          <w:marRight w:val="0"/>
          <w:marTop w:val="77"/>
          <w:marBottom w:val="77"/>
          <w:divBdr>
            <w:top w:val="none" w:sz="0" w:space="0" w:color="auto"/>
            <w:left w:val="none" w:sz="0" w:space="0" w:color="auto"/>
            <w:bottom w:val="none" w:sz="0" w:space="0" w:color="auto"/>
            <w:right w:val="none" w:sz="0" w:space="0" w:color="auto"/>
          </w:divBdr>
        </w:div>
        <w:div w:id="1243830769">
          <w:marLeft w:val="835"/>
          <w:marRight w:val="0"/>
          <w:marTop w:val="77"/>
          <w:marBottom w:val="77"/>
          <w:divBdr>
            <w:top w:val="none" w:sz="0" w:space="0" w:color="auto"/>
            <w:left w:val="none" w:sz="0" w:space="0" w:color="auto"/>
            <w:bottom w:val="none" w:sz="0" w:space="0" w:color="auto"/>
            <w:right w:val="none" w:sz="0" w:space="0" w:color="auto"/>
          </w:divBdr>
        </w:div>
        <w:div w:id="1258172130">
          <w:marLeft w:val="1411"/>
          <w:marRight w:val="0"/>
          <w:marTop w:val="67"/>
          <w:marBottom w:val="67"/>
          <w:divBdr>
            <w:top w:val="none" w:sz="0" w:space="0" w:color="auto"/>
            <w:left w:val="none" w:sz="0" w:space="0" w:color="auto"/>
            <w:bottom w:val="none" w:sz="0" w:space="0" w:color="auto"/>
            <w:right w:val="none" w:sz="0" w:space="0" w:color="auto"/>
          </w:divBdr>
        </w:div>
        <w:div w:id="1352219455">
          <w:marLeft w:val="274"/>
          <w:marRight w:val="0"/>
          <w:marTop w:val="86"/>
          <w:marBottom w:val="86"/>
          <w:divBdr>
            <w:top w:val="none" w:sz="0" w:space="0" w:color="auto"/>
            <w:left w:val="none" w:sz="0" w:space="0" w:color="auto"/>
            <w:bottom w:val="none" w:sz="0" w:space="0" w:color="auto"/>
            <w:right w:val="none" w:sz="0" w:space="0" w:color="auto"/>
          </w:divBdr>
        </w:div>
        <w:div w:id="1457455953">
          <w:marLeft w:val="835"/>
          <w:marRight w:val="0"/>
          <w:marTop w:val="77"/>
          <w:marBottom w:val="77"/>
          <w:divBdr>
            <w:top w:val="none" w:sz="0" w:space="0" w:color="auto"/>
            <w:left w:val="none" w:sz="0" w:space="0" w:color="auto"/>
            <w:bottom w:val="none" w:sz="0" w:space="0" w:color="auto"/>
            <w:right w:val="none" w:sz="0" w:space="0" w:color="auto"/>
          </w:divBdr>
        </w:div>
        <w:div w:id="1644968860">
          <w:marLeft w:val="835"/>
          <w:marRight w:val="0"/>
          <w:marTop w:val="77"/>
          <w:marBottom w:val="77"/>
          <w:divBdr>
            <w:top w:val="none" w:sz="0" w:space="0" w:color="auto"/>
            <w:left w:val="none" w:sz="0" w:space="0" w:color="auto"/>
            <w:bottom w:val="none" w:sz="0" w:space="0" w:color="auto"/>
            <w:right w:val="none" w:sz="0" w:space="0" w:color="auto"/>
          </w:divBdr>
        </w:div>
        <w:div w:id="1645311438">
          <w:marLeft w:val="835"/>
          <w:marRight w:val="0"/>
          <w:marTop w:val="77"/>
          <w:marBottom w:val="77"/>
          <w:divBdr>
            <w:top w:val="none" w:sz="0" w:space="0" w:color="auto"/>
            <w:left w:val="none" w:sz="0" w:space="0" w:color="auto"/>
            <w:bottom w:val="none" w:sz="0" w:space="0" w:color="auto"/>
            <w:right w:val="none" w:sz="0" w:space="0" w:color="auto"/>
          </w:divBdr>
        </w:div>
      </w:divsChild>
    </w:div>
    <w:div w:id="769276653">
      <w:bodyDiv w:val="1"/>
      <w:marLeft w:val="0"/>
      <w:marRight w:val="0"/>
      <w:marTop w:val="0"/>
      <w:marBottom w:val="0"/>
      <w:divBdr>
        <w:top w:val="none" w:sz="0" w:space="0" w:color="auto"/>
        <w:left w:val="none" w:sz="0" w:space="0" w:color="auto"/>
        <w:bottom w:val="none" w:sz="0" w:space="0" w:color="auto"/>
        <w:right w:val="none" w:sz="0" w:space="0" w:color="auto"/>
      </w:divBdr>
    </w:div>
    <w:div w:id="785002216">
      <w:bodyDiv w:val="1"/>
      <w:marLeft w:val="0"/>
      <w:marRight w:val="0"/>
      <w:marTop w:val="0"/>
      <w:marBottom w:val="0"/>
      <w:divBdr>
        <w:top w:val="none" w:sz="0" w:space="0" w:color="auto"/>
        <w:left w:val="none" w:sz="0" w:space="0" w:color="auto"/>
        <w:bottom w:val="none" w:sz="0" w:space="0" w:color="auto"/>
        <w:right w:val="none" w:sz="0" w:space="0" w:color="auto"/>
      </w:divBdr>
    </w:div>
    <w:div w:id="826551661">
      <w:bodyDiv w:val="1"/>
      <w:marLeft w:val="0"/>
      <w:marRight w:val="0"/>
      <w:marTop w:val="0"/>
      <w:marBottom w:val="0"/>
      <w:divBdr>
        <w:top w:val="none" w:sz="0" w:space="0" w:color="auto"/>
        <w:left w:val="none" w:sz="0" w:space="0" w:color="auto"/>
        <w:bottom w:val="none" w:sz="0" w:space="0" w:color="auto"/>
        <w:right w:val="none" w:sz="0" w:space="0" w:color="auto"/>
      </w:divBdr>
    </w:div>
    <w:div w:id="835462613">
      <w:bodyDiv w:val="1"/>
      <w:marLeft w:val="0"/>
      <w:marRight w:val="0"/>
      <w:marTop w:val="0"/>
      <w:marBottom w:val="0"/>
      <w:divBdr>
        <w:top w:val="none" w:sz="0" w:space="0" w:color="auto"/>
        <w:left w:val="none" w:sz="0" w:space="0" w:color="auto"/>
        <w:bottom w:val="none" w:sz="0" w:space="0" w:color="auto"/>
        <w:right w:val="none" w:sz="0" w:space="0" w:color="auto"/>
      </w:divBdr>
      <w:divsChild>
        <w:div w:id="1398672493">
          <w:marLeft w:val="0"/>
          <w:marRight w:val="0"/>
          <w:marTop w:val="0"/>
          <w:marBottom w:val="0"/>
          <w:divBdr>
            <w:top w:val="none" w:sz="0" w:space="0" w:color="auto"/>
            <w:left w:val="none" w:sz="0" w:space="0" w:color="auto"/>
            <w:bottom w:val="none" w:sz="0" w:space="0" w:color="auto"/>
            <w:right w:val="none" w:sz="0" w:space="0" w:color="auto"/>
          </w:divBdr>
        </w:div>
      </w:divsChild>
    </w:div>
    <w:div w:id="847250233">
      <w:bodyDiv w:val="1"/>
      <w:marLeft w:val="0"/>
      <w:marRight w:val="0"/>
      <w:marTop w:val="0"/>
      <w:marBottom w:val="0"/>
      <w:divBdr>
        <w:top w:val="none" w:sz="0" w:space="0" w:color="auto"/>
        <w:left w:val="none" w:sz="0" w:space="0" w:color="auto"/>
        <w:bottom w:val="none" w:sz="0" w:space="0" w:color="auto"/>
        <w:right w:val="none" w:sz="0" w:space="0" w:color="auto"/>
      </w:divBdr>
    </w:div>
    <w:div w:id="852643136">
      <w:bodyDiv w:val="1"/>
      <w:marLeft w:val="0"/>
      <w:marRight w:val="0"/>
      <w:marTop w:val="0"/>
      <w:marBottom w:val="0"/>
      <w:divBdr>
        <w:top w:val="none" w:sz="0" w:space="0" w:color="auto"/>
        <w:left w:val="none" w:sz="0" w:space="0" w:color="auto"/>
        <w:bottom w:val="none" w:sz="0" w:space="0" w:color="auto"/>
        <w:right w:val="none" w:sz="0" w:space="0" w:color="auto"/>
      </w:divBdr>
      <w:divsChild>
        <w:div w:id="379091477">
          <w:marLeft w:val="274"/>
          <w:marRight w:val="0"/>
          <w:marTop w:val="86"/>
          <w:marBottom w:val="86"/>
          <w:divBdr>
            <w:top w:val="none" w:sz="0" w:space="0" w:color="auto"/>
            <w:left w:val="none" w:sz="0" w:space="0" w:color="auto"/>
            <w:bottom w:val="none" w:sz="0" w:space="0" w:color="auto"/>
            <w:right w:val="none" w:sz="0" w:space="0" w:color="auto"/>
          </w:divBdr>
        </w:div>
        <w:div w:id="505292176">
          <w:marLeft w:val="274"/>
          <w:marRight w:val="0"/>
          <w:marTop w:val="86"/>
          <w:marBottom w:val="86"/>
          <w:divBdr>
            <w:top w:val="none" w:sz="0" w:space="0" w:color="auto"/>
            <w:left w:val="none" w:sz="0" w:space="0" w:color="auto"/>
            <w:bottom w:val="none" w:sz="0" w:space="0" w:color="auto"/>
            <w:right w:val="none" w:sz="0" w:space="0" w:color="auto"/>
          </w:divBdr>
        </w:div>
        <w:div w:id="1366172987">
          <w:marLeft w:val="274"/>
          <w:marRight w:val="0"/>
          <w:marTop w:val="86"/>
          <w:marBottom w:val="86"/>
          <w:divBdr>
            <w:top w:val="none" w:sz="0" w:space="0" w:color="auto"/>
            <w:left w:val="none" w:sz="0" w:space="0" w:color="auto"/>
            <w:bottom w:val="none" w:sz="0" w:space="0" w:color="auto"/>
            <w:right w:val="none" w:sz="0" w:space="0" w:color="auto"/>
          </w:divBdr>
        </w:div>
        <w:div w:id="1477451500">
          <w:marLeft w:val="835"/>
          <w:marRight w:val="0"/>
          <w:marTop w:val="86"/>
          <w:marBottom w:val="86"/>
          <w:divBdr>
            <w:top w:val="none" w:sz="0" w:space="0" w:color="auto"/>
            <w:left w:val="none" w:sz="0" w:space="0" w:color="auto"/>
            <w:bottom w:val="none" w:sz="0" w:space="0" w:color="auto"/>
            <w:right w:val="none" w:sz="0" w:space="0" w:color="auto"/>
          </w:divBdr>
        </w:div>
        <w:div w:id="2032366551">
          <w:marLeft w:val="274"/>
          <w:marRight w:val="0"/>
          <w:marTop w:val="86"/>
          <w:marBottom w:val="86"/>
          <w:divBdr>
            <w:top w:val="none" w:sz="0" w:space="0" w:color="auto"/>
            <w:left w:val="none" w:sz="0" w:space="0" w:color="auto"/>
            <w:bottom w:val="none" w:sz="0" w:space="0" w:color="auto"/>
            <w:right w:val="none" w:sz="0" w:space="0" w:color="auto"/>
          </w:divBdr>
        </w:div>
        <w:div w:id="2048869938">
          <w:marLeft w:val="835"/>
          <w:marRight w:val="0"/>
          <w:marTop w:val="86"/>
          <w:marBottom w:val="86"/>
          <w:divBdr>
            <w:top w:val="none" w:sz="0" w:space="0" w:color="auto"/>
            <w:left w:val="none" w:sz="0" w:space="0" w:color="auto"/>
            <w:bottom w:val="none" w:sz="0" w:space="0" w:color="auto"/>
            <w:right w:val="none" w:sz="0" w:space="0" w:color="auto"/>
          </w:divBdr>
        </w:div>
      </w:divsChild>
    </w:div>
    <w:div w:id="897008965">
      <w:bodyDiv w:val="1"/>
      <w:marLeft w:val="0"/>
      <w:marRight w:val="0"/>
      <w:marTop w:val="0"/>
      <w:marBottom w:val="0"/>
      <w:divBdr>
        <w:top w:val="none" w:sz="0" w:space="0" w:color="auto"/>
        <w:left w:val="none" w:sz="0" w:space="0" w:color="auto"/>
        <w:bottom w:val="none" w:sz="0" w:space="0" w:color="auto"/>
        <w:right w:val="none" w:sz="0" w:space="0" w:color="auto"/>
      </w:divBdr>
    </w:div>
    <w:div w:id="897789394">
      <w:bodyDiv w:val="1"/>
      <w:marLeft w:val="0"/>
      <w:marRight w:val="0"/>
      <w:marTop w:val="0"/>
      <w:marBottom w:val="0"/>
      <w:divBdr>
        <w:top w:val="none" w:sz="0" w:space="0" w:color="auto"/>
        <w:left w:val="none" w:sz="0" w:space="0" w:color="auto"/>
        <w:bottom w:val="none" w:sz="0" w:space="0" w:color="auto"/>
        <w:right w:val="none" w:sz="0" w:space="0" w:color="auto"/>
      </w:divBdr>
    </w:div>
    <w:div w:id="932276981">
      <w:bodyDiv w:val="1"/>
      <w:marLeft w:val="0"/>
      <w:marRight w:val="0"/>
      <w:marTop w:val="0"/>
      <w:marBottom w:val="0"/>
      <w:divBdr>
        <w:top w:val="none" w:sz="0" w:space="0" w:color="auto"/>
        <w:left w:val="none" w:sz="0" w:space="0" w:color="auto"/>
        <w:bottom w:val="none" w:sz="0" w:space="0" w:color="auto"/>
        <w:right w:val="none" w:sz="0" w:space="0" w:color="auto"/>
      </w:divBdr>
    </w:div>
    <w:div w:id="946741073">
      <w:bodyDiv w:val="1"/>
      <w:marLeft w:val="0"/>
      <w:marRight w:val="0"/>
      <w:marTop w:val="0"/>
      <w:marBottom w:val="0"/>
      <w:divBdr>
        <w:top w:val="none" w:sz="0" w:space="0" w:color="auto"/>
        <w:left w:val="none" w:sz="0" w:space="0" w:color="auto"/>
        <w:bottom w:val="none" w:sz="0" w:space="0" w:color="auto"/>
        <w:right w:val="none" w:sz="0" w:space="0" w:color="auto"/>
      </w:divBdr>
    </w:div>
    <w:div w:id="963268881">
      <w:bodyDiv w:val="1"/>
      <w:marLeft w:val="0"/>
      <w:marRight w:val="0"/>
      <w:marTop w:val="0"/>
      <w:marBottom w:val="0"/>
      <w:divBdr>
        <w:top w:val="none" w:sz="0" w:space="0" w:color="auto"/>
        <w:left w:val="none" w:sz="0" w:space="0" w:color="auto"/>
        <w:bottom w:val="none" w:sz="0" w:space="0" w:color="auto"/>
        <w:right w:val="none" w:sz="0" w:space="0" w:color="auto"/>
      </w:divBdr>
    </w:div>
    <w:div w:id="1007363301">
      <w:bodyDiv w:val="1"/>
      <w:marLeft w:val="0"/>
      <w:marRight w:val="0"/>
      <w:marTop w:val="0"/>
      <w:marBottom w:val="0"/>
      <w:divBdr>
        <w:top w:val="none" w:sz="0" w:space="0" w:color="auto"/>
        <w:left w:val="none" w:sz="0" w:space="0" w:color="auto"/>
        <w:bottom w:val="none" w:sz="0" w:space="0" w:color="auto"/>
        <w:right w:val="none" w:sz="0" w:space="0" w:color="auto"/>
      </w:divBdr>
    </w:div>
    <w:div w:id="1058018043">
      <w:bodyDiv w:val="1"/>
      <w:marLeft w:val="0"/>
      <w:marRight w:val="0"/>
      <w:marTop w:val="0"/>
      <w:marBottom w:val="0"/>
      <w:divBdr>
        <w:top w:val="none" w:sz="0" w:space="0" w:color="auto"/>
        <w:left w:val="none" w:sz="0" w:space="0" w:color="auto"/>
        <w:bottom w:val="none" w:sz="0" w:space="0" w:color="auto"/>
        <w:right w:val="none" w:sz="0" w:space="0" w:color="auto"/>
      </w:divBdr>
    </w:div>
    <w:div w:id="1078289440">
      <w:bodyDiv w:val="1"/>
      <w:marLeft w:val="0"/>
      <w:marRight w:val="0"/>
      <w:marTop w:val="0"/>
      <w:marBottom w:val="0"/>
      <w:divBdr>
        <w:top w:val="none" w:sz="0" w:space="0" w:color="auto"/>
        <w:left w:val="none" w:sz="0" w:space="0" w:color="auto"/>
        <w:bottom w:val="none" w:sz="0" w:space="0" w:color="auto"/>
        <w:right w:val="none" w:sz="0" w:space="0" w:color="auto"/>
      </w:divBdr>
    </w:div>
    <w:div w:id="1091582354">
      <w:bodyDiv w:val="1"/>
      <w:marLeft w:val="0"/>
      <w:marRight w:val="0"/>
      <w:marTop w:val="0"/>
      <w:marBottom w:val="0"/>
      <w:divBdr>
        <w:top w:val="none" w:sz="0" w:space="0" w:color="auto"/>
        <w:left w:val="none" w:sz="0" w:space="0" w:color="auto"/>
        <w:bottom w:val="none" w:sz="0" w:space="0" w:color="auto"/>
        <w:right w:val="none" w:sz="0" w:space="0" w:color="auto"/>
      </w:divBdr>
    </w:div>
    <w:div w:id="1101024051">
      <w:bodyDiv w:val="1"/>
      <w:marLeft w:val="0"/>
      <w:marRight w:val="0"/>
      <w:marTop w:val="0"/>
      <w:marBottom w:val="0"/>
      <w:divBdr>
        <w:top w:val="none" w:sz="0" w:space="0" w:color="auto"/>
        <w:left w:val="none" w:sz="0" w:space="0" w:color="auto"/>
        <w:bottom w:val="none" w:sz="0" w:space="0" w:color="auto"/>
        <w:right w:val="none" w:sz="0" w:space="0" w:color="auto"/>
      </w:divBdr>
    </w:div>
    <w:div w:id="1108963382">
      <w:bodyDiv w:val="1"/>
      <w:marLeft w:val="0"/>
      <w:marRight w:val="0"/>
      <w:marTop w:val="0"/>
      <w:marBottom w:val="0"/>
      <w:divBdr>
        <w:top w:val="none" w:sz="0" w:space="0" w:color="auto"/>
        <w:left w:val="none" w:sz="0" w:space="0" w:color="auto"/>
        <w:bottom w:val="none" w:sz="0" w:space="0" w:color="auto"/>
        <w:right w:val="none" w:sz="0" w:space="0" w:color="auto"/>
      </w:divBdr>
    </w:div>
    <w:div w:id="1146437499">
      <w:bodyDiv w:val="1"/>
      <w:marLeft w:val="0"/>
      <w:marRight w:val="0"/>
      <w:marTop w:val="0"/>
      <w:marBottom w:val="0"/>
      <w:divBdr>
        <w:top w:val="none" w:sz="0" w:space="0" w:color="auto"/>
        <w:left w:val="none" w:sz="0" w:space="0" w:color="auto"/>
        <w:bottom w:val="none" w:sz="0" w:space="0" w:color="auto"/>
        <w:right w:val="none" w:sz="0" w:space="0" w:color="auto"/>
      </w:divBdr>
    </w:div>
    <w:div w:id="1170754572">
      <w:bodyDiv w:val="1"/>
      <w:marLeft w:val="0"/>
      <w:marRight w:val="0"/>
      <w:marTop w:val="0"/>
      <w:marBottom w:val="0"/>
      <w:divBdr>
        <w:top w:val="none" w:sz="0" w:space="0" w:color="auto"/>
        <w:left w:val="none" w:sz="0" w:space="0" w:color="auto"/>
        <w:bottom w:val="none" w:sz="0" w:space="0" w:color="auto"/>
        <w:right w:val="none" w:sz="0" w:space="0" w:color="auto"/>
      </w:divBdr>
    </w:div>
    <w:div w:id="1194004969">
      <w:bodyDiv w:val="1"/>
      <w:marLeft w:val="0"/>
      <w:marRight w:val="0"/>
      <w:marTop w:val="0"/>
      <w:marBottom w:val="0"/>
      <w:divBdr>
        <w:top w:val="none" w:sz="0" w:space="0" w:color="auto"/>
        <w:left w:val="none" w:sz="0" w:space="0" w:color="auto"/>
        <w:bottom w:val="none" w:sz="0" w:space="0" w:color="auto"/>
        <w:right w:val="none" w:sz="0" w:space="0" w:color="auto"/>
      </w:divBdr>
    </w:div>
    <w:div w:id="1197236020">
      <w:bodyDiv w:val="1"/>
      <w:marLeft w:val="0"/>
      <w:marRight w:val="0"/>
      <w:marTop w:val="0"/>
      <w:marBottom w:val="0"/>
      <w:divBdr>
        <w:top w:val="none" w:sz="0" w:space="0" w:color="auto"/>
        <w:left w:val="none" w:sz="0" w:space="0" w:color="auto"/>
        <w:bottom w:val="none" w:sz="0" w:space="0" w:color="auto"/>
        <w:right w:val="none" w:sz="0" w:space="0" w:color="auto"/>
      </w:divBdr>
    </w:div>
    <w:div w:id="1214274349">
      <w:bodyDiv w:val="1"/>
      <w:marLeft w:val="0"/>
      <w:marRight w:val="0"/>
      <w:marTop w:val="0"/>
      <w:marBottom w:val="0"/>
      <w:divBdr>
        <w:top w:val="none" w:sz="0" w:space="0" w:color="auto"/>
        <w:left w:val="none" w:sz="0" w:space="0" w:color="auto"/>
        <w:bottom w:val="none" w:sz="0" w:space="0" w:color="auto"/>
        <w:right w:val="none" w:sz="0" w:space="0" w:color="auto"/>
      </w:divBdr>
    </w:div>
    <w:div w:id="1244755156">
      <w:bodyDiv w:val="1"/>
      <w:marLeft w:val="0"/>
      <w:marRight w:val="0"/>
      <w:marTop w:val="0"/>
      <w:marBottom w:val="0"/>
      <w:divBdr>
        <w:top w:val="none" w:sz="0" w:space="0" w:color="auto"/>
        <w:left w:val="none" w:sz="0" w:space="0" w:color="auto"/>
        <w:bottom w:val="none" w:sz="0" w:space="0" w:color="auto"/>
        <w:right w:val="none" w:sz="0" w:space="0" w:color="auto"/>
      </w:divBdr>
    </w:div>
    <w:div w:id="1267467217">
      <w:bodyDiv w:val="1"/>
      <w:marLeft w:val="0"/>
      <w:marRight w:val="0"/>
      <w:marTop w:val="0"/>
      <w:marBottom w:val="0"/>
      <w:divBdr>
        <w:top w:val="none" w:sz="0" w:space="0" w:color="auto"/>
        <w:left w:val="none" w:sz="0" w:space="0" w:color="auto"/>
        <w:bottom w:val="none" w:sz="0" w:space="0" w:color="auto"/>
        <w:right w:val="none" w:sz="0" w:space="0" w:color="auto"/>
      </w:divBdr>
    </w:div>
    <w:div w:id="1274752205">
      <w:bodyDiv w:val="1"/>
      <w:marLeft w:val="0"/>
      <w:marRight w:val="0"/>
      <w:marTop w:val="0"/>
      <w:marBottom w:val="0"/>
      <w:divBdr>
        <w:top w:val="none" w:sz="0" w:space="0" w:color="auto"/>
        <w:left w:val="none" w:sz="0" w:space="0" w:color="auto"/>
        <w:bottom w:val="none" w:sz="0" w:space="0" w:color="auto"/>
        <w:right w:val="none" w:sz="0" w:space="0" w:color="auto"/>
      </w:divBdr>
    </w:div>
    <w:div w:id="1286079847">
      <w:bodyDiv w:val="1"/>
      <w:marLeft w:val="0"/>
      <w:marRight w:val="0"/>
      <w:marTop w:val="0"/>
      <w:marBottom w:val="0"/>
      <w:divBdr>
        <w:top w:val="none" w:sz="0" w:space="0" w:color="auto"/>
        <w:left w:val="none" w:sz="0" w:space="0" w:color="auto"/>
        <w:bottom w:val="none" w:sz="0" w:space="0" w:color="auto"/>
        <w:right w:val="none" w:sz="0" w:space="0" w:color="auto"/>
      </w:divBdr>
    </w:div>
    <w:div w:id="1287813166">
      <w:bodyDiv w:val="1"/>
      <w:marLeft w:val="0"/>
      <w:marRight w:val="0"/>
      <w:marTop w:val="0"/>
      <w:marBottom w:val="0"/>
      <w:divBdr>
        <w:top w:val="none" w:sz="0" w:space="0" w:color="auto"/>
        <w:left w:val="none" w:sz="0" w:space="0" w:color="auto"/>
        <w:bottom w:val="none" w:sz="0" w:space="0" w:color="auto"/>
        <w:right w:val="none" w:sz="0" w:space="0" w:color="auto"/>
      </w:divBdr>
    </w:div>
    <w:div w:id="1352874111">
      <w:bodyDiv w:val="1"/>
      <w:marLeft w:val="0"/>
      <w:marRight w:val="0"/>
      <w:marTop w:val="0"/>
      <w:marBottom w:val="0"/>
      <w:divBdr>
        <w:top w:val="none" w:sz="0" w:space="0" w:color="auto"/>
        <w:left w:val="none" w:sz="0" w:space="0" w:color="auto"/>
        <w:bottom w:val="none" w:sz="0" w:space="0" w:color="auto"/>
        <w:right w:val="none" w:sz="0" w:space="0" w:color="auto"/>
      </w:divBdr>
    </w:div>
    <w:div w:id="1356733611">
      <w:bodyDiv w:val="1"/>
      <w:marLeft w:val="0"/>
      <w:marRight w:val="0"/>
      <w:marTop w:val="0"/>
      <w:marBottom w:val="0"/>
      <w:divBdr>
        <w:top w:val="none" w:sz="0" w:space="0" w:color="auto"/>
        <w:left w:val="none" w:sz="0" w:space="0" w:color="auto"/>
        <w:bottom w:val="none" w:sz="0" w:space="0" w:color="auto"/>
        <w:right w:val="none" w:sz="0" w:space="0" w:color="auto"/>
      </w:divBdr>
    </w:div>
    <w:div w:id="1386835823">
      <w:bodyDiv w:val="1"/>
      <w:marLeft w:val="0"/>
      <w:marRight w:val="0"/>
      <w:marTop w:val="0"/>
      <w:marBottom w:val="0"/>
      <w:divBdr>
        <w:top w:val="none" w:sz="0" w:space="0" w:color="auto"/>
        <w:left w:val="none" w:sz="0" w:space="0" w:color="auto"/>
        <w:bottom w:val="none" w:sz="0" w:space="0" w:color="auto"/>
        <w:right w:val="none" w:sz="0" w:space="0" w:color="auto"/>
      </w:divBdr>
    </w:div>
    <w:div w:id="1406144876">
      <w:bodyDiv w:val="1"/>
      <w:marLeft w:val="0"/>
      <w:marRight w:val="0"/>
      <w:marTop w:val="0"/>
      <w:marBottom w:val="0"/>
      <w:divBdr>
        <w:top w:val="none" w:sz="0" w:space="0" w:color="auto"/>
        <w:left w:val="none" w:sz="0" w:space="0" w:color="auto"/>
        <w:bottom w:val="none" w:sz="0" w:space="0" w:color="auto"/>
        <w:right w:val="none" w:sz="0" w:space="0" w:color="auto"/>
      </w:divBdr>
    </w:div>
    <w:div w:id="1443107358">
      <w:bodyDiv w:val="1"/>
      <w:marLeft w:val="0"/>
      <w:marRight w:val="0"/>
      <w:marTop w:val="0"/>
      <w:marBottom w:val="0"/>
      <w:divBdr>
        <w:top w:val="none" w:sz="0" w:space="0" w:color="auto"/>
        <w:left w:val="none" w:sz="0" w:space="0" w:color="auto"/>
        <w:bottom w:val="none" w:sz="0" w:space="0" w:color="auto"/>
        <w:right w:val="none" w:sz="0" w:space="0" w:color="auto"/>
      </w:divBdr>
    </w:div>
    <w:div w:id="1457479228">
      <w:bodyDiv w:val="1"/>
      <w:marLeft w:val="0"/>
      <w:marRight w:val="0"/>
      <w:marTop w:val="0"/>
      <w:marBottom w:val="0"/>
      <w:divBdr>
        <w:top w:val="none" w:sz="0" w:space="0" w:color="auto"/>
        <w:left w:val="none" w:sz="0" w:space="0" w:color="auto"/>
        <w:bottom w:val="none" w:sz="0" w:space="0" w:color="auto"/>
        <w:right w:val="none" w:sz="0" w:space="0" w:color="auto"/>
      </w:divBdr>
    </w:div>
    <w:div w:id="1467242413">
      <w:bodyDiv w:val="1"/>
      <w:marLeft w:val="0"/>
      <w:marRight w:val="0"/>
      <w:marTop w:val="0"/>
      <w:marBottom w:val="0"/>
      <w:divBdr>
        <w:top w:val="none" w:sz="0" w:space="0" w:color="auto"/>
        <w:left w:val="none" w:sz="0" w:space="0" w:color="auto"/>
        <w:bottom w:val="none" w:sz="0" w:space="0" w:color="auto"/>
        <w:right w:val="none" w:sz="0" w:space="0" w:color="auto"/>
      </w:divBdr>
    </w:div>
    <w:div w:id="1505053029">
      <w:bodyDiv w:val="1"/>
      <w:marLeft w:val="0"/>
      <w:marRight w:val="0"/>
      <w:marTop w:val="0"/>
      <w:marBottom w:val="0"/>
      <w:divBdr>
        <w:top w:val="none" w:sz="0" w:space="0" w:color="auto"/>
        <w:left w:val="none" w:sz="0" w:space="0" w:color="auto"/>
        <w:bottom w:val="none" w:sz="0" w:space="0" w:color="auto"/>
        <w:right w:val="none" w:sz="0" w:space="0" w:color="auto"/>
      </w:divBdr>
    </w:div>
    <w:div w:id="1524200675">
      <w:bodyDiv w:val="1"/>
      <w:marLeft w:val="0"/>
      <w:marRight w:val="0"/>
      <w:marTop w:val="0"/>
      <w:marBottom w:val="0"/>
      <w:divBdr>
        <w:top w:val="none" w:sz="0" w:space="0" w:color="auto"/>
        <w:left w:val="none" w:sz="0" w:space="0" w:color="auto"/>
        <w:bottom w:val="none" w:sz="0" w:space="0" w:color="auto"/>
        <w:right w:val="none" w:sz="0" w:space="0" w:color="auto"/>
      </w:divBdr>
    </w:div>
    <w:div w:id="1528517735">
      <w:bodyDiv w:val="1"/>
      <w:marLeft w:val="0"/>
      <w:marRight w:val="0"/>
      <w:marTop w:val="0"/>
      <w:marBottom w:val="0"/>
      <w:divBdr>
        <w:top w:val="none" w:sz="0" w:space="0" w:color="auto"/>
        <w:left w:val="none" w:sz="0" w:space="0" w:color="auto"/>
        <w:bottom w:val="none" w:sz="0" w:space="0" w:color="auto"/>
        <w:right w:val="none" w:sz="0" w:space="0" w:color="auto"/>
      </w:divBdr>
    </w:div>
    <w:div w:id="1560171108">
      <w:bodyDiv w:val="1"/>
      <w:marLeft w:val="0"/>
      <w:marRight w:val="0"/>
      <w:marTop w:val="0"/>
      <w:marBottom w:val="0"/>
      <w:divBdr>
        <w:top w:val="none" w:sz="0" w:space="0" w:color="auto"/>
        <w:left w:val="none" w:sz="0" w:space="0" w:color="auto"/>
        <w:bottom w:val="none" w:sz="0" w:space="0" w:color="auto"/>
        <w:right w:val="none" w:sz="0" w:space="0" w:color="auto"/>
      </w:divBdr>
      <w:divsChild>
        <w:div w:id="231476438">
          <w:marLeft w:val="0"/>
          <w:marRight w:val="0"/>
          <w:marTop w:val="0"/>
          <w:marBottom w:val="0"/>
          <w:divBdr>
            <w:top w:val="none" w:sz="0" w:space="0" w:color="auto"/>
            <w:left w:val="none" w:sz="0" w:space="0" w:color="auto"/>
            <w:bottom w:val="none" w:sz="0" w:space="0" w:color="auto"/>
            <w:right w:val="none" w:sz="0" w:space="0" w:color="auto"/>
          </w:divBdr>
        </w:div>
        <w:div w:id="311254206">
          <w:marLeft w:val="0"/>
          <w:marRight w:val="0"/>
          <w:marTop w:val="0"/>
          <w:marBottom w:val="0"/>
          <w:divBdr>
            <w:top w:val="none" w:sz="0" w:space="0" w:color="auto"/>
            <w:left w:val="none" w:sz="0" w:space="0" w:color="auto"/>
            <w:bottom w:val="none" w:sz="0" w:space="0" w:color="auto"/>
            <w:right w:val="none" w:sz="0" w:space="0" w:color="auto"/>
          </w:divBdr>
        </w:div>
        <w:div w:id="1139146981">
          <w:marLeft w:val="0"/>
          <w:marRight w:val="0"/>
          <w:marTop w:val="0"/>
          <w:marBottom w:val="0"/>
          <w:divBdr>
            <w:top w:val="none" w:sz="0" w:space="0" w:color="auto"/>
            <w:left w:val="none" w:sz="0" w:space="0" w:color="auto"/>
            <w:bottom w:val="none" w:sz="0" w:space="0" w:color="auto"/>
            <w:right w:val="none" w:sz="0" w:space="0" w:color="auto"/>
          </w:divBdr>
        </w:div>
        <w:div w:id="1291739413">
          <w:marLeft w:val="0"/>
          <w:marRight w:val="0"/>
          <w:marTop w:val="0"/>
          <w:marBottom w:val="0"/>
          <w:divBdr>
            <w:top w:val="none" w:sz="0" w:space="0" w:color="auto"/>
            <w:left w:val="none" w:sz="0" w:space="0" w:color="auto"/>
            <w:bottom w:val="none" w:sz="0" w:space="0" w:color="auto"/>
            <w:right w:val="none" w:sz="0" w:space="0" w:color="auto"/>
          </w:divBdr>
        </w:div>
        <w:div w:id="1835602520">
          <w:marLeft w:val="0"/>
          <w:marRight w:val="0"/>
          <w:marTop w:val="0"/>
          <w:marBottom w:val="0"/>
          <w:divBdr>
            <w:top w:val="none" w:sz="0" w:space="0" w:color="auto"/>
            <w:left w:val="none" w:sz="0" w:space="0" w:color="auto"/>
            <w:bottom w:val="none" w:sz="0" w:space="0" w:color="auto"/>
            <w:right w:val="none" w:sz="0" w:space="0" w:color="auto"/>
          </w:divBdr>
        </w:div>
        <w:div w:id="2057897404">
          <w:marLeft w:val="0"/>
          <w:marRight w:val="0"/>
          <w:marTop w:val="0"/>
          <w:marBottom w:val="0"/>
          <w:divBdr>
            <w:top w:val="none" w:sz="0" w:space="0" w:color="auto"/>
            <w:left w:val="none" w:sz="0" w:space="0" w:color="auto"/>
            <w:bottom w:val="none" w:sz="0" w:space="0" w:color="auto"/>
            <w:right w:val="none" w:sz="0" w:space="0" w:color="auto"/>
          </w:divBdr>
        </w:div>
      </w:divsChild>
    </w:div>
    <w:div w:id="1569464191">
      <w:bodyDiv w:val="1"/>
      <w:marLeft w:val="0"/>
      <w:marRight w:val="0"/>
      <w:marTop w:val="0"/>
      <w:marBottom w:val="0"/>
      <w:divBdr>
        <w:top w:val="none" w:sz="0" w:space="0" w:color="auto"/>
        <w:left w:val="none" w:sz="0" w:space="0" w:color="auto"/>
        <w:bottom w:val="none" w:sz="0" w:space="0" w:color="auto"/>
        <w:right w:val="none" w:sz="0" w:space="0" w:color="auto"/>
      </w:divBdr>
    </w:div>
    <w:div w:id="1570533704">
      <w:bodyDiv w:val="1"/>
      <w:marLeft w:val="0"/>
      <w:marRight w:val="0"/>
      <w:marTop w:val="0"/>
      <w:marBottom w:val="0"/>
      <w:divBdr>
        <w:top w:val="none" w:sz="0" w:space="0" w:color="auto"/>
        <w:left w:val="none" w:sz="0" w:space="0" w:color="auto"/>
        <w:bottom w:val="none" w:sz="0" w:space="0" w:color="auto"/>
        <w:right w:val="none" w:sz="0" w:space="0" w:color="auto"/>
      </w:divBdr>
    </w:div>
    <w:div w:id="1577860915">
      <w:bodyDiv w:val="1"/>
      <w:marLeft w:val="0"/>
      <w:marRight w:val="0"/>
      <w:marTop w:val="0"/>
      <w:marBottom w:val="0"/>
      <w:divBdr>
        <w:top w:val="none" w:sz="0" w:space="0" w:color="auto"/>
        <w:left w:val="none" w:sz="0" w:space="0" w:color="auto"/>
        <w:bottom w:val="none" w:sz="0" w:space="0" w:color="auto"/>
        <w:right w:val="none" w:sz="0" w:space="0" w:color="auto"/>
      </w:divBdr>
    </w:div>
    <w:div w:id="1610770510">
      <w:bodyDiv w:val="1"/>
      <w:marLeft w:val="0"/>
      <w:marRight w:val="0"/>
      <w:marTop w:val="0"/>
      <w:marBottom w:val="0"/>
      <w:divBdr>
        <w:top w:val="none" w:sz="0" w:space="0" w:color="auto"/>
        <w:left w:val="none" w:sz="0" w:space="0" w:color="auto"/>
        <w:bottom w:val="none" w:sz="0" w:space="0" w:color="auto"/>
        <w:right w:val="none" w:sz="0" w:space="0" w:color="auto"/>
      </w:divBdr>
    </w:div>
    <w:div w:id="1611931985">
      <w:bodyDiv w:val="1"/>
      <w:marLeft w:val="0"/>
      <w:marRight w:val="0"/>
      <w:marTop w:val="0"/>
      <w:marBottom w:val="0"/>
      <w:divBdr>
        <w:top w:val="none" w:sz="0" w:space="0" w:color="auto"/>
        <w:left w:val="none" w:sz="0" w:space="0" w:color="auto"/>
        <w:bottom w:val="none" w:sz="0" w:space="0" w:color="auto"/>
        <w:right w:val="none" w:sz="0" w:space="0" w:color="auto"/>
      </w:divBdr>
    </w:div>
    <w:div w:id="1663385836">
      <w:bodyDiv w:val="1"/>
      <w:marLeft w:val="0"/>
      <w:marRight w:val="0"/>
      <w:marTop w:val="0"/>
      <w:marBottom w:val="0"/>
      <w:divBdr>
        <w:top w:val="none" w:sz="0" w:space="0" w:color="auto"/>
        <w:left w:val="none" w:sz="0" w:space="0" w:color="auto"/>
        <w:bottom w:val="none" w:sz="0" w:space="0" w:color="auto"/>
        <w:right w:val="none" w:sz="0" w:space="0" w:color="auto"/>
      </w:divBdr>
      <w:divsChild>
        <w:div w:id="827555785">
          <w:marLeft w:val="274"/>
          <w:marRight w:val="0"/>
          <w:marTop w:val="96"/>
          <w:marBottom w:val="96"/>
          <w:divBdr>
            <w:top w:val="none" w:sz="0" w:space="0" w:color="auto"/>
            <w:left w:val="none" w:sz="0" w:space="0" w:color="auto"/>
            <w:bottom w:val="none" w:sz="0" w:space="0" w:color="auto"/>
            <w:right w:val="none" w:sz="0" w:space="0" w:color="auto"/>
          </w:divBdr>
        </w:div>
        <w:div w:id="894851729">
          <w:marLeft w:val="835"/>
          <w:marRight w:val="0"/>
          <w:marTop w:val="77"/>
          <w:marBottom w:val="77"/>
          <w:divBdr>
            <w:top w:val="none" w:sz="0" w:space="0" w:color="auto"/>
            <w:left w:val="none" w:sz="0" w:space="0" w:color="auto"/>
            <w:bottom w:val="none" w:sz="0" w:space="0" w:color="auto"/>
            <w:right w:val="none" w:sz="0" w:space="0" w:color="auto"/>
          </w:divBdr>
        </w:div>
        <w:div w:id="1365205605">
          <w:marLeft w:val="835"/>
          <w:marRight w:val="0"/>
          <w:marTop w:val="77"/>
          <w:marBottom w:val="77"/>
          <w:divBdr>
            <w:top w:val="none" w:sz="0" w:space="0" w:color="auto"/>
            <w:left w:val="none" w:sz="0" w:space="0" w:color="auto"/>
            <w:bottom w:val="none" w:sz="0" w:space="0" w:color="auto"/>
            <w:right w:val="none" w:sz="0" w:space="0" w:color="auto"/>
          </w:divBdr>
        </w:div>
        <w:div w:id="1459453335">
          <w:marLeft w:val="835"/>
          <w:marRight w:val="0"/>
          <w:marTop w:val="77"/>
          <w:marBottom w:val="77"/>
          <w:divBdr>
            <w:top w:val="none" w:sz="0" w:space="0" w:color="auto"/>
            <w:left w:val="none" w:sz="0" w:space="0" w:color="auto"/>
            <w:bottom w:val="none" w:sz="0" w:space="0" w:color="auto"/>
            <w:right w:val="none" w:sz="0" w:space="0" w:color="auto"/>
          </w:divBdr>
        </w:div>
        <w:div w:id="1630742848">
          <w:marLeft w:val="835"/>
          <w:marRight w:val="0"/>
          <w:marTop w:val="77"/>
          <w:marBottom w:val="77"/>
          <w:divBdr>
            <w:top w:val="none" w:sz="0" w:space="0" w:color="auto"/>
            <w:left w:val="none" w:sz="0" w:space="0" w:color="auto"/>
            <w:bottom w:val="none" w:sz="0" w:space="0" w:color="auto"/>
            <w:right w:val="none" w:sz="0" w:space="0" w:color="auto"/>
          </w:divBdr>
        </w:div>
        <w:div w:id="1683700496">
          <w:marLeft w:val="835"/>
          <w:marRight w:val="0"/>
          <w:marTop w:val="77"/>
          <w:marBottom w:val="77"/>
          <w:divBdr>
            <w:top w:val="none" w:sz="0" w:space="0" w:color="auto"/>
            <w:left w:val="none" w:sz="0" w:space="0" w:color="auto"/>
            <w:bottom w:val="none" w:sz="0" w:space="0" w:color="auto"/>
            <w:right w:val="none" w:sz="0" w:space="0" w:color="auto"/>
          </w:divBdr>
        </w:div>
      </w:divsChild>
    </w:div>
    <w:div w:id="1683777389">
      <w:bodyDiv w:val="1"/>
      <w:marLeft w:val="0"/>
      <w:marRight w:val="0"/>
      <w:marTop w:val="0"/>
      <w:marBottom w:val="0"/>
      <w:divBdr>
        <w:top w:val="none" w:sz="0" w:space="0" w:color="auto"/>
        <w:left w:val="none" w:sz="0" w:space="0" w:color="auto"/>
        <w:bottom w:val="none" w:sz="0" w:space="0" w:color="auto"/>
        <w:right w:val="none" w:sz="0" w:space="0" w:color="auto"/>
      </w:divBdr>
    </w:div>
    <w:div w:id="1687054287">
      <w:bodyDiv w:val="1"/>
      <w:marLeft w:val="0"/>
      <w:marRight w:val="0"/>
      <w:marTop w:val="0"/>
      <w:marBottom w:val="0"/>
      <w:divBdr>
        <w:top w:val="none" w:sz="0" w:space="0" w:color="auto"/>
        <w:left w:val="none" w:sz="0" w:space="0" w:color="auto"/>
        <w:bottom w:val="none" w:sz="0" w:space="0" w:color="auto"/>
        <w:right w:val="none" w:sz="0" w:space="0" w:color="auto"/>
      </w:divBdr>
    </w:div>
    <w:div w:id="1688481020">
      <w:bodyDiv w:val="1"/>
      <w:marLeft w:val="0"/>
      <w:marRight w:val="0"/>
      <w:marTop w:val="0"/>
      <w:marBottom w:val="0"/>
      <w:divBdr>
        <w:top w:val="none" w:sz="0" w:space="0" w:color="auto"/>
        <w:left w:val="none" w:sz="0" w:space="0" w:color="auto"/>
        <w:bottom w:val="none" w:sz="0" w:space="0" w:color="auto"/>
        <w:right w:val="none" w:sz="0" w:space="0" w:color="auto"/>
      </w:divBdr>
    </w:div>
    <w:div w:id="1789547672">
      <w:bodyDiv w:val="1"/>
      <w:marLeft w:val="0"/>
      <w:marRight w:val="0"/>
      <w:marTop w:val="0"/>
      <w:marBottom w:val="0"/>
      <w:divBdr>
        <w:top w:val="none" w:sz="0" w:space="0" w:color="auto"/>
        <w:left w:val="none" w:sz="0" w:space="0" w:color="auto"/>
        <w:bottom w:val="none" w:sz="0" w:space="0" w:color="auto"/>
        <w:right w:val="none" w:sz="0" w:space="0" w:color="auto"/>
      </w:divBdr>
    </w:div>
    <w:div w:id="1839731361">
      <w:bodyDiv w:val="1"/>
      <w:marLeft w:val="0"/>
      <w:marRight w:val="0"/>
      <w:marTop w:val="0"/>
      <w:marBottom w:val="0"/>
      <w:divBdr>
        <w:top w:val="none" w:sz="0" w:space="0" w:color="auto"/>
        <w:left w:val="none" w:sz="0" w:space="0" w:color="auto"/>
        <w:bottom w:val="none" w:sz="0" w:space="0" w:color="auto"/>
        <w:right w:val="none" w:sz="0" w:space="0" w:color="auto"/>
      </w:divBdr>
    </w:div>
    <w:div w:id="1864437548">
      <w:bodyDiv w:val="1"/>
      <w:marLeft w:val="0"/>
      <w:marRight w:val="0"/>
      <w:marTop w:val="0"/>
      <w:marBottom w:val="0"/>
      <w:divBdr>
        <w:top w:val="none" w:sz="0" w:space="0" w:color="auto"/>
        <w:left w:val="none" w:sz="0" w:space="0" w:color="auto"/>
        <w:bottom w:val="none" w:sz="0" w:space="0" w:color="auto"/>
        <w:right w:val="none" w:sz="0" w:space="0" w:color="auto"/>
      </w:divBdr>
    </w:div>
    <w:div w:id="1928224271">
      <w:bodyDiv w:val="1"/>
      <w:marLeft w:val="0"/>
      <w:marRight w:val="0"/>
      <w:marTop w:val="0"/>
      <w:marBottom w:val="0"/>
      <w:divBdr>
        <w:top w:val="none" w:sz="0" w:space="0" w:color="auto"/>
        <w:left w:val="none" w:sz="0" w:space="0" w:color="auto"/>
        <w:bottom w:val="none" w:sz="0" w:space="0" w:color="auto"/>
        <w:right w:val="none" w:sz="0" w:space="0" w:color="auto"/>
      </w:divBdr>
    </w:div>
    <w:div w:id="1993099921">
      <w:bodyDiv w:val="1"/>
      <w:marLeft w:val="0"/>
      <w:marRight w:val="0"/>
      <w:marTop w:val="0"/>
      <w:marBottom w:val="0"/>
      <w:divBdr>
        <w:top w:val="none" w:sz="0" w:space="0" w:color="auto"/>
        <w:left w:val="none" w:sz="0" w:space="0" w:color="auto"/>
        <w:bottom w:val="none" w:sz="0" w:space="0" w:color="auto"/>
        <w:right w:val="none" w:sz="0" w:space="0" w:color="auto"/>
      </w:divBdr>
    </w:div>
    <w:div w:id="2035299093">
      <w:bodyDiv w:val="1"/>
      <w:marLeft w:val="0"/>
      <w:marRight w:val="0"/>
      <w:marTop w:val="0"/>
      <w:marBottom w:val="0"/>
      <w:divBdr>
        <w:top w:val="none" w:sz="0" w:space="0" w:color="auto"/>
        <w:left w:val="none" w:sz="0" w:space="0" w:color="auto"/>
        <w:bottom w:val="none" w:sz="0" w:space="0" w:color="auto"/>
        <w:right w:val="none" w:sz="0" w:space="0" w:color="auto"/>
      </w:divBdr>
    </w:div>
    <w:div w:id="2051953082">
      <w:bodyDiv w:val="1"/>
      <w:marLeft w:val="0"/>
      <w:marRight w:val="0"/>
      <w:marTop w:val="0"/>
      <w:marBottom w:val="0"/>
      <w:divBdr>
        <w:top w:val="none" w:sz="0" w:space="0" w:color="auto"/>
        <w:left w:val="none" w:sz="0" w:space="0" w:color="auto"/>
        <w:bottom w:val="none" w:sz="0" w:space="0" w:color="auto"/>
        <w:right w:val="none" w:sz="0" w:space="0" w:color="auto"/>
      </w:divBdr>
    </w:div>
    <w:div w:id="2058846164">
      <w:bodyDiv w:val="1"/>
      <w:marLeft w:val="0"/>
      <w:marRight w:val="0"/>
      <w:marTop w:val="0"/>
      <w:marBottom w:val="0"/>
      <w:divBdr>
        <w:top w:val="none" w:sz="0" w:space="0" w:color="auto"/>
        <w:left w:val="none" w:sz="0" w:space="0" w:color="auto"/>
        <w:bottom w:val="none" w:sz="0" w:space="0" w:color="auto"/>
        <w:right w:val="none" w:sz="0" w:space="0" w:color="auto"/>
      </w:divBdr>
    </w:div>
    <w:div w:id="2058894242">
      <w:bodyDiv w:val="1"/>
      <w:marLeft w:val="0"/>
      <w:marRight w:val="0"/>
      <w:marTop w:val="0"/>
      <w:marBottom w:val="0"/>
      <w:divBdr>
        <w:top w:val="none" w:sz="0" w:space="0" w:color="auto"/>
        <w:left w:val="none" w:sz="0" w:space="0" w:color="auto"/>
        <w:bottom w:val="none" w:sz="0" w:space="0" w:color="auto"/>
        <w:right w:val="none" w:sz="0" w:space="0" w:color="auto"/>
      </w:divBdr>
    </w:div>
    <w:div w:id="2062167997">
      <w:bodyDiv w:val="1"/>
      <w:marLeft w:val="0"/>
      <w:marRight w:val="0"/>
      <w:marTop w:val="0"/>
      <w:marBottom w:val="0"/>
      <w:divBdr>
        <w:top w:val="none" w:sz="0" w:space="0" w:color="auto"/>
        <w:left w:val="none" w:sz="0" w:space="0" w:color="auto"/>
        <w:bottom w:val="none" w:sz="0" w:space="0" w:color="auto"/>
        <w:right w:val="none" w:sz="0" w:space="0" w:color="auto"/>
      </w:divBdr>
    </w:div>
    <w:div w:id="2086148183">
      <w:bodyDiv w:val="1"/>
      <w:marLeft w:val="0"/>
      <w:marRight w:val="0"/>
      <w:marTop w:val="0"/>
      <w:marBottom w:val="0"/>
      <w:divBdr>
        <w:top w:val="none" w:sz="0" w:space="0" w:color="auto"/>
        <w:left w:val="none" w:sz="0" w:space="0" w:color="auto"/>
        <w:bottom w:val="none" w:sz="0" w:space="0" w:color="auto"/>
        <w:right w:val="none" w:sz="0" w:space="0" w:color="auto"/>
      </w:divBdr>
    </w:div>
    <w:div w:id="2101025852">
      <w:bodyDiv w:val="1"/>
      <w:marLeft w:val="0"/>
      <w:marRight w:val="0"/>
      <w:marTop w:val="0"/>
      <w:marBottom w:val="0"/>
      <w:divBdr>
        <w:top w:val="none" w:sz="0" w:space="0" w:color="auto"/>
        <w:left w:val="none" w:sz="0" w:space="0" w:color="auto"/>
        <w:bottom w:val="none" w:sz="0" w:space="0" w:color="auto"/>
        <w:right w:val="none" w:sz="0" w:space="0" w:color="auto"/>
      </w:divBdr>
    </w:div>
    <w:div w:id="21281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image" Target="media/image15.emf"/><Relationship Id="rId39" Type="http://schemas.openxmlformats.org/officeDocument/2006/relationships/hyperlink" Target="http://pages.stern.nyu.edu/~adamodar/New_Home_Page/datafile/ratings.htm" TargetMode="External"/><Relationship Id="rId21" Type="http://schemas.openxmlformats.org/officeDocument/2006/relationships/image" Target="media/image10.emf"/><Relationship Id="rId34" Type="http://schemas.openxmlformats.org/officeDocument/2006/relationships/hyperlink" Target="https://berec.europa.eu/eng/document_register/subject_matter/berec/reports/9364-berec-report-on-wacc-parameter-calculations-according-to-the-european-commission8217s-wacc-notice" TargetMode="External"/><Relationship Id="rId42" Type="http://schemas.openxmlformats.org/officeDocument/2006/relationships/hyperlink" Target="https://berec.europa.eu/eng/document_register/subject_matter/berec/reports/6479-berec-report-regulatory-accounting-in-practice-2016" TargetMode="External"/><Relationship Id="rId47" Type="http://schemas.openxmlformats.org/officeDocument/2006/relationships/header" Target="header5.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image" Target="media/image18.emf"/><Relationship Id="rId11" Type="http://schemas.openxmlformats.org/officeDocument/2006/relationships/header" Target="header1.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hyperlink" Target="https://op.europa.eu/en/publication-detail/-/publication/da1cbe44-4a4e-11e6-9c64-01aa75ed71a1/language-en" TargetMode="External"/><Relationship Id="rId40" Type="http://schemas.openxmlformats.org/officeDocument/2006/relationships/hyperlink" Target="http://berec.europa.eu/doc/publications/consult_principles_best_implem/erg_07_04_pibs_on_wacc_public_cons_summary_mar2007_final.pdf" TargetMode="External"/><Relationship Id="rId45" Type="http://schemas.openxmlformats.org/officeDocument/2006/relationships/hyperlink" Target="https://www.fitchratings.com/research/corporate-finance/mtn-group-limited-29-05-2020"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hyperlink" Target="https://www.bcplp.org/sites/default/files/2020-10/Evolucao%20das%20Economias%20dos%20PALOP%20e%20de%20Timor%20Leste_2019-2020_web3_0.pdf" TargetMode="External"/><Relationship Id="rId49" Type="http://schemas.openxmlformats.org/officeDocument/2006/relationships/header" Target="header6.xml"/><Relationship Id="rId10" Type="http://schemas.openxmlformats.org/officeDocument/2006/relationships/image" Target="media/image2.emf"/><Relationship Id="rId19" Type="http://schemas.openxmlformats.org/officeDocument/2006/relationships/image" Target="media/image8.png"/><Relationship Id="rId31" Type="http://schemas.openxmlformats.org/officeDocument/2006/relationships/image" Target="media/image20.emf"/><Relationship Id="rId44" Type="http://schemas.openxmlformats.org/officeDocument/2006/relationships/hyperlink" Target="https://berec.europa.eu/eng/document_register/subject_matter/berec/reports/9364-berec-report-on-wacc-parameter-calculations-according-to-the-european-commission8217s-wacc-notice"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hyperlink" Target="http://pages.stern.nyu.edu/~adamodar/" TargetMode="External"/><Relationship Id="rId43" Type="http://schemas.openxmlformats.org/officeDocument/2006/relationships/hyperlink" Target="https://papers.ssrn.com/sol3/papers.cfm?abstract_id=3550293"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hyperlink" Target="https://www.bceao.int/fr/documents/marche-des-titres-publics-et-prives-emis-par-appel-public" TargetMode="External"/><Relationship Id="rId38" Type="http://schemas.openxmlformats.org/officeDocument/2006/relationships/hyperlink" Target="https://www.orange.com/en/debt-and-rating" TargetMode="External"/><Relationship Id="rId46" Type="http://schemas.openxmlformats.org/officeDocument/2006/relationships/header" Target="header4.xml"/><Relationship Id="rId20" Type="http://schemas.openxmlformats.org/officeDocument/2006/relationships/image" Target="media/image9.emf"/><Relationship Id="rId41" Type="http://schemas.openxmlformats.org/officeDocument/2006/relationships/hyperlink" Target="https://berec.europa.eu/eng/document_register/subject_matter/berec/reports/1451-berec-report-on-the-regulatory-accounting-in-practice-2013"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skype.com/en/international-calls/" TargetMode="External"/><Relationship Id="rId1" Type="http://schemas.openxmlformats.org/officeDocument/2006/relationships/hyperlink" Target="https://blog.telegeography.com/termination-rates-continue-downward-tren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Incyte Colours">
      <a:dk1>
        <a:sysClr val="windowText" lastClr="000000"/>
      </a:dk1>
      <a:lt1>
        <a:sysClr val="window" lastClr="FFFFFF"/>
      </a:lt1>
      <a:dk2>
        <a:srgbClr val="1F497D"/>
      </a:dk2>
      <a:lt2>
        <a:srgbClr val="EEECE1"/>
      </a:lt2>
      <a:accent1>
        <a:srgbClr val="002D62"/>
      </a:accent1>
      <a:accent2>
        <a:srgbClr val="5F93A8"/>
      </a:accent2>
      <a:accent3>
        <a:srgbClr val="EF3C3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Relatório sobre modelo de custeio para a Autoridade Reguladora Nacional das Tecnologias de Informação e Comunicação da Guiné Bissau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04E826-B12A-4DEB-847D-2E083DA2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11309</Words>
  <Characters>62681</Characters>
  <Application>Microsoft Office Word</Application>
  <DocSecurity>0</DocSecurity>
  <Lines>522</Lines>
  <Paragraphs>147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Modelo de custeio de serviços de telecomunicação a grosso e retalho</vt:lpstr>
      <vt:lpstr>Modelo de custeio de serviços de telecomunicação a grosso e retalho</vt:lpstr>
    </vt:vector>
  </TitlesOfParts>
  <Company>Incyte Consulting</Company>
  <LinksUpToDate>false</LinksUpToDate>
  <CharactersWithSpaces>73843</CharactersWithSpaces>
  <SharedDoc>false</SharedDoc>
  <HLinks>
    <vt:vector size="246" baseType="variant">
      <vt:variant>
        <vt:i4>6619172</vt:i4>
      </vt:variant>
      <vt:variant>
        <vt:i4>321</vt:i4>
      </vt:variant>
      <vt:variant>
        <vt:i4>0</vt:i4>
      </vt:variant>
      <vt:variant>
        <vt:i4>5</vt:i4>
      </vt:variant>
      <vt:variant>
        <vt:lpwstr>http://www.incyteconsulting.com/papersandarticles.html</vt:lpwstr>
      </vt:variant>
      <vt:variant>
        <vt:lpwstr/>
      </vt:variant>
      <vt:variant>
        <vt:i4>6553723</vt:i4>
      </vt:variant>
      <vt:variant>
        <vt:i4>318</vt:i4>
      </vt:variant>
      <vt:variant>
        <vt:i4>0</vt:i4>
      </vt:variant>
      <vt:variant>
        <vt:i4>5</vt:i4>
      </vt:variant>
      <vt:variant>
        <vt:lpwstr>http://www.uq.edu.au/emsah/mia/issues/miacp127.html</vt:lpwstr>
      </vt:variant>
      <vt:variant>
        <vt:lpwstr/>
      </vt:variant>
      <vt:variant>
        <vt:i4>6619172</vt:i4>
      </vt:variant>
      <vt:variant>
        <vt:i4>315</vt:i4>
      </vt:variant>
      <vt:variant>
        <vt:i4>0</vt:i4>
      </vt:variant>
      <vt:variant>
        <vt:i4>5</vt:i4>
      </vt:variant>
      <vt:variant>
        <vt:lpwstr>http://www.incyteconsulting.com/papersandarticles.html</vt:lpwstr>
      </vt:variant>
      <vt:variant>
        <vt:lpwstr/>
      </vt:variant>
      <vt:variant>
        <vt:i4>7340124</vt:i4>
      </vt:variant>
      <vt:variant>
        <vt:i4>312</vt:i4>
      </vt:variant>
      <vt:variant>
        <vt:i4>0</vt:i4>
      </vt:variant>
      <vt:variant>
        <vt:i4>5</vt:i4>
      </vt:variant>
      <vt:variant>
        <vt:lpwstr>http://www.antelope.org.uk/consumer_meetings.htm</vt:lpwstr>
      </vt:variant>
      <vt:variant>
        <vt:lpwstr/>
      </vt:variant>
      <vt:variant>
        <vt:i4>3801197</vt:i4>
      </vt:variant>
      <vt:variant>
        <vt:i4>309</vt:i4>
      </vt:variant>
      <vt:variant>
        <vt:i4>0</vt:i4>
      </vt:variant>
      <vt:variant>
        <vt:i4>5</vt:i4>
      </vt:variant>
      <vt:variant>
        <vt:lpwstr>http://www.seefire.org/publications.php?language=en</vt:lpwstr>
      </vt:variant>
      <vt:variant>
        <vt:lpwstr/>
      </vt:variant>
      <vt:variant>
        <vt:i4>1507420</vt:i4>
      </vt:variant>
      <vt:variant>
        <vt:i4>306</vt:i4>
      </vt:variant>
      <vt:variant>
        <vt:i4>0</vt:i4>
      </vt:variant>
      <vt:variant>
        <vt:i4>5</vt:i4>
      </vt:variant>
      <vt:variant>
        <vt:lpwstr>http://www.ruralict.ftml.net/np/nepal.htm</vt:lpwstr>
      </vt:variant>
      <vt:variant>
        <vt:lpwstr/>
      </vt:variant>
      <vt:variant>
        <vt:i4>7012385</vt:i4>
      </vt:variant>
      <vt:variant>
        <vt:i4>303</vt:i4>
      </vt:variant>
      <vt:variant>
        <vt:i4>0</vt:i4>
      </vt:variant>
      <vt:variant>
        <vt:i4>5</vt:i4>
      </vt:variant>
      <vt:variant>
        <vt:lpwstr>http://www.regulateonline.org/content/view/619/71/</vt:lpwstr>
      </vt:variant>
      <vt:variant>
        <vt:lpwstr/>
      </vt:variant>
      <vt:variant>
        <vt:i4>5832797</vt:i4>
      </vt:variant>
      <vt:variant>
        <vt:i4>300</vt:i4>
      </vt:variant>
      <vt:variant>
        <vt:i4>0</vt:i4>
      </vt:variant>
      <vt:variant>
        <vt:i4>5</vt:i4>
      </vt:variant>
      <vt:variant>
        <vt:lpwstr>http://www.ictregulationtoolkit.org/</vt:lpwstr>
      </vt:variant>
      <vt:variant>
        <vt:lpwstr/>
      </vt:variant>
      <vt:variant>
        <vt:i4>8323119</vt:i4>
      </vt:variant>
      <vt:variant>
        <vt:i4>297</vt:i4>
      </vt:variant>
      <vt:variant>
        <vt:i4>0</vt:i4>
      </vt:variant>
      <vt:variant>
        <vt:i4>5</vt:i4>
      </vt:variant>
      <vt:variant>
        <vt:lpwstr>http://www.ofcom.org.uk/about/organisations-we-work-with/consumer-forum-for-communications/</vt:lpwstr>
      </vt:variant>
      <vt:variant>
        <vt:lpwstr/>
      </vt:variant>
      <vt:variant>
        <vt:i4>3866668</vt:i4>
      </vt:variant>
      <vt:variant>
        <vt:i4>294</vt:i4>
      </vt:variant>
      <vt:variant>
        <vt:i4>0</vt:i4>
      </vt:variant>
      <vt:variant>
        <vt:i4>5</vt:i4>
      </vt:variant>
      <vt:variant>
        <vt:lpwstr>http://www.antelope.org.uk/</vt:lpwstr>
      </vt:variant>
      <vt:variant>
        <vt:lpwstr/>
      </vt:variant>
      <vt:variant>
        <vt:i4>3080217</vt:i4>
      </vt:variant>
      <vt:variant>
        <vt:i4>198</vt:i4>
      </vt:variant>
      <vt:variant>
        <vt:i4>0</vt:i4>
      </vt:variant>
      <vt:variant>
        <vt:i4>5</vt:i4>
      </vt:variant>
      <vt:variant>
        <vt:lpwstr>http://www.antelope.org.uk/internet_costs.htm</vt:lpwstr>
      </vt:variant>
      <vt:variant>
        <vt:lpwstr/>
      </vt:variant>
      <vt:variant>
        <vt:i4>1507420</vt:i4>
      </vt:variant>
      <vt:variant>
        <vt:i4>195</vt:i4>
      </vt:variant>
      <vt:variant>
        <vt:i4>0</vt:i4>
      </vt:variant>
      <vt:variant>
        <vt:i4>5</vt:i4>
      </vt:variant>
      <vt:variant>
        <vt:lpwstr>http://www.ruralict.ftml.net/np/nepal.htm</vt:lpwstr>
      </vt:variant>
      <vt:variant>
        <vt:lpwstr/>
      </vt:variant>
      <vt:variant>
        <vt:i4>5832797</vt:i4>
      </vt:variant>
      <vt:variant>
        <vt:i4>192</vt:i4>
      </vt:variant>
      <vt:variant>
        <vt:i4>0</vt:i4>
      </vt:variant>
      <vt:variant>
        <vt:i4>5</vt:i4>
      </vt:variant>
      <vt:variant>
        <vt:lpwstr>http://www.ictregulationtoolkit.org/</vt:lpwstr>
      </vt:variant>
      <vt:variant>
        <vt:lpwstr/>
      </vt:variant>
      <vt:variant>
        <vt:i4>1638461</vt:i4>
      </vt:variant>
      <vt:variant>
        <vt:i4>155</vt:i4>
      </vt:variant>
      <vt:variant>
        <vt:i4>0</vt:i4>
      </vt:variant>
      <vt:variant>
        <vt:i4>5</vt:i4>
      </vt:variant>
      <vt:variant>
        <vt:lpwstr/>
      </vt:variant>
      <vt:variant>
        <vt:lpwstr>_Toc285632921</vt:lpwstr>
      </vt:variant>
      <vt:variant>
        <vt:i4>1638461</vt:i4>
      </vt:variant>
      <vt:variant>
        <vt:i4>149</vt:i4>
      </vt:variant>
      <vt:variant>
        <vt:i4>0</vt:i4>
      </vt:variant>
      <vt:variant>
        <vt:i4>5</vt:i4>
      </vt:variant>
      <vt:variant>
        <vt:lpwstr/>
      </vt:variant>
      <vt:variant>
        <vt:lpwstr>_Toc285632920</vt:lpwstr>
      </vt:variant>
      <vt:variant>
        <vt:i4>1703997</vt:i4>
      </vt:variant>
      <vt:variant>
        <vt:i4>143</vt:i4>
      </vt:variant>
      <vt:variant>
        <vt:i4>0</vt:i4>
      </vt:variant>
      <vt:variant>
        <vt:i4>5</vt:i4>
      </vt:variant>
      <vt:variant>
        <vt:lpwstr/>
      </vt:variant>
      <vt:variant>
        <vt:lpwstr>_Toc285632919</vt:lpwstr>
      </vt:variant>
      <vt:variant>
        <vt:i4>1703997</vt:i4>
      </vt:variant>
      <vt:variant>
        <vt:i4>137</vt:i4>
      </vt:variant>
      <vt:variant>
        <vt:i4>0</vt:i4>
      </vt:variant>
      <vt:variant>
        <vt:i4>5</vt:i4>
      </vt:variant>
      <vt:variant>
        <vt:lpwstr/>
      </vt:variant>
      <vt:variant>
        <vt:lpwstr>_Toc285632918</vt:lpwstr>
      </vt:variant>
      <vt:variant>
        <vt:i4>1703997</vt:i4>
      </vt:variant>
      <vt:variant>
        <vt:i4>131</vt:i4>
      </vt:variant>
      <vt:variant>
        <vt:i4>0</vt:i4>
      </vt:variant>
      <vt:variant>
        <vt:i4>5</vt:i4>
      </vt:variant>
      <vt:variant>
        <vt:lpwstr/>
      </vt:variant>
      <vt:variant>
        <vt:lpwstr>_Toc285632917</vt:lpwstr>
      </vt:variant>
      <vt:variant>
        <vt:i4>1703997</vt:i4>
      </vt:variant>
      <vt:variant>
        <vt:i4>125</vt:i4>
      </vt:variant>
      <vt:variant>
        <vt:i4>0</vt:i4>
      </vt:variant>
      <vt:variant>
        <vt:i4>5</vt:i4>
      </vt:variant>
      <vt:variant>
        <vt:lpwstr/>
      </vt:variant>
      <vt:variant>
        <vt:lpwstr>_Toc285632916</vt:lpwstr>
      </vt:variant>
      <vt:variant>
        <vt:i4>1703997</vt:i4>
      </vt:variant>
      <vt:variant>
        <vt:i4>119</vt:i4>
      </vt:variant>
      <vt:variant>
        <vt:i4>0</vt:i4>
      </vt:variant>
      <vt:variant>
        <vt:i4>5</vt:i4>
      </vt:variant>
      <vt:variant>
        <vt:lpwstr/>
      </vt:variant>
      <vt:variant>
        <vt:lpwstr>_Toc285632915</vt:lpwstr>
      </vt:variant>
      <vt:variant>
        <vt:i4>1703997</vt:i4>
      </vt:variant>
      <vt:variant>
        <vt:i4>113</vt:i4>
      </vt:variant>
      <vt:variant>
        <vt:i4>0</vt:i4>
      </vt:variant>
      <vt:variant>
        <vt:i4>5</vt:i4>
      </vt:variant>
      <vt:variant>
        <vt:lpwstr/>
      </vt:variant>
      <vt:variant>
        <vt:lpwstr>_Toc285632914</vt:lpwstr>
      </vt:variant>
      <vt:variant>
        <vt:i4>1703997</vt:i4>
      </vt:variant>
      <vt:variant>
        <vt:i4>107</vt:i4>
      </vt:variant>
      <vt:variant>
        <vt:i4>0</vt:i4>
      </vt:variant>
      <vt:variant>
        <vt:i4>5</vt:i4>
      </vt:variant>
      <vt:variant>
        <vt:lpwstr/>
      </vt:variant>
      <vt:variant>
        <vt:lpwstr>_Toc285632913</vt:lpwstr>
      </vt:variant>
      <vt:variant>
        <vt:i4>1703997</vt:i4>
      </vt:variant>
      <vt:variant>
        <vt:i4>101</vt:i4>
      </vt:variant>
      <vt:variant>
        <vt:i4>0</vt:i4>
      </vt:variant>
      <vt:variant>
        <vt:i4>5</vt:i4>
      </vt:variant>
      <vt:variant>
        <vt:lpwstr/>
      </vt:variant>
      <vt:variant>
        <vt:lpwstr>_Toc285632912</vt:lpwstr>
      </vt:variant>
      <vt:variant>
        <vt:i4>1703997</vt:i4>
      </vt:variant>
      <vt:variant>
        <vt:i4>95</vt:i4>
      </vt:variant>
      <vt:variant>
        <vt:i4>0</vt:i4>
      </vt:variant>
      <vt:variant>
        <vt:i4>5</vt:i4>
      </vt:variant>
      <vt:variant>
        <vt:lpwstr/>
      </vt:variant>
      <vt:variant>
        <vt:lpwstr>_Toc285632911</vt:lpwstr>
      </vt:variant>
      <vt:variant>
        <vt:i4>1703997</vt:i4>
      </vt:variant>
      <vt:variant>
        <vt:i4>89</vt:i4>
      </vt:variant>
      <vt:variant>
        <vt:i4>0</vt:i4>
      </vt:variant>
      <vt:variant>
        <vt:i4>5</vt:i4>
      </vt:variant>
      <vt:variant>
        <vt:lpwstr/>
      </vt:variant>
      <vt:variant>
        <vt:lpwstr>_Toc285632910</vt:lpwstr>
      </vt:variant>
      <vt:variant>
        <vt:i4>1769533</vt:i4>
      </vt:variant>
      <vt:variant>
        <vt:i4>83</vt:i4>
      </vt:variant>
      <vt:variant>
        <vt:i4>0</vt:i4>
      </vt:variant>
      <vt:variant>
        <vt:i4>5</vt:i4>
      </vt:variant>
      <vt:variant>
        <vt:lpwstr/>
      </vt:variant>
      <vt:variant>
        <vt:lpwstr>_Toc285632909</vt:lpwstr>
      </vt:variant>
      <vt:variant>
        <vt:i4>1769533</vt:i4>
      </vt:variant>
      <vt:variant>
        <vt:i4>77</vt:i4>
      </vt:variant>
      <vt:variant>
        <vt:i4>0</vt:i4>
      </vt:variant>
      <vt:variant>
        <vt:i4>5</vt:i4>
      </vt:variant>
      <vt:variant>
        <vt:lpwstr/>
      </vt:variant>
      <vt:variant>
        <vt:lpwstr>_Toc285632908</vt:lpwstr>
      </vt:variant>
      <vt:variant>
        <vt:i4>1769533</vt:i4>
      </vt:variant>
      <vt:variant>
        <vt:i4>71</vt:i4>
      </vt:variant>
      <vt:variant>
        <vt:i4>0</vt:i4>
      </vt:variant>
      <vt:variant>
        <vt:i4>5</vt:i4>
      </vt:variant>
      <vt:variant>
        <vt:lpwstr/>
      </vt:variant>
      <vt:variant>
        <vt:lpwstr>_Toc285632907</vt:lpwstr>
      </vt:variant>
      <vt:variant>
        <vt:i4>1769533</vt:i4>
      </vt:variant>
      <vt:variant>
        <vt:i4>65</vt:i4>
      </vt:variant>
      <vt:variant>
        <vt:i4>0</vt:i4>
      </vt:variant>
      <vt:variant>
        <vt:i4>5</vt:i4>
      </vt:variant>
      <vt:variant>
        <vt:lpwstr/>
      </vt:variant>
      <vt:variant>
        <vt:lpwstr>_Toc285632906</vt:lpwstr>
      </vt:variant>
      <vt:variant>
        <vt:i4>1769533</vt:i4>
      </vt:variant>
      <vt:variant>
        <vt:i4>59</vt:i4>
      </vt:variant>
      <vt:variant>
        <vt:i4>0</vt:i4>
      </vt:variant>
      <vt:variant>
        <vt:i4>5</vt:i4>
      </vt:variant>
      <vt:variant>
        <vt:lpwstr/>
      </vt:variant>
      <vt:variant>
        <vt:lpwstr>_Toc285632905</vt:lpwstr>
      </vt:variant>
      <vt:variant>
        <vt:i4>1769533</vt:i4>
      </vt:variant>
      <vt:variant>
        <vt:i4>53</vt:i4>
      </vt:variant>
      <vt:variant>
        <vt:i4>0</vt:i4>
      </vt:variant>
      <vt:variant>
        <vt:i4>5</vt:i4>
      </vt:variant>
      <vt:variant>
        <vt:lpwstr/>
      </vt:variant>
      <vt:variant>
        <vt:lpwstr>_Toc285632904</vt:lpwstr>
      </vt:variant>
      <vt:variant>
        <vt:i4>1769533</vt:i4>
      </vt:variant>
      <vt:variant>
        <vt:i4>47</vt:i4>
      </vt:variant>
      <vt:variant>
        <vt:i4>0</vt:i4>
      </vt:variant>
      <vt:variant>
        <vt:i4>5</vt:i4>
      </vt:variant>
      <vt:variant>
        <vt:lpwstr/>
      </vt:variant>
      <vt:variant>
        <vt:lpwstr>_Toc285632903</vt:lpwstr>
      </vt:variant>
      <vt:variant>
        <vt:i4>1769533</vt:i4>
      </vt:variant>
      <vt:variant>
        <vt:i4>41</vt:i4>
      </vt:variant>
      <vt:variant>
        <vt:i4>0</vt:i4>
      </vt:variant>
      <vt:variant>
        <vt:i4>5</vt:i4>
      </vt:variant>
      <vt:variant>
        <vt:lpwstr/>
      </vt:variant>
      <vt:variant>
        <vt:lpwstr>_Toc285632902</vt:lpwstr>
      </vt:variant>
      <vt:variant>
        <vt:i4>1769533</vt:i4>
      </vt:variant>
      <vt:variant>
        <vt:i4>35</vt:i4>
      </vt:variant>
      <vt:variant>
        <vt:i4>0</vt:i4>
      </vt:variant>
      <vt:variant>
        <vt:i4>5</vt:i4>
      </vt:variant>
      <vt:variant>
        <vt:lpwstr/>
      </vt:variant>
      <vt:variant>
        <vt:lpwstr>_Toc285632901</vt:lpwstr>
      </vt:variant>
      <vt:variant>
        <vt:i4>1769533</vt:i4>
      </vt:variant>
      <vt:variant>
        <vt:i4>29</vt:i4>
      </vt:variant>
      <vt:variant>
        <vt:i4>0</vt:i4>
      </vt:variant>
      <vt:variant>
        <vt:i4>5</vt:i4>
      </vt:variant>
      <vt:variant>
        <vt:lpwstr/>
      </vt:variant>
      <vt:variant>
        <vt:lpwstr>_Toc285632900</vt:lpwstr>
      </vt:variant>
      <vt:variant>
        <vt:i4>1179708</vt:i4>
      </vt:variant>
      <vt:variant>
        <vt:i4>23</vt:i4>
      </vt:variant>
      <vt:variant>
        <vt:i4>0</vt:i4>
      </vt:variant>
      <vt:variant>
        <vt:i4>5</vt:i4>
      </vt:variant>
      <vt:variant>
        <vt:lpwstr/>
      </vt:variant>
      <vt:variant>
        <vt:lpwstr>_Toc285632899</vt:lpwstr>
      </vt:variant>
      <vt:variant>
        <vt:i4>1179708</vt:i4>
      </vt:variant>
      <vt:variant>
        <vt:i4>17</vt:i4>
      </vt:variant>
      <vt:variant>
        <vt:i4>0</vt:i4>
      </vt:variant>
      <vt:variant>
        <vt:i4>5</vt:i4>
      </vt:variant>
      <vt:variant>
        <vt:lpwstr/>
      </vt:variant>
      <vt:variant>
        <vt:lpwstr>_Toc285632898</vt:lpwstr>
      </vt:variant>
      <vt:variant>
        <vt:i4>1179708</vt:i4>
      </vt:variant>
      <vt:variant>
        <vt:i4>11</vt:i4>
      </vt:variant>
      <vt:variant>
        <vt:i4>0</vt:i4>
      </vt:variant>
      <vt:variant>
        <vt:i4>5</vt:i4>
      </vt:variant>
      <vt:variant>
        <vt:lpwstr/>
      </vt:variant>
      <vt:variant>
        <vt:lpwstr>_Toc285632897</vt:lpwstr>
      </vt:variant>
      <vt:variant>
        <vt:i4>2097162</vt:i4>
      </vt:variant>
      <vt:variant>
        <vt:i4>6</vt:i4>
      </vt:variant>
      <vt:variant>
        <vt:i4>0</vt:i4>
      </vt:variant>
      <vt:variant>
        <vt:i4>5</vt:i4>
      </vt:variant>
      <vt:variant>
        <vt:lpwstr>mailto:mor@incyteconsulting.com</vt:lpwstr>
      </vt:variant>
      <vt:variant>
        <vt:lpwstr/>
      </vt:variant>
      <vt:variant>
        <vt:i4>5832786</vt:i4>
      </vt:variant>
      <vt:variant>
        <vt:i4>0</vt:i4>
      </vt:variant>
      <vt:variant>
        <vt:i4>0</vt:i4>
      </vt:variant>
      <vt:variant>
        <vt:i4>5</vt:i4>
      </vt:variant>
      <vt:variant>
        <vt:lpwstr>http://www.incyteconsulting.com/</vt:lpwstr>
      </vt:variant>
      <vt:variant>
        <vt:lpwstr/>
      </vt:variant>
      <vt:variant>
        <vt:i4>8061046</vt:i4>
      </vt:variant>
      <vt:variant>
        <vt:i4>0</vt:i4>
      </vt:variant>
      <vt:variant>
        <vt:i4>0</vt:i4>
      </vt:variant>
      <vt:variant>
        <vt:i4>5</vt:i4>
      </vt:variant>
      <vt:variant>
        <vt:lpwstr>http://www.globalpost.com/dispatch/asia/110120/cambodia-mobile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custeio de serviços de telecomunicação a grosso e retalho</dc:title>
  <dc:subject>Relatorio inicial</dc:subject>
  <dc:creator>INCYTE</dc:creator>
  <cp:keywords>Incyte template</cp:keywords>
  <dc:description/>
  <cp:lastModifiedBy>De Barros Nelson</cp:lastModifiedBy>
  <cp:revision>5</cp:revision>
  <cp:lastPrinted>2021-07-05T09:14:00Z</cp:lastPrinted>
  <dcterms:created xsi:type="dcterms:W3CDTF">2021-07-05T09:07:00Z</dcterms:created>
  <dcterms:modified xsi:type="dcterms:W3CDTF">2021-07-05T11:54:00Z</dcterms:modified>
</cp:coreProperties>
</file>