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E0AE7" w14:textId="77777777" w:rsidR="008B2B96" w:rsidRDefault="008B2B96">
      <w:pPr>
        <w:pStyle w:val="Ttulo"/>
        <w:spacing w:after="200"/>
        <w:jc w:val="center"/>
        <w:rPr>
          <w:rFonts w:ascii="Times New Roman" w:eastAsia="Times New Roman" w:hAnsi="Times New Roman" w:cs="Times New Roman"/>
          <w:b/>
          <w:bCs/>
          <w:smallCaps/>
          <w:strike/>
          <w:color w:val="FFFFFF"/>
          <w:sz w:val="24"/>
          <w:szCs w:val="24"/>
          <w:highlight w:val="black"/>
          <w:u w:val="single"/>
        </w:rPr>
      </w:pPr>
    </w:p>
    <w:p w14:paraId="4F650B12" w14:textId="77777777" w:rsidR="008B2B96" w:rsidRPr="005C3C0B" w:rsidRDefault="008B2B96">
      <w:pPr>
        <w:pStyle w:val="Ttulo"/>
        <w:spacing w:after="200"/>
        <w:jc w:val="center"/>
        <w:rPr>
          <w:rFonts w:ascii="Times New Roman" w:eastAsia="Times New Roman" w:hAnsi="Times New Roman" w:cs="Times New Roman"/>
          <w:b/>
          <w:bCs/>
          <w:smallCaps/>
          <w:strike/>
          <w:color w:val="auto"/>
          <w:sz w:val="24"/>
          <w:szCs w:val="24"/>
          <w:highlight w:val="black"/>
          <w:u w:val="single"/>
        </w:rPr>
      </w:pPr>
    </w:p>
    <w:p w14:paraId="7266927E" w14:textId="77777777" w:rsidR="008B2B96" w:rsidRPr="005C3C0B" w:rsidRDefault="00000000">
      <w:pPr>
        <w:pStyle w:val="Ttulo"/>
        <w:spacing w:after="200"/>
        <w:jc w:val="center"/>
        <w:rPr>
          <w:rFonts w:ascii="Times New Roman" w:eastAsia="Times New Roman" w:hAnsi="Times New Roman" w:cs="Times New Roman"/>
          <w:b/>
          <w:bCs/>
          <w:color w:val="auto"/>
          <w:sz w:val="24"/>
          <w:szCs w:val="24"/>
        </w:rPr>
      </w:pPr>
      <w:r w:rsidRPr="005C3C0B">
        <w:rPr>
          <w:rFonts w:ascii="Times New Roman" w:eastAsia="Times New Roman" w:hAnsi="Times New Roman" w:cs="Times New Roman"/>
          <w:b/>
          <w:bCs/>
          <w:color w:val="auto"/>
          <w:sz w:val="24"/>
          <w:szCs w:val="24"/>
        </w:rPr>
        <w:t>Proposta de Regulamento das Redes e Serviços de Comunicações por Satélite</w:t>
      </w:r>
    </w:p>
    <w:p w14:paraId="640EED9F" w14:textId="77777777" w:rsidR="008B2B96" w:rsidRDefault="008B2B96">
      <w:pPr>
        <w:pBdr>
          <w:top w:val="nil"/>
          <w:left w:val="nil"/>
          <w:bottom w:val="nil"/>
          <w:right w:val="nil"/>
          <w:between w:val="nil"/>
        </w:pBdr>
        <w:spacing w:after="400"/>
        <w:jc w:val="both"/>
        <w:rPr>
          <w:color w:val="000000"/>
        </w:rPr>
      </w:pPr>
    </w:p>
    <w:p w14:paraId="2BBEE4B9" w14:textId="77777777" w:rsidR="008B2B96" w:rsidRDefault="008B2B96">
      <w:pPr>
        <w:pBdr>
          <w:top w:val="nil"/>
          <w:left w:val="nil"/>
          <w:bottom w:val="nil"/>
          <w:right w:val="nil"/>
          <w:between w:val="nil"/>
        </w:pBdr>
        <w:spacing w:after="400"/>
        <w:jc w:val="both"/>
        <w:rPr>
          <w:color w:val="000000"/>
        </w:rPr>
      </w:pPr>
    </w:p>
    <w:p w14:paraId="55595FA1" w14:textId="77777777" w:rsidR="008B2B96" w:rsidRDefault="008B2B96">
      <w:pPr>
        <w:pBdr>
          <w:top w:val="nil"/>
          <w:left w:val="nil"/>
          <w:bottom w:val="nil"/>
          <w:right w:val="nil"/>
          <w:between w:val="nil"/>
        </w:pBdr>
        <w:rPr>
          <w:color w:val="000000"/>
        </w:rPr>
      </w:pPr>
    </w:p>
    <w:p w14:paraId="60B675D5" w14:textId="77777777" w:rsidR="008B2B96" w:rsidRDefault="008B2B96">
      <w:pPr>
        <w:pBdr>
          <w:top w:val="nil"/>
          <w:left w:val="nil"/>
          <w:bottom w:val="nil"/>
          <w:right w:val="nil"/>
          <w:between w:val="nil"/>
        </w:pBdr>
        <w:rPr>
          <w:color w:val="000000"/>
        </w:rPr>
      </w:pPr>
    </w:p>
    <w:p w14:paraId="52D35E1F" w14:textId="77777777" w:rsidR="008B2B96" w:rsidRDefault="008B2B96">
      <w:pPr>
        <w:pBdr>
          <w:top w:val="nil"/>
          <w:left w:val="nil"/>
          <w:bottom w:val="nil"/>
          <w:right w:val="nil"/>
          <w:between w:val="nil"/>
        </w:pBdr>
        <w:rPr>
          <w:color w:val="000000"/>
        </w:rPr>
      </w:pPr>
    </w:p>
    <w:p w14:paraId="11CE9AC4" w14:textId="77777777" w:rsidR="008B2B96" w:rsidRDefault="008B2B96">
      <w:pPr>
        <w:pBdr>
          <w:top w:val="nil"/>
          <w:left w:val="nil"/>
          <w:bottom w:val="nil"/>
          <w:right w:val="nil"/>
          <w:between w:val="nil"/>
        </w:pBdr>
        <w:rPr>
          <w:color w:val="000000"/>
        </w:rPr>
      </w:pPr>
    </w:p>
    <w:p w14:paraId="3E13F9F7" w14:textId="77777777" w:rsidR="008B2B96" w:rsidRDefault="008B2B96">
      <w:pPr>
        <w:pBdr>
          <w:top w:val="nil"/>
          <w:left w:val="nil"/>
          <w:bottom w:val="nil"/>
          <w:right w:val="nil"/>
          <w:between w:val="nil"/>
        </w:pBdr>
        <w:rPr>
          <w:color w:val="000000"/>
        </w:rPr>
      </w:pPr>
    </w:p>
    <w:p w14:paraId="1F694B61" w14:textId="77777777" w:rsidR="008B2B96" w:rsidRDefault="008B2B96">
      <w:pPr>
        <w:pBdr>
          <w:top w:val="nil"/>
          <w:left w:val="nil"/>
          <w:bottom w:val="nil"/>
          <w:right w:val="nil"/>
          <w:between w:val="nil"/>
        </w:pBdr>
        <w:rPr>
          <w:color w:val="000000"/>
        </w:rPr>
      </w:pPr>
    </w:p>
    <w:p w14:paraId="257D8921" w14:textId="77777777" w:rsidR="008B2B96" w:rsidRDefault="008B2B96">
      <w:pPr>
        <w:pBdr>
          <w:top w:val="nil"/>
          <w:left w:val="nil"/>
          <w:bottom w:val="nil"/>
          <w:right w:val="nil"/>
          <w:between w:val="nil"/>
        </w:pBdr>
        <w:rPr>
          <w:color w:val="000000"/>
        </w:rPr>
      </w:pPr>
    </w:p>
    <w:p w14:paraId="5C027600" w14:textId="77777777" w:rsidR="008B2B96" w:rsidRDefault="008B2B96">
      <w:pPr>
        <w:pBdr>
          <w:top w:val="nil"/>
          <w:left w:val="nil"/>
          <w:bottom w:val="nil"/>
          <w:right w:val="nil"/>
          <w:between w:val="nil"/>
        </w:pBdr>
        <w:rPr>
          <w:color w:val="000000"/>
        </w:rPr>
      </w:pPr>
    </w:p>
    <w:p w14:paraId="6575D4FC" w14:textId="77777777" w:rsidR="008B2B96" w:rsidRDefault="008B2B96">
      <w:pPr>
        <w:pBdr>
          <w:top w:val="nil"/>
          <w:left w:val="nil"/>
          <w:bottom w:val="nil"/>
          <w:right w:val="nil"/>
          <w:between w:val="nil"/>
        </w:pBdr>
        <w:rPr>
          <w:color w:val="000000"/>
        </w:rPr>
      </w:pPr>
    </w:p>
    <w:p w14:paraId="7478B277" w14:textId="77777777" w:rsidR="008B2B96" w:rsidRDefault="008B2B96">
      <w:pPr>
        <w:pBdr>
          <w:top w:val="nil"/>
          <w:left w:val="nil"/>
          <w:bottom w:val="nil"/>
          <w:right w:val="nil"/>
          <w:between w:val="nil"/>
        </w:pBdr>
        <w:rPr>
          <w:color w:val="000000"/>
        </w:rPr>
      </w:pPr>
    </w:p>
    <w:p w14:paraId="55638726" w14:textId="77777777" w:rsidR="008B2B96" w:rsidRDefault="008B2B96">
      <w:pPr>
        <w:pBdr>
          <w:top w:val="nil"/>
          <w:left w:val="nil"/>
          <w:bottom w:val="nil"/>
          <w:right w:val="nil"/>
          <w:between w:val="nil"/>
        </w:pBdr>
        <w:rPr>
          <w:color w:val="000000"/>
        </w:rPr>
      </w:pPr>
    </w:p>
    <w:p w14:paraId="6644A9D3" w14:textId="77777777" w:rsidR="008B2B96" w:rsidRDefault="008B2B96">
      <w:pPr>
        <w:pBdr>
          <w:top w:val="nil"/>
          <w:left w:val="nil"/>
          <w:bottom w:val="nil"/>
          <w:right w:val="nil"/>
          <w:between w:val="nil"/>
        </w:pBdr>
        <w:rPr>
          <w:color w:val="000000"/>
        </w:rPr>
      </w:pPr>
    </w:p>
    <w:p w14:paraId="7333E881" w14:textId="77777777" w:rsidR="008B2B96" w:rsidRDefault="008B2B96">
      <w:pPr>
        <w:pBdr>
          <w:top w:val="nil"/>
          <w:left w:val="nil"/>
          <w:bottom w:val="nil"/>
          <w:right w:val="nil"/>
          <w:between w:val="nil"/>
        </w:pBdr>
        <w:rPr>
          <w:color w:val="000000"/>
        </w:rPr>
      </w:pPr>
    </w:p>
    <w:p w14:paraId="296B8970" w14:textId="77777777" w:rsidR="008B2B96" w:rsidRDefault="008B2B96">
      <w:pPr>
        <w:pBdr>
          <w:top w:val="nil"/>
          <w:left w:val="nil"/>
          <w:bottom w:val="nil"/>
          <w:right w:val="nil"/>
          <w:between w:val="nil"/>
        </w:pBdr>
        <w:rPr>
          <w:color w:val="000000"/>
        </w:rPr>
      </w:pPr>
    </w:p>
    <w:p w14:paraId="1D8448CF" w14:textId="77777777" w:rsidR="008B2B96" w:rsidRDefault="008B2B96">
      <w:pPr>
        <w:pBdr>
          <w:top w:val="nil"/>
          <w:left w:val="nil"/>
          <w:bottom w:val="nil"/>
          <w:right w:val="nil"/>
          <w:between w:val="nil"/>
        </w:pBdr>
        <w:rPr>
          <w:color w:val="000000"/>
        </w:rPr>
      </w:pPr>
    </w:p>
    <w:p w14:paraId="76E9ECBC" w14:textId="77777777" w:rsidR="008B2B96" w:rsidRDefault="008B2B96">
      <w:pPr>
        <w:pBdr>
          <w:top w:val="nil"/>
          <w:left w:val="nil"/>
          <w:bottom w:val="nil"/>
          <w:right w:val="nil"/>
          <w:between w:val="nil"/>
        </w:pBdr>
        <w:rPr>
          <w:color w:val="000000"/>
        </w:rPr>
      </w:pPr>
    </w:p>
    <w:p w14:paraId="072BE9B4" w14:textId="77777777" w:rsidR="008B2B96" w:rsidRDefault="008B2B96">
      <w:pPr>
        <w:pBdr>
          <w:top w:val="nil"/>
          <w:left w:val="nil"/>
          <w:bottom w:val="nil"/>
          <w:right w:val="nil"/>
          <w:between w:val="nil"/>
        </w:pBdr>
        <w:rPr>
          <w:color w:val="000000"/>
        </w:rPr>
      </w:pPr>
    </w:p>
    <w:p w14:paraId="3AB1462E" w14:textId="77777777" w:rsidR="008B2B96" w:rsidRDefault="008B2B96">
      <w:pPr>
        <w:pBdr>
          <w:top w:val="nil"/>
          <w:left w:val="nil"/>
          <w:bottom w:val="nil"/>
          <w:right w:val="nil"/>
          <w:between w:val="nil"/>
        </w:pBdr>
        <w:rPr>
          <w:color w:val="000000"/>
        </w:rPr>
      </w:pPr>
    </w:p>
    <w:p w14:paraId="3DDE177F" w14:textId="77777777" w:rsidR="008B2B96" w:rsidRDefault="008B2B96">
      <w:pPr>
        <w:pBdr>
          <w:top w:val="nil"/>
          <w:left w:val="nil"/>
          <w:bottom w:val="nil"/>
          <w:right w:val="nil"/>
          <w:between w:val="nil"/>
        </w:pBdr>
        <w:rPr>
          <w:color w:val="000000"/>
        </w:rPr>
      </w:pPr>
    </w:p>
    <w:p w14:paraId="0C38333D" w14:textId="77777777" w:rsidR="008B2B96" w:rsidRDefault="008B2B96">
      <w:pPr>
        <w:pBdr>
          <w:top w:val="nil"/>
          <w:left w:val="nil"/>
          <w:bottom w:val="nil"/>
          <w:right w:val="nil"/>
          <w:between w:val="nil"/>
        </w:pBdr>
        <w:rPr>
          <w:color w:val="000000"/>
        </w:rPr>
      </w:pPr>
    </w:p>
    <w:p w14:paraId="6312654D" w14:textId="77777777" w:rsidR="008B2B96" w:rsidRDefault="008B2B96">
      <w:pPr>
        <w:pBdr>
          <w:top w:val="nil"/>
          <w:left w:val="nil"/>
          <w:bottom w:val="nil"/>
          <w:right w:val="nil"/>
          <w:between w:val="nil"/>
        </w:pBdr>
        <w:rPr>
          <w:color w:val="000000"/>
        </w:rPr>
      </w:pPr>
    </w:p>
    <w:p w14:paraId="53C53960" w14:textId="77777777" w:rsidR="008B2B96" w:rsidRDefault="008B2B96">
      <w:pPr>
        <w:pBdr>
          <w:top w:val="nil"/>
          <w:left w:val="nil"/>
          <w:bottom w:val="nil"/>
          <w:right w:val="nil"/>
          <w:between w:val="nil"/>
        </w:pBdr>
        <w:rPr>
          <w:color w:val="000000"/>
        </w:rPr>
      </w:pPr>
    </w:p>
    <w:p w14:paraId="5037021F" w14:textId="77777777" w:rsidR="008B2B96" w:rsidRDefault="008B2B96">
      <w:pPr>
        <w:pBdr>
          <w:top w:val="nil"/>
          <w:left w:val="nil"/>
          <w:bottom w:val="nil"/>
          <w:right w:val="nil"/>
          <w:between w:val="nil"/>
        </w:pBdr>
        <w:rPr>
          <w:color w:val="000000"/>
        </w:rPr>
      </w:pPr>
    </w:p>
    <w:p w14:paraId="69594ED4" w14:textId="77777777" w:rsidR="008B2B96" w:rsidRDefault="008B2B96">
      <w:pPr>
        <w:pBdr>
          <w:top w:val="nil"/>
          <w:left w:val="nil"/>
          <w:bottom w:val="nil"/>
          <w:right w:val="nil"/>
          <w:between w:val="nil"/>
        </w:pBdr>
        <w:rPr>
          <w:color w:val="000000"/>
        </w:rPr>
      </w:pPr>
    </w:p>
    <w:p w14:paraId="2232069D" w14:textId="77777777" w:rsidR="008B2B96" w:rsidRDefault="008B2B96">
      <w:pPr>
        <w:pBdr>
          <w:top w:val="nil"/>
          <w:left w:val="nil"/>
          <w:bottom w:val="nil"/>
          <w:right w:val="nil"/>
          <w:between w:val="nil"/>
        </w:pBdr>
        <w:rPr>
          <w:color w:val="000000"/>
        </w:rPr>
      </w:pPr>
    </w:p>
    <w:p w14:paraId="74348894" w14:textId="77777777" w:rsidR="008B2B96" w:rsidRDefault="008B2B96">
      <w:pPr>
        <w:pBdr>
          <w:top w:val="nil"/>
          <w:left w:val="nil"/>
          <w:bottom w:val="nil"/>
          <w:right w:val="nil"/>
          <w:between w:val="nil"/>
        </w:pBdr>
        <w:rPr>
          <w:color w:val="000000"/>
        </w:rPr>
      </w:pPr>
    </w:p>
    <w:p w14:paraId="1E6883EA" w14:textId="77777777" w:rsidR="008B2B96" w:rsidRDefault="008B2B96">
      <w:pPr>
        <w:pBdr>
          <w:top w:val="nil"/>
          <w:left w:val="nil"/>
          <w:bottom w:val="nil"/>
          <w:right w:val="nil"/>
          <w:between w:val="nil"/>
        </w:pBdr>
        <w:rPr>
          <w:color w:val="000000"/>
        </w:rPr>
      </w:pPr>
    </w:p>
    <w:p w14:paraId="2A995C16" w14:textId="77777777" w:rsidR="008B2B96" w:rsidRDefault="008B2B96">
      <w:pPr>
        <w:pBdr>
          <w:top w:val="nil"/>
          <w:left w:val="nil"/>
          <w:bottom w:val="nil"/>
          <w:right w:val="nil"/>
          <w:between w:val="nil"/>
        </w:pBdr>
        <w:rPr>
          <w:color w:val="000000"/>
        </w:rPr>
      </w:pPr>
    </w:p>
    <w:p w14:paraId="586E74AF" w14:textId="77777777" w:rsidR="008B2B96" w:rsidRDefault="008B2B96">
      <w:pPr>
        <w:pBdr>
          <w:top w:val="nil"/>
          <w:left w:val="nil"/>
          <w:bottom w:val="nil"/>
          <w:right w:val="nil"/>
          <w:between w:val="nil"/>
        </w:pBdr>
        <w:rPr>
          <w:color w:val="000000"/>
        </w:rPr>
      </w:pPr>
    </w:p>
    <w:p w14:paraId="207F3C5C" w14:textId="77777777" w:rsidR="008B2B96" w:rsidRDefault="008B2B96">
      <w:pPr>
        <w:pBdr>
          <w:top w:val="nil"/>
          <w:left w:val="nil"/>
          <w:bottom w:val="nil"/>
          <w:right w:val="nil"/>
          <w:between w:val="nil"/>
        </w:pBdr>
        <w:rPr>
          <w:color w:val="000000"/>
        </w:rPr>
      </w:pPr>
    </w:p>
    <w:p w14:paraId="4C3B66A5" w14:textId="77777777" w:rsidR="008B2B96" w:rsidRDefault="008B2B96">
      <w:pPr>
        <w:pBdr>
          <w:top w:val="nil"/>
          <w:left w:val="nil"/>
          <w:bottom w:val="nil"/>
          <w:right w:val="nil"/>
          <w:between w:val="nil"/>
        </w:pBdr>
        <w:rPr>
          <w:color w:val="000000"/>
        </w:rPr>
      </w:pPr>
    </w:p>
    <w:p w14:paraId="1DDD9DE3" w14:textId="77777777" w:rsidR="008B2B96" w:rsidRDefault="008B2B96">
      <w:pPr>
        <w:pBdr>
          <w:top w:val="nil"/>
          <w:left w:val="nil"/>
          <w:bottom w:val="nil"/>
          <w:right w:val="nil"/>
          <w:between w:val="nil"/>
        </w:pBdr>
        <w:rPr>
          <w:color w:val="000000"/>
        </w:rPr>
      </w:pPr>
    </w:p>
    <w:p w14:paraId="59FECE0D" w14:textId="77777777" w:rsidR="008B2B96" w:rsidRDefault="008B2B96">
      <w:pPr>
        <w:pBdr>
          <w:top w:val="nil"/>
          <w:left w:val="nil"/>
          <w:bottom w:val="nil"/>
          <w:right w:val="nil"/>
          <w:between w:val="nil"/>
        </w:pBdr>
        <w:rPr>
          <w:color w:val="000000"/>
        </w:rPr>
      </w:pPr>
    </w:p>
    <w:p w14:paraId="1F33B898" w14:textId="77777777" w:rsidR="008B2B96" w:rsidRDefault="008B2B96">
      <w:pPr>
        <w:pBdr>
          <w:top w:val="nil"/>
          <w:left w:val="nil"/>
          <w:bottom w:val="nil"/>
          <w:right w:val="nil"/>
          <w:between w:val="nil"/>
        </w:pBdr>
        <w:rPr>
          <w:color w:val="000000"/>
        </w:rPr>
      </w:pPr>
    </w:p>
    <w:p w14:paraId="1E3D59F7" w14:textId="77777777" w:rsidR="008B2B96" w:rsidRDefault="008B2B96">
      <w:pPr>
        <w:pBdr>
          <w:top w:val="nil"/>
          <w:left w:val="nil"/>
          <w:bottom w:val="nil"/>
          <w:right w:val="nil"/>
          <w:between w:val="nil"/>
        </w:pBdr>
        <w:rPr>
          <w:color w:val="000000"/>
        </w:rPr>
      </w:pPr>
    </w:p>
    <w:p w14:paraId="32B11BCB" w14:textId="77777777" w:rsidR="008B2B96" w:rsidRDefault="008B2B96">
      <w:pPr>
        <w:pBdr>
          <w:top w:val="nil"/>
          <w:left w:val="nil"/>
          <w:bottom w:val="nil"/>
          <w:right w:val="nil"/>
          <w:between w:val="nil"/>
        </w:pBdr>
        <w:rPr>
          <w:color w:val="000000"/>
        </w:rPr>
      </w:pPr>
    </w:p>
    <w:p w14:paraId="4F840406" w14:textId="77777777" w:rsidR="008B2B96" w:rsidRDefault="008B2B96">
      <w:pPr>
        <w:pBdr>
          <w:top w:val="nil"/>
          <w:left w:val="nil"/>
          <w:bottom w:val="nil"/>
          <w:right w:val="nil"/>
          <w:between w:val="nil"/>
        </w:pBdr>
        <w:rPr>
          <w:color w:val="000000"/>
        </w:rPr>
      </w:pPr>
    </w:p>
    <w:p w14:paraId="169B4CBF" w14:textId="77777777" w:rsidR="008B2B96" w:rsidRDefault="00000000">
      <w:pPr>
        <w:pBdr>
          <w:top w:val="nil"/>
          <w:left w:val="nil"/>
          <w:bottom w:val="nil"/>
          <w:right w:val="nil"/>
          <w:between w:val="nil"/>
        </w:pBdr>
        <w:jc w:val="center"/>
        <w:rPr>
          <w:color w:val="000000"/>
        </w:rPr>
      </w:pPr>
      <w:r>
        <w:rPr>
          <w:color w:val="000000"/>
        </w:rPr>
        <w:t>Setembro de 2026</w:t>
      </w:r>
      <w:r>
        <w:br w:type="page"/>
      </w:r>
    </w:p>
    <w:p w14:paraId="601B41CE" w14:textId="50351378" w:rsidR="004B2E19" w:rsidRDefault="00000000">
      <w:pPr>
        <w:pBdr>
          <w:top w:val="nil"/>
          <w:left w:val="nil"/>
          <w:bottom w:val="nil"/>
          <w:right w:val="nil"/>
          <w:between w:val="nil"/>
        </w:pBdr>
        <w:spacing w:after="200"/>
        <w:rPr>
          <w:b/>
          <w:bCs/>
          <w:color w:val="000000"/>
        </w:rPr>
      </w:pPr>
      <w:r>
        <w:rPr>
          <w:b/>
          <w:bCs/>
          <w:color w:val="000000"/>
        </w:rPr>
        <w:lastRenderedPageBreak/>
        <w:t>Índice</w:t>
      </w:r>
    </w:p>
    <w:p w14:paraId="3A9795B8" w14:textId="77777777" w:rsidR="008B2B96" w:rsidRDefault="00000000">
      <w:pPr>
        <w:pBdr>
          <w:top w:val="nil"/>
          <w:left w:val="nil"/>
          <w:bottom w:val="nil"/>
          <w:right w:val="nil"/>
          <w:between w:val="nil"/>
        </w:pBdr>
        <w:tabs>
          <w:tab w:val="left" w:pos="1985"/>
          <w:tab w:val="left" w:pos="2268"/>
        </w:tabs>
        <w:spacing w:after="100"/>
        <w:rPr>
          <w:color w:val="000000"/>
        </w:rPr>
      </w:pPr>
      <w:r>
        <w:rPr>
          <w:color w:val="000000"/>
        </w:rPr>
        <w:t>CAPÍTULO I …......… Disposições Gerais</w:t>
      </w:r>
    </w:p>
    <w:p w14:paraId="64578A9C" w14:textId="77777777" w:rsidR="008B2B96" w:rsidRDefault="00000000">
      <w:pPr>
        <w:pBdr>
          <w:top w:val="nil"/>
          <w:left w:val="nil"/>
          <w:bottom w:val="nil"/>
          <w:right w:val="nil"/>
          <w:between w:val="nil"/>
        </w:pBdr>
        <w:spacing w:after="100"/>
        <w:rPr>
          <w:color w:val="000000"/>
        </w:rPr>
      </w:pPr>
      <w:r>
        <w:rPr>
          <w:color w:val="000000"/>
        </w:rPr>
        <w:t>CAPÍTULO II …......... Regime de Acesso e Licenciamento</w:t>
      </w:r>
    </w:p>
    <w:p w14:paraId="0D6D698D" w14:textId="77777777" w:rsidR="008B2B96" w:rsidRDefault="00000000">
      <w:pPr>
        <w:pBdr>
          <w:top w:val="nil"/>
          <w:left w:val="nil"/>
          <w:bottom w:val="nil"/>
          <w:right w:val="nil"/>
          <w:between w:val="nil"/>
        </w:pBdr>
        <w:spacing w:after="100"/>
        <w:rPr>
          <w:color w:val="000000"/>
        </w:rPr>
      </w:pPr>
      <w:r>
        <w:rPr>
          <w:color w:val="000000"/>
        </w:rPr>
        <w:t>CAPÍTULO III ...</w:t>
      </w:r>
      <w:proofErr w:type="gramStart"/>
      <w:r>
        <w:rPr>
          <w:color w:val="000000"/>
        </w:rPr>
        <w:t>…....</w:t>
      </w:r>
      <w:proofErr w:type="gramEnd"/>
      <w:r>
        <w:rPr>
          <w:color w:val="000000"/>
        </w:rPr>
        <w:t>. Procedimento de Autorização e Licenciamento</w:t>
      </w:r>
    </w:p>
    <w:p w14:paraId="397708C2" w14:textId="77777777" w:rsidR="008B2B96" w:rsidRDefault="00000000">
      <w:pPr>
        <w:pBdr>
          <w:top w:val="nil"/>
          <w:left w:val="nil"/>
          <w:bottom w:val="nil"/>
          <w:right w:val="nil"/>
          <w:between w:val="nil"/>
        </w:pBdr>
        <w:spacing w:after="100"/>
        <w:rPr>
          <w:color w:val="000000"/>
        </w:rPr>
      </w:pPr>
      <w:r>
        <w:rPr>
          <w:color w:val="000000"/>
        </w:rPr>
        <w:t>CAPÍTULO IV ............ Utilização do Espectro, Coordenação de Frequências e Interferências</w:t>
      </w:r>
    </w:p>
    <w:p w14:paraId="2697DFB5" w14:textId="77777777" w:rsidR="008B2B96" w:rsidRDefault="00000000">
      <w:pPr>
        <w:pBdr>
          <w:top w:val="nil"/>
          <w:left w:val="nil"/>
          <w:bottom w:val="nil"/>
          <w:right w:val="nil"/>
          <w:between w:val="nil"/>
        </w:pBdr>
        <w:spacing w:after="100"/>
        <w:rPr>
          <w:color w:val="000000"/>
        </w:rPr>
      </w:pPr>
      <w:r>
        <w:rPr>
          <w:color w:val="000000"/>
        </w:rPr>
        <w:t>CAPÍTULO V ............. Gateways de Satélite, Estações Terrenas e Terminais</w:t>
      </w:r>
    </w:p>
    <w:p w14:paraId="2B6DE571" w14:textId="77777777" w:rsidR="008B2B96" w:rsidRDefault="00000000">
      <w:pPr>
        <w:pBdr>
          <w:top w:val="nil"/>
          <w:left w:val="nil"/>
          <w:bottom w:val="nil"/>
          <w:right w:val="nil"/>
          <w:between w:val="nil"/>
        </w:pBdr>
        <w:spacing w:after="100"/>
        <w:rPr>
          <w:color w:val="000000"/>
        </w:rPr>
      </w:pPr>
      <w:r>
        <w:rPr>
          <w:color w:val="000000"/>
        </w:rPr>
        <w:t>CAPÍTULO VI ............ Comunicações de Emergência por Satélite</w:t>
      </w:r>
    </w:p>
    <w:p w14:paraId="3207ECDA" w14:textId="77777777" w:rsidR="008B2B96" w:rsidRDefault="00000000">
      <w:pPr>
        <w:pBdr>
          <w:top w:val="nil"/>
          <w:left w:val="nil"/>
          <w:bottom w:val="nil"/>
          <w:right w:val="nil"/>
          <w:between w:val="nil"/>
        </w:pBdr>
        <w:spacing w:after="100"/>
        <w:rPr>
          <w:color w:val="000000"/>
        </w:rPr>
      </w:pPr>
      <w:r>
        <w:rPr>
          <w:color w:val="000000"/>
        </w:rPr>
        <w:t>CAPÍTULO VII ........... Obrigações das Entidades Abrangidas</w:t>
      </w:r>
    </w:p>
    <w:p w14:paraId="75164800" w14:textId="77777777" w:rsidR="008B2B96" w:rsidRDefault="00000000">
      <w:pPr>
        <w:pBdr>
          <w:top w:val="nil"/>
          <w:left w:val="nil"/>
          <w:bottom w:val="nil"/>
          <w:right w:val="nil"/>
          <w:between w:val="nil"/>
        </w:pBdr>
        <w:spacing w:after="100"/>
        <w:rPr>
          <w:color w:val="000000"/>
        </w:rPr>
      </w:pPr>
      <w:r>
        <w:rPr>
          <w:color w:val="000000"/>
        </w:rPr>
        <w:t>CAPÍTULO VIII .......... Concorrência, Acesso, Interligação e Partilha de Infraestruturas</w:t>
      </w:r>
    </w:p>
    <w:p w14:paraId="72D51BE9" w14:textId="77777777" w:rsidR="008B2B96" w:rsidRDefault="00000000">
      <w:pPr>
        <w:pBdr>
          <w:top w:val="nil"/>
          <w:left w:val="nil"/>
          <w:bottom w:val="nil"/>
          <w:right w:val="nil"/>
          <w:between w:val="nil"/>
        </w:pBdr>
        <w:spacing w:after="100"/>
        <w:rPr>
          <w:color w:val="000000"/>
        </w:rPr>
      </w:pPr>
      <w:r>
        <w:rPr>
          <w:color w:val="000000"/>
        </w:rPr>
        <w:t>CAPÍTULO IX ............. Prestação de Informação, Supervisão e Fiscalização</w:t>
      </w:r>
    </w:p>
    <w:p w14:paraId="749CB9D8" w14:textId="77777777" w:rsidR="008B2B96" w:rsidRDefault="00000000">
      <w:pPr>
        <w:pBdr>
          <w:top w:val="nil"/>
          <w:left w:val="nil"/>
          <w:bottom w:val="nil"/>
          <w:right w:val="nil"/>
          <w:between w:val="nil"/>
        </w:pBdr>
        <w:spacing w:after="100"/>
        <w:rPr>
          <w:color w:val="000000"/>
        </w:rPr>
      </w:pPr>
      <w:r>
        <w:rPr>
          <w:color w:val="000000"/>
        </w:rPr>
        <w:t>CAPÍTULO X .............. Taxas</w:t>
      </w:r>
    </w:p>
    <w:p w14:paraId="3B928B94" w14:textId="77777777" w:rsidR="008B2B96" w:rsidRDefault="00000000">
      <w:pPr>
        <w:pBdr>
          <w:top w:val="nil"/>
          <w:left w:val="nil"/>
          <w:bottom w:val="nil"/>
          <w:right w:val="nil"/>
          <w:between w:val="nil"/>
        </w:pBdr>
        <w:tabs>
          <w:tab w:val="left" w:pos="2410"/>
        </w:tabs>
        <w:spacing w:after="100"/>
        <w:rPr>
          <w:color w:val="000000"/>
        </w:rPr>
      </w:pPr>
      <w:r>
        <w:rPr>
          <w:color w:val="000000"/>
        </w:rPr>
        <w:t>CAPÍTULO XI ............. Regime Sancionatório</w:t>
      </w:r>
    </w:p>
    <w:p w14:paraId="00018D34" w14:textId="77777777" w:rsidR="008B2B96" w:rsidRDefault="00000000">
      <w:pPr>
        <w:pBdr>
          <w:top w:val="nil"/>
          <w:left w:val="nil"/>
          <w:bottom w:val="nil"/>
          <w:right w:val="nil"/>
          <w:between w:val="nil"/>
        </w:pBdr>
        <w:spacing w:after="100"/>
        <w:rPr>
          <w:color w:val="000000"/>
        </w:rPr>
      </w:pPr>
      <w:r>
        <w:rPr>
          <w:color w:val="000000"/>
        </w:rPr>
        <w:t>CAPÍTULO XII ............ Disposições Finais e Transitórias</w:t>
      </w:r>
    </w:p>
    <w:p w14:paraId="5692AE99" w14:textId="77777777" w:rsidR="008B2B96" w:rsidRDefault="00000000">
      <w:pPr>
        <w:pBdr>
          <w:top w:val="nil"/>
          <w:left w:val="nil"/>
          <w:bottom w:val="nil"/>
          <w:right w:val="nil"/>
          <w:between w:val="nil"/>
        </w:pBdr>
        <w:tabs>
          <w:tab w:val="left" w:pos="2268"/>
        </w:tabs>
        <w:spacing w:after="100"/>
        <w:rPr>
          <w:color w:val="000000"/>
        </w:rPr>
      </w:pPr>
      <w:r>
        <w:rPr>
          <w:color w:val="000000"/>
        </w:rPr>
        <w:t>ANEXO I ...................... Elementos para Pedidos de Títulos Habilitantes</w:t>
      </w:r>
    </w:p>
    <w:p w14:paraId="544111F4" w14:textId="77777777" w:rsidR="008B2B96" w:rsidRDefault="00000000">
      <w:pPr>
        <w:pBdr>
          <w:top w:val="nil"/>
          <w:left w:val="nil"/>
          <w:bottom w:val="nil"/>
          <w:right w:val="nil"/>
          <w:between w:val="nil"/>
        </w:pBdr>
        <w:rPr>
          <w:color w:val="000000"/>
        </w:rPr>
      </w:pPr>
      <w:r>
        <w:br w:type="page"/>
      </w:r>
    </w:p>
    <w:p w14:paraId="5F5A9455" w14:textId="77777777" w:rsidR="008B2B96" w:rsidRDefault="008B2B96">
      <w:pPr>
        <w:pBdr>
          <w:top w:val="nil"/>
          <w:left w:val="nil"/>
          <w:bottom w:val="nil"/>
          <w:right w:val="nil"/>
          <w:between w:val="nil"/>
        </w:pBdr>
        <w:spacing w:before="200" w:after="200"/>
        <w:jc w:val="center"/>
        <w:rPr>
          <w:color w:val="000000"/>
        </w:rPr>
      </w:pPr>
    </w:p>
    <w:p w14:paraId="30F960CA" w14:textId="77777777" w:rsidR="008B2B96" w:rsidRDefault="00000000">
      <w:pPr>
        <w:pBdr>
          <w:top w:val="nil"/>
          <w:left w:val="nil"/>
          <w:bottom w:val="nil"/>
          <w:right w:val="nil"/>
          <w:between w:val="nil"/>
        </w:pBdr>
        <w:spacing w:before="200" w:after="200"/>
        <w:jc w:val="center"/>
        <w:rPr>
          <w:color w:val="000000"/>
        </w:rPr>
      </w:pPr>
      <w:r>
        <w:t>PREÂMBULO</w:t>
      </w:r>
    </w:p>
    <w:p w14:paraId="6A02EC0A" w14:textId="77777777" w:rsidR="008B2B96" w:rsidRDefault="008B2B96">
      <w:pPr>
        <w:pBdr>
          <w:top w:val="nil"/>
          <w:left w:val="nil"/>
          <w:bottom w:val="nil"/>
          <w:right w:val="nil"/>
          <w:between w:val="nil"/>
        </w:pBdr>
        <w:spacing w:before="200" w:after="200"/>
        <w:jc w:val="center"/>
        <w:rPr>
          <w:color w:val="000000"/>
        </w:rPr>
      </w:pPr>
    </w:p>
    <w:p w14:paraId="0D26207D" w14:textId="77777777" w:rsidR="008B2B96" w:rsidRDefault="00000000">
      <w:pPr>
        <w:pBdr>
          <w:top w:val="nil"/>
          <w:left w:val="nil"/>
          <w:bottom w:val="nil"/>
          <w:right w:val="nil"/>
          <w:between w:val="nil"/>
        </w:pBdr>
        <w:spacing w:after="120"/>
        <w:jc w:val="both"/>
        <w:rPr>
          <w:color w:val="000000"/>
        </w:rPr>
      </w:pPr>
      <w:r>
        <w:rPr>
          <w:color w:val="000000"/>
        </w:rPr>
        <w:t>A República da Guiné-Bissau enfrenta desafios estruturais em termos de conectividade territorial, abrangendo zonas rurais de difícil acesso, como é o caso das zonas insulares e das águas sob jurisdição nacional. As redes terrestres</w:t>
      </w:r>
      <w:r>
        <w:t xml:space="preserve"> </w:t>
      </w:r>
      <w:r>
        <w:rPr>
          <w:color w:val="000000"/>
        </w:rPr>
        <w:t>apresentam limitações de cobertura geográfica e vulnerabilidade a interrupções causadas por intempéries ou falhas de infraestrutura.</w:t>
      </w:r>
    </w:p>
    <w:p w14:paraId="0AB9219F" w14:textId="77777777" w:rsidR="008B2B96" w:rsidRDefault="00000000">
      <w:pPr>
        <w:pBdr>
          <w:top w:val="nil"/>
          <w:left w:val="nil"/>
          <w:bottom w:val="nil"/>
          <w:right w:val="nil"/>
          <w:between w:val="nil"/>
        </w:pBdr>
        <w:spacing w:after="120"/>
        <w:jc w:val="both"/>
        <w:rPr>
          <w:color w:val="000000"/>
        </w:rPr>
      </w:pPr>
      <w:r>
        <w:rPr>
          <w:color w:val="000000"/>
        </w:rPr>
        <w:t>A tecnologia de satélite — particularmente através de novas constelações não geoestacionárias de órbita baixa (LEO) e média (MEO), e sistemas de órbita geoestacionária (GEO) — surge como uma solução essencial para universalizar o acesso à Internet de banda larga, por forma a garantir a resiliência das redes nacionais, proporcionar comunicações críticas em situações de catástrofe, emergência e proteção civil, bem como monitorizar a Zona Económica Exclusiva (ZEE), o tráfego marítimo e o espaço aéreo.</w:t>
      </w:r>
    </w:p>
    <w:p w14:paraId="7B4B8BCD" w14:textId="77777777" w:rsidR="008B2B96" w:rsidRDefault="00000000">
      <w:pPr>
        <w:pBdr>
          <w:top w:val="nil"/>
          <w:left w:val="nil"/>
          <w:bottom w:val="nil"/>
          <w:right w:val="nil"/>
          <w:between w:val="nil"/>
        </w:pBdr>
        <w:spacing w:after="120"/>
        <w:jc w:val="both"/>
        <w:rPr>
          <w:color w:val="000000"/>
        </w:rPr>
      </w:pPr>
      <w:r>
        <w:rPr>
          <w:color w:val="000000"/>
        </w:rPr>
        <w:t xml:space="preserve">A legislação </w:t>
      </w:r>
      <w:r>
        <w:t>vigente</w:t>
      </w:r>
      <w:r>
        <w:rPr>
          <w:color w:val="000000"/>
        </w:rPr>
        <w:t xml:space="preserve">, apesar de estabelecer o quadro geral aplicável ao estabelecimento, gestão e exploração de redes e serviços de tecnologias da informação e comunicação em todo o território nacional, incluindo a gestão do espectro radioelétrico, não contém um regime específico e autónomo para as comunicações por satélite. </w:t>
      </w:r>
    </w:p>
    <w:p w14:paraId="1C3F3CC6" w14:textId="77777777" w:rsidR="008B2B96" w:rsidRDefault="00000000">
      <w:pPr>
        <w:pBdr>
          <w:top w:val="nil"/>
          <w:left w:val="nil"/>
          <w:bottom w:val="nil"/>
          <w:right w:val="nil"/>
          <w:between w:val="nil"/>
        </w:pBdr>
        <w:spacing w:after="120"/>
        <w:jc w:val="both"/>
        <w:rPr>
          <w:color w:val="000000"/>
        </w:rPr>
      </w:pPr>
      <w:r>
        <w:t xml:space="preserve">A </w:t>
      </w:r>
      <w:proofErr w:type="spellStart"/>
      <w:r>
        <w:t>adopção</w:t>
      </w:r>
      <w:proofErr w:type="spellEnd"/>
      <w:r>
        <w:t xml:space="preserve"> do regulamento relativo à rede e serviços de comunicações por satélite revela-se premente e necessária para </w:t>
      </w:r>
      <w:r>
        <w:rPr>
          <w:color w:val="000000"/>
        </w:rPr>
        <w:t>preencher, de forma proporcional e tecnicamente fundamentada, a lacuna relativa às comunicações por satélite</w:t>
      </w:r>
      <w:r>
        <w:t>.</w:t>
      </w:r>
    </w:p>
    <w:p w14:paraId="410B30CD" w14:textId="77777777" w:rsidR="008B2B96" w:rsidRDefault="00000000">
      <w:pPr>
        <w:pBdr>
          <w:top w:val="nil"/>
          <w:left w:val="nil"/>
          <w:bottom w:val="nil"/>
          <w:right w:val="nil"/>
          <w:between w:val="nil"/>
        </w:pBdr>
        <w:spacing w:after="120"/>
        <w:jc w:val="both"/>
        <w:rPr>
          <w:color w:val="000000"/>
        </w:rPr>
      </w:pPr>
      <w:r>
        <w:rPr>
          <w:color w:val="000000"/>
        </w:rPr>
        <w:t xml:space="preserve">O presente projeto foi elaborado tomando como ponto de partida a legislação </w:t>
      </w:r>
      <w:r>
        <w:t>vigente</w:t>
      </w:r>
      <w:r>
        <w:rPr>
          <w:color w:val="000000"/>
        </w:rPr>
        <w:t xml:space="preserve"> e inspirando-se e</w:t>
      </w:r>
      <w:r>
        <w:t>m</w:t>
      </w:r>
      <w:r>
        <w:rPr>
          <w:color w:val="000000"/>
        </w:rPr>
        <w:t xml:space="preserve"> soluções regulatórias adotadas</w:t>
      </w:r>
      <w:r>
        <w:t xml:space="preserve"> pelos países integrantes da Associação de Reguladores de Telecomunicações da África Ocidental (ARTAO) </w:t>
      </w:r>
      <w:r>
        <w:rPr>
          <w:color w:val="000000"/>
        </w:rPr>
        <w:t>relativas às comunicações por satélite</w:t>
      </w:r>
      <w:r>
        <w:t xml:space="preserve">, </w:t>
      </w:r>
      <w:r>
        <w:rPr>
          <w:color w:val="000000"/>
        </w:rPr>
        <w:t>com as devidas adaptações à realidade jurídica, institucional, geográfica e socioeconómica da Guiné-Bissau.</w:t>
      </w:r>
    </w:p>
    <w:p w14:paraId="655BFD24" w14:textId="77777777" w:rsidR="008B2B96" w:rsidRDefault="00000000">
      <w:pPr>
        <w:pBdr>
          <w:top w:val="nil"/>
          <w:left w:val="nil"/>
          <w:bottom w:val="nil"/>
          <w:right w:val="nil"/>
          <w:between w:val="nil"/>
        </w:pBdr>
        <w:spacing w:after="120"/>
        <w:jc w:val="both"/>
        <w:rPr>
          <w:color w:val="000000"/>
        </w:rPr>
      </w:pPr>
      <w:r>
        <w:rPr>
          <w:color w:val="000000"/>
        </w:rPr>
        <w:t xml:space="preserve">O presente Regulamento deve ser </w:t>
      </w:r>
      <w:r>
        <w:t>interpretado</w:t>
      </w:r>
      <w:r>
        <w:rPr>
          <w:color w:val="000000"/>
        </w:rPr>
        <w:t xml:space="preserve"> em conjugação com </w:t>
      </w:r>
      <w:r>
        <w:t>o regime jurídico geral das telecomunicações</w:t>
      </w:r>
      <w:r>
        <w:rPr>
          <w:color w:val="000000"/>
        </w:rPr>
        <w:t xml:space="preserve"> e cujas disposições gerais sobre operadores, direitos e obrigações das entidades reguladas, proteção dos utilizadores, concorrência e fiscalização se aplicam subsidiariamente a todas as matérias não especificamente reguladas no presente diploma.</w:t>
      </w:r>
    </w:p>
    <w:p w14:paraId="150B31A9" w14:textId="77777777" w:rsidR="008B2B96" w:rsidRDefault="00000000">
      <w:pPr>
        <w:pBdr>
          <w:top w:val="nil"/>
          <w:left w:val="nil"/>
          <w:bottom w:val="nil"/>
          <w:right w:val="nil"/>
          <w:between w:val="nil"/>
        </w:pBdr>
        <w:rPr>
          <w:color w:val="000000"/>
        </w:rPr>
      </w:pPr>
      <w:r>
        <w:br w:type="page"/>
      </w:r>
    </w:p>
    <w:p w14:paraId="697CE33A" w14:textId="77777777" w:rsidR="008B2B96" w:rsidRPr="005C3C0B" w:rsidRDefault="00000000">
      <w:pPr>
        <w:pStyle w:val="Ttulo"/>
        <w:spacing w:after="200"/>
        <w:jc w:val="center"/>
        <w:rPr>
          <w:rFonts w:ascii="Times New Roman" w:eastAsia="Times New Roman" w:hAnsi="Times New Roman" w:cs="Times New Roman"/>
          <w:b/>
          <w:bCs/>
          <w:color w:val="auto"/>
          <w:sz w:val="24"/>
          <w:szCs w:val="24"/>
        </w:rPr>
      </w:pPr>
      <w:r w:rsidRPr="005C3C0B">
        <w:rPr>
          <w:rFonts w:ascii="Times New Roman" w:eastAsia="Times New Roman" w:hAnsi="Times New Roman" w:cs="Times New Roman"/>
          <w:b/>
          <w:bCs/>
          <w:color w:val="auto"/>
          <w:sz w:val="24"/>
          <w:szCs w:val="24"/>
        </w:rPr>
        <w:lastRenderedPageBreak/>
        <w:t>Proposta de Regulamento</w:t>
      </w:r>
    </w:p>
    <w:p w14:paraId="7726292B" w14:textId="77777777" w:rsidR="008B2B96" w:rsidRPr="005C3C0B" w:rsidRDefault="00000000">
      <w:pPr>
        <w:pStyle w:val="Ttulo"/>
        <w:spacing w:after="200"/>
        <w:jc w:val="center"/>
        <w:rPr>
          <w:rFonts w:ascii="Times New Roman" w:eastAsia="Times New Roman" w:hAnsi="Times New Roman" w:cs="Times New Roman"/>
          <w:b/>
          <w:bCs/>
          <w:color w:val="auto"/>
          <w:sz w:val="24"/>
          <w:szCs w:val="24"/>
        </w:rPr>
      </w:pPr>
      <w:r w:rsidRPr="005C3C0B">
        <w:rPr>
          <w:rFonts w:ascii="Times New Roman" w:eastAsia="Times New Roman" w:hAnsi="Times New Roman" w:cs="Times New Roman"/>
          <w:b/>
          <w:bCs/>
          <w:color w:val="auto"/>
          <w:sz w:val="24"/>
          <w:szCs w:val="24"/>
        </w:rPr>
        <w:t>Regulamento das Redes e Serviços de Comunicações por Satélite em Guiné-Bissau</w:t>
      </w:r>
    </w:p>
    <w:p w14:paraId="0E06558E" w14:textId="77777777" w:rsidR="008B2B96" w:rsidRDefault="00000000">
      <w:pPr>
        <w:pBdr>
          <w:top w:val="nil"/>
          <w:left w:val="nil"/>
          <w:bottom w:val="nil"/>
          <w:right w:val="nil"/>
          <w:between w:val="nil"/>
        </w:pBdr>
        <w:jc w:val="center"/>
        <w:rPr>
          <w:color w:val="000000"/>
        </w:rPr>
      </w:pPr>
      <w:r>
        <w:rPr>
          <w:color w:val="000000"/>
        </w:rPr>
        <w:t>CAPÍTULO I</w:t>
      </w:r>
    </w:p>
    <w:p w14:paraId="240CD0AD" w14:textId="77777777" w:rsidR="008B2B96" w:rsidRDefault="00000000">
      <w:pPr>
        <w:pBdr>
          <w:top w:val="nil"/>
          <w:left w:val="nil"/>
          <w:bottom w:val="nil"/>
          <w:right w:val="nil"/>
          <w:between w:val="nil"/>
        </w:pBdr>
        <w:spacing w:after="240"/>
        <w:jc w:val="center"/>
        <w:rPr>
          <w:b/>
          <w:bCs/>
          <w:color w:val="000000"/>
        </w:rPr>
      </w:pPr>
      <w:r>
        <w:rPr>
          <w:b/>
          <w:bCs/>
          <w:color w:val="000000"/>
        </w:rPr>
        <w:t>Disposições Gerais</w:t>
      </w:r>
    </w:p>
    <w:p w14:paraId="1AAE3725" w14:textId="77777777" w:rsidR="008B2B96" w:rsidRDefault="00000000">
      <w:pPr>
        <w:pBdr>
          <w:top w:val="nil"/>
          <w:left w:val="nil"/>
          <w:bottom w:val="nil"/>
          <w:right w:val="nil"/>
          <w:between w:val="nil"/>
        </w:pBdr>
        <w:jc w:val="center"/>
        <w:rPr>
          <w:color w:val="000000"/>
        </w:rPr>
      </w:pPr>
      <w:r>
        <w:rPr>
          <w:color w:val="000000"/>
        </w:rPr>
        <w:t xml:space="preserve">Artigo 1.º </w:t>
      </w:r>
    </w:p>
    <w:p w14:paraId="2886460F" w14:textId="77777777" w:rsidR="008B2B96" w:rsidRDefault="00000000">
      <w:pPr>
        <w:pBdr>
          <w:top w:val="nil"/>
          <w:left w:val="nil"/>
          <w:bottom w:val="nil"/>
          <w:right w:val="nil"/>
          <w:between w:val="nil"/>
        </w:pBdr>
        <w:jc w:val="center"/>
        <w:rPr>
          <w:color w:val="000000"/>
        </w:rPr>
      </w:pPr>
      <w:r>
        <w:rPr>
          <w:color w:val="000000"/>
        </w:rPr>
        <w:t>(</w:t>
      </w:r>
      <w:r>
        <w:rPr>
          <w:b/>
          <w:bCs/>
          <w:color w:val="000000"/>
        </w:rPr>
        <w:t>Objeto</w:t>
      </w:r>
      <w:r>
        <w:rPr>
          <w:color w:val="000000"/>
        </w:rPr>
        <w:t>)</w:t>
      </w:r>
    </w:p>
    <w:p w14:paraId="423A6918" w14:textId="77777777" w:rsidR="008B2B96" w:rsidRDefault="00000000">
      <w:pPr>
        <w:numPr>
          <w:ilvl w:val="0"/>
          <w:numId w:val="5"/>
        </w:numPr>
        <w:pBdr>
          <w:top w:val="nil"/>
          <w:left w:val="nil"/>
          <w:bottom w:val="nil"/>
          <w:right w:val="nil"/>
          <w:between w:val="nil"/>
        </w:pBdr>
        <w:spacing w:after="120"/>
        <w:jc w:val="both"/>
        <w:rPr>
          <w:color w:val="000000"/>
        </w:rPr>
      </w:pPr>
      <w:r>
        <w:rPr>
          <w:color w:val="000000"/>
        </w:rPr>
        <w:t>O presente Regulamento estabelece as normas aplicáveis ao estabelecimento, à oferta, exploração, disponibilização, instalação, operação, funcionamento, supervisão e fiscalização de redes e serviços de comunicações por satélite no território sob a jurisdição da República da Guiné-Bissau.</w:t>
      </w:r>
    </w:p>
    <w:p w14:paraId="55DE87AC" w14:textId="77777777" w:rsidR="008B2B96" w:rsidRDefault="00000000">
      <w:pPr>
        <w:numPr>
          <w:ilvl w:val="0"/>
          <w:numId w:val="5"/>
        </w:numPr>
        <w:pBdr>
          <w:top w:val="nil"/>
          <w:left w:val="nil"/>
          <w:bottom w:val="nil"/>
          <w:right w:val="nil"/>
          <w:between w:val="nil"/>
        </w:pBdr>
        <w:spacing w:after="120"/>
        <w:jc w:val="both"/>
        <w:rPr>
          <w:color w:val="000000"/>
        </w:rPr>
      </w:pPr>
      <w:r>
        <w:rPr>
          <w:color w:val="000000"/>
        </w:rPr>
        <w:t xml:space="preserve">O presente Regulamento estabelece, designadamente, as condições aplicáveis ao acesso e exercício da atividade, à utilização do espectro radioelétrico, à instalação e operação de estações, </w:t>
      </w:r>
      <w:proofErr w:type="spellStart"/>
      <w:r>
        <w:rPr>
          <w:i/>
          <w:iCs/>
          <w:color w:val="000000"/>
        </w:rPr>
        <w:t>gateways</w:t>
      </w:r>
      <w:proofErr w:type="spellEnd"/>
      <w:r>
        <w:rPr>
          <w:color w:val="000000"/>
        </w:rPr>
        <w:t>, terminais e demais infraestruturas associadas, à prevenção de interferências prejudiciais, à coordenação de frequências, à segurança, continuidade e resiliência das redes e serviços, à proteção dos utilizadores, bem como aos deveres de informação, supervisão, fiscalização e cooperação com a ARN e demais autoridades competentes.</w:t>
      </w:r>
    </w:p>
    <w:p w14:paraId="5507B60A" w14:textId="77777777" w:rsidR="008B2B96" w:rsidRDefault="00000000">
      <w:pPr>
        <w:pBdr>
          <w:top w:val="nil"/>
          <w:left w:val="nil"/>
          <w:bottom w:val="nil"/>
          <w:right w:val="nil"/>
          <w:between w:val="nil"/>
        </w:pBdr>
        <w:spacing w:after="100"/>
        <w:jc w:val="center"/>
        <w:rPr>
          <w:color w:val="000000"/>
        </w:rPr>
      </w:pPr>
      <w:r>
        <w:rPr>
          <w:color w:val="000000"/>
        </w:rPr>
        <w:t xml:space="preserve">Artigo 2.º </w:t>
      </w:r>
    </w:p>
    <w:p w14:paraId="23DF6E55" w14:textId="77777777" w:rsidR="008B2B96" w:rsidRDefault="00000000">
      <w:pPr>
        <w:pBdr>
          <w:top w:val="nil"/>
          <w:left w:val="nil"/>
          <w:bottom w:val="nil"/>
          <w:right w:val="nil"/>
          <w:between w:val="nil"/>
        </w:pBdr>
        <w:spacing w:after="100"/>
        <w:jc w:val="center"/>
        <w:rPr>
          <w:color w:val="000000"/>
        </w:rPr>
      </w:pPr>
      <w:bookmarkStart w:id="0" w:name="_heading=h.fn2069qucile" w:colFirst="0" w:colLast="0"/>
      <w:bookmarkEnd w:id="0"/>
      <w:r>
        <w:rPr>
          <w:color w:val="000000"/>
        </w:rPr>
        <w:t>(</w:t>
      </w:r>
      <w:r>
        <w:rPr>
          <w:b/>
          <w:bCs/>
          <w:color w:val="000000"/>
        </w:rPr>
        <w:t>Definições</w:t>
      </w:r>
      <w:r>
        <w:rPr>
          <w:color w:val="000000"/>
        </w:rPr>
        <w:t>)</w:t>
      </w:r>
    </w:p>
    <w:p w14:paraId="4D987E68" w14:textId="77777777" w:rsidR="008B2B96" w:rsidRDefault="00000000">
      <w:pPr>
        <w:pBdr>
          <w:top w:val="nil"/>
          <w:left w:val="nil"/>
          <w:bottom w:val="nil"/>
          <w:right w:val="nil"/>
          <w:between w:val="nil"/>
        </w:pBdr>
        <w:spacing w:after="120"/>
        <w:jc w:val="both"/>
        <w:rPr>
          <w:color w:val="000000"/>
          <w:highlight w:val="yellow"/>
        </w:rPr>
      </w:pPr>
      <w:r>
        <w:rPr>
          <w:color w:val="000000"/>
        </w:rPr>
        <w:t>Para efeitos do presente Regulamento entende-se por:</w:t>
      </w:r>
    </w:p>
    <w:p w14:paraId="6E363937" w14:textId="77777777" w:rsidR="008B2B96" w:rsidRDefault="00000000">
      <w:pPr>
        <w:numPr>
          <w:ilvl w:val="0"/>
          <w:numId w:val="18"/>
        </w:numPr>
        <w:pBdr>
          <w:top w:val="nil"/>
          <w:left w:val="nil"/>
          <w:bottom w:val="nil"/>
          <w:right w:val="nil"/>
          <w:between w:val="nil"/>
        </w:pBdr>
        <w:spacing w:after="80"/>
        <w:jc w:val="both"/>
      </w:pPr>
      <w:r>
        <w:t>“Administração notificante”: autoridade governamental competente (ou administração estatal) responsável por submeter oficialmente à UIT os dados e notificações técnicas relativas às frequências de rádio, redes ou sistemas de satélite de seu país;</w:t>
      </w:r>
    </w:p>
    <w:p w14:paraId="313DE03A"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“Autorização geral”: Uma autorização conferida pela ARN à entidade que satisfaz as condições aplicáveis à oferta de redes e/ou serviços de informação e comunicações, e que obriga a entidade em questão a obter uma decisão expressa da ARN antes de exercer os direitos decorrentes do referido diploma e comunicar à ARN as informações necessárias para assegurar o cumprimento das condições aplicáveis à autorização conforme a regulamentação em vigor;</w:t>
      </w:r>
    </w:p>
    <w:p w14:paraId="2DCFE49E"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“Autorização”: Um ato administrativo (licença individual, contrato de concessão, ou autorização geral) que confere a uma entidade um conjunto de direitos e obrigações e outorga o direito de estabelecer e explorar redes e/ou serviços de informação e comunicações;</w:t>
      </w:r>
    </w:p>
    <w:p w14:paraId="1B82492F" w14:textId="77777777" w:rsidR="008B2B96" w:rsidRDefault="00000000">
      <w:pPr>
        <w:numPr>
          <w:ilvl w:val="0"/>
          <w:numId w:val="18"/>
        </w:numPr>
        <w:spacing w:after="120"/>
        <w:jc w:val="both"/>
      </w:pPr>
      <w:r>
        <w:t>“</w:t>
      </w:r>
      <w:proofErr w:type="spellStart"/>
      <w:r>
        <w:rPr>
          <w:i/>
          <w:iCs/>
        </w:rPr>
        <w:t>Backhaul</w:t>
      </w:r>
      <w:proofErr w:type="spellEnd"/>
      <w:r>
        <w:t>”: ou "rede de transporte") designa o trecho intermediário de uma infraestrutura de telecomunicações que conecta as redes locais periféricas (redes de acesso) ao núcleo central da rede (</w:t>
      </w:r>
      <w:r>
        <w:rPr>
          <w:i/>
          <w:iCs/>
        </w:rPr>
        <w:t>Core Network</w:t>
      </w:r>
      <w:r>
        <w:t>) e à espinha dorsal da Internet (</w:t>
      </w:r>
      <w:proofErr w:type="spellStart"/>
      <w:r>
        <w:rPr>
          <w:i/>
          <w:iCs/>
        </w:rPr>
        <w:t>Backbone</w:t>
      </w:r>
      <w:proofErr w:type="spellEnd"/>
      <w:r>
        <w:t>).</w:t>
      </w:r>
    </w:p>
    <w:p w14:paraId="703E43FF"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“Capacidade de satélite”: a disponibilidade de recursos técnicos de um sistema de satélite, incluindo largura de banda, potência, cobertura, feixes, transponders ou outros recursos equivalentes, destinados à transmissão, receção ou encaminhamento de sinais;</w:t>
      </w:r>
    </w:p>
    <w:p w14:paraId="1FC3891F" w14:textId="77777777" w:rsidR="008B2B96" w:rsidRDefault="00000000">
      <w:pPr>
        <w:numPr>
          <w:ilvl w:val="0"/>
          <w:numId w:val="18"/>
        </w:numPr>
        <w:pBdr>
          <w:top w:val="nil"/>
          <w:left w:val="nil"/>
          <w:bottom w:val="nil"/>
          <w:right w:val="nil"/>
          <w:between w:val="nil"/>
        </w:pBdr>
        <w:spacing w:after="80"/>
        <w:jc w:val="both"/>
      </w:pPr>
      <w:r>
        <w:t>“Comunicações eletrónicas”: qualquer emissão, transmissão ou receção de símbolos, sinais, escritos, imagens, sons ou informações de qualquer natureza por cabo, por via hertziana, por meios óticos ou por outros meios eletromagnético;</w:t>
      </w:r>
    </w:p>
    <w:p w14:paraId="2B702AED"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lastRenderedPageBreak/>
        <w:t>“Comunicações por satélite”: a transmissão, receção ou encaminhamento de sinais por meio de satélites artificiais, estações espaciais, estações terrenas ou outros elementos associados;</w:t>
      </w:r>
    </w:p>
    <w:p w14:paraId="092B9693"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“Direito de aterragem”: autorização para disponibilização de capacidade ou prestação de serviço de um sistema espacial no território nacional;</w:t>
      </w:r>
    </w:p>
    <w:p w14:paraId="683C3C06"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 xml:space="preserve">“Direito de utilização de frequências”: o título atribuído pela ARN, que confere o direito individual de utilizar frequências radioelétricas em condições determinadas. </w:t>
      </w:r>
    </w:p>
    <w:p w14:paraId="69D79BFA" w14:textId="77777777" w:rsidR="008B2B96" w:rsidRDefault="00000000">
      <w:pPr>
        <w:numPr>
          <w:ilvl w:val="0"/>
          <w:numId w:val="18"/>
        </w:numPr>
        <w:pBdr>
          <w:top w:val="nil"/>
          <w:left w:val="nil"/>
          <w:bottom w:val="nil"/>
          <w:right w:val="nil"/>
          <w:between w:val="nil"/>
        </w:pBdr>
        <w:spacing w:after="80"/>
        <w:jc w:val="both"/>
      </w:pPr>
      <w:r>
        <w:t>“EIRP”: (</w:t>
      </w:r>
      <w:proofErr w:type="spellStart"/>
      <w:r>
        <w:rPr>
          <w:i/>
          <w:iCs/>
        </w:rPr>
        <w:t>Equivalent</w:t>
      </w:r>
      <w:proofErr w:type="spellEnd"/>
      <w:r>
        <w:rPr>
          <w:i/>
          <w:iCs/>
        </w:rPr>
        <w:t xml:space="preserve"> </w:t>
      </w:r>
      <w:proofErr w:type="spellStart"/>
      <w:r>
        <w:rPr>
          <w:i/>
          <w:iCs/>
        </w:rPr>
        <w:t>Isotropically</w:t>
      </w:r>
      <w:proofErr w:type="spellEnd"/>
      <w:r>
        <w:rPr>
          <w:i/>
          <w:iCs/>
        </w:rPr>
        <w:t xml:space="preserve"> </w:t>
      </w:r>
      <w:proofErr w:type="spellStart"/>
      <w:r>
        <w:rPr>
          <w:i/>
          <w:iCs/>
        </w:rPr>
        <w:t>Radiated</w:t>
      </w:r>
      <w:proofErr w:type="spellEnd"/>
      <w:r>
        <w:rPr>
          <w:i/>
          <w:iCs/>
        </w:rPr>
        <w:t xml:space="preserve"> </w:t>
      </w:r>
      <w:proofErr w:type="spellStart"/>
      <w:r>
        <w:rPr>
          <w:i/>
          <w:iCs/>
        </w:rPr>
        <w:t>Power</w:t>
      </w:r>
      <w:proofErr w:type="spellEnd"/>
      <w:r>
        <w:rPr>
          <w:i/>
          <w:iCs/>
        </w:rPr>
        <w:t xml:space="preserve"> - </w:t>
      </w:r>
      <w:r>
        <w:t>Potência Isotrópica Radiada Equivalente), potência total teórica que uma antena isotrópica hipotética (que transmite energia de forma perfeitamente uniforme em todas as direções) precisaria emitir para produzir a mesma intensidade de sinal que a antena real produz na direção de seu ganho máximo;</w:t>
      </w:r>
    </w:p>
    <w:p w14:paraId="0F87B1F2" w14:textId="77777777" w:rsidR="008B2B96" w:rsidRDefault="00000000">
      <w:pPr>
        <w:numPr>
          <w:ilvl w:val="0"/>
          <w:numId w:val="18"/>
        </w:numPr>
        <w:pBdr>
          <w:top w:val="nil"/>
          <w:left w:val="nil"/>
          <w:bottom w:val="nil"/>
          <w:right w:val="nil"/>
          <w:between w:val="nil"/>
        </w:pBdr>
        <w:spacing w:after="80"/>
        <w:jc w:val="both"/>
      </w:pPr>
      <w:r>
        <w:t xml:space="preserve">“ESIM”: estação terrena em movimento instalada em aeronave (AES - </w:t>
      </w:r>
      <w:proofErr w:type="spellStart"/>
      <w:r>
        <w:rPr>
          <w:i/>
          <w:iCs/>
        </w:rPr>
        <w:t>Aircraft</w:t>
      </w:r>
      <w:proofErr w:type="spellEnd"/>
      <w:r>
        <w:rPr>
          <w:i/>
          <w:iCs/>
        </w:rPr>
        <w:t xml:space="preserve"> </w:t>
      </w:r>
      <w:proofErr w:type="spellStart"/>
      <w:r>
        <w:rPr>
          <w:i/>
          <w:iCs/>
        </w:rPr>
        <w:t>Earth</w:t>
      </w:r>
      <w:proofErr w:type="spellEnd"/>
      <w:r>
        <w:rPr>
          <w:i/>
          <w:iCs/>
        </w:rPr>
        <w:t xml:space="preserve"> Station</w:t>
      </w:r>
      <w:r>
        <w:t xml:space="preserve">), embarcação (ESV - </w:t>
      </w:r>
      <w:proofErr w:type="spellStart"/>
      <w:r>
        <w:rPr>
          <w:i/>
          <w:iCs/>
        </w:rPr>
        <w:t>Earth</w:t>
      </w:r>
      <w:proofErr w:type="spellEnd"/>
      <w:r>
        <w:rPr>
          <w:i/>
          <w:iCs/>
        </w:rPr>
        <w:t xml:space="preserve"> Station </w:t>
      </w:r>
      <w:proofErr w:type="spellStart"/>
      <w:r>
        <w:rPr>
          <w:i/>
          <w:iCs/>
        </w:rPr>
        <w:t>on</w:t>
      </w:r>
      <w:proofErr w:type="spellEnd"/>
      <w:r>
        <w:rPr>
          <w:i/>
          <w:iCs/>
        </w:rPr>
        <w:t xml:space="preserve"> </w:t>
      </w:r>
      <w:proofErr w:type="spellStart"/>
      <w:r>
        <w:rPr>
          <w:i/>
          <w:iCs/>
        </w:rPr>
        <w:t>Vessel</w:t>
      </w:r>
      <w:proofErr w:type="spellEnd"/>
      <w:r>
        <w:t>) ou veículos;</w:t>
      </w:r>
    </w:p>
    <w:p w14:paraId="63C24882"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“Estação espacial”: a estação de radiocomunicações situada num objeto espacial ou destinada a funcionar no espaço;</w:t>
      </w:r>
    </w:p>
    <w:p w14:paraId="2F649AE3"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“Estação terrena”: a estação de radiocomunicações situada na superfície terrestre, em plataforma marítima, aeronave ou outro local autorizado, destinada à comunicação com uma ou mais estações espaciais;</w:t>
      </w:r>
    </w:p>
    <w:p w14:paraId="4196D360"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w:t>
      </w:r>
      <w:r>
        <w:rPr>
          <w:i/>
          <w:iCs/>
          <w:color w:val="000000"/>
        </w:rPr>
        <w:t>Gateway</w:t>
      </w:r>
      <w:r>
        <w:rPr>
          <w:color w:val="000000"/>
        </w:rPr>
        <w:t xml:space="preserve"> de satélite”: a estação terrena ou conjunto de estações terrenas que assegura a interligação entre o segmento espacial e as redes terrestres ou outros sistemas de comunicações;</w:t>
      </w:r>
    </w:p>
    <w:p w14:paraId="5237ECB4" w14:textId="77777777" w:rsidR="008B2B96" w:rsidRDefault="00000000">
      <w:pPr>
        <w:numPr>
          <w:ilvl w:val="0"/>
          <w:numId w:val="18"/>
        </w:numPr>
        <w:pBdr>
          <w:top w:val="nil"/>
          <w:left w:val="nil"/>
          <w:bottom w:val="nil"/>
          <w:right w:val="nil"/>
          <w:between w:val="nil"/>
        </w:pBdr>
        <w:spacing w:after="80"/>
        <w:jc w:val="both"/>
      </w:pPr>
      <w:r>
        <w:t>“GEO”: (Órbita Geoestacionária) uma órbita circular situada diretamente acima do equador terrestre, a uma altitude aproximada de 35.786 km;</w:t>
      </w:r>
    </w:p>
    <w:p w14:paraId="4680A5A2"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“Interferência prejudicial”: qualquer interferência que comprometa o funcionamento de serviços de radionavegação ou de segurança, ou que prejudique seriamente, obstrua ou interrompa repetidamente um serviço de radiocomunicações;</w:t>
      </w:r>
    </w:p>
    <w:p w14:paraId="505F1570" w14:textId="77777777" w:rsidR="008B2B96" w:rsidRDefault="00000000">
      <w:pPr>
        <w:numPr>
          <w:ilvl w:val="0"/>
          <w:numId w:val="18"/>
        </w:numPr>
        <w:pBdr>
          <w:top w:val="nil"/>
          <w:left w:val="nil"/>
          <w:bottom w:val="nil"/>
          <w:right w:val="nil"/>
          <w:between w:val="nil"/>
        </w:pBdr>
        <w:spacing w:after="80"/>
        <w:jc w:val="both"/>
      </w:pPr>
      <w:r>
        <w:t>“LEO”: Órbita Terrestre Baixa, uma região do espaço relativamente próxima da superfície da Terra, localizada entre 160 km e 2.000 km de altitude;</w:t>
      </w:r>
    </w:p>
    <w:p w14:paraId="6AC63E81" w14:textId="77777777" w:rsidR="008B2B96" w:rsidRDefault="00000000">
      <w:pPr>
        <w:numPr>
          <w:ilvl w:val="0"/>
          <w:numId w:val="18"/>
        </w:numPr>
        <w:pBdr>
          <w:top w:val="nil"/>
          <w:left w:val="nil"/>
          <w:bottom w:val="nil"/>
          <w:right w:val="nil"/>
          <w:between w:val="nil"/>
        </w:pBdr>
        <w:spacing w:after="80"/>
        <w:jc w:val="both"/>
      </w:pPr>
      <w:r>
        <w:t>“MEO”: Órbita Terrestre Média, uma região do espaço situada acima da Órbita Terrestre Baixa (LEO) e abaixo da Órbita Geoestacionária (GEO), compreendida aproximadamente entre 2.000 km e 35.786 km de altitude;</w:t>
      </w:r>
    </w:p>
    <w:p w14:paraId="5258CC61" w14:textId="77777777" w:rsidR="008B2B96" w:rsidRDefault="00000000">
      <w:pPr>
        <w:numPr>
          <w:ilvl w:val="0"/>
          <w:numId w:val="18"/>
        </w:numPr>
        <w:pBdr>
          <w:top w:val="nil"/>
          <w:left w:val="nil"/>
          <w:bottom w:val="nil"/>
          <w:right w:val="nil"/>
          <w:between w:val="nil"/>
        </w:pBdr>
        <w:spacing w:after="80"/>
        <w:jc w:val="both"/>
      </w:pPr>
      <w:r>
        <w:t>“NGSO”: Sistemas de Satélites Não Geoestacionários (</w:t>
      </w:r>
      <w:r>
        <w:rPr>
          <w:i/>
          <w:iCs/>
        </w:rPr>
        <w:t>Non-</w:t>
      </w:r>
      <w:proofErr w:type="spellStart"/>
      <w:r>
        <w:rPr>
          <w:i/>
          <w:iCs/>
        </w:rPr>
        <w:t>Geostationary</w:t>
      </w:r>
      <w:proofErr w:type="spellEnd"/>
      <w:r>
        <w:rPr>
          <w:i/>
          <w:iCs/>
        </w:rPr>
        <w:t xml:space="preserve"> </w:t>
      </w:r>
      <w:proofErr w:type="spellStart"/>
      <w:r>
        <w:rPr>
          <w:i/>
          <w:iCs/>
        </w:rPr>
        <w:t>Satellite</w:t>
      </w:r>
      <w:proofErr w:type="spellEnd"/>
      <w:r>
        <w:rPr>
          <w:i/>
          <w:iCs/>
        </w:rPr>
        <w:t xml:space="preserve"> </w:t>
      </w:r>
      <w:proofErr w:type="spellStart"/>
      <w:r>
        <w:rPr>
          <w:i/>
          <w:iCs/>
        </w:rPr>
        <w:t>Orbit</w:t>
      </w:r>
      <w:proofErr w:type="spellEnd"/>
      <w:r>
        <w:t xml:space="preserve"> / </w:t>
      </w:r>
      <w:r>
        <w:rPr>
          <w:i/>
          <w:iCs/>
        </w:rPr>
        <w:t>Non-</w:t>
      </w:r>
      <w:proofErr w:type="spellStart"/>
      <w:r>
        <w:rPr>
          <w:i/>
          <w:iCs/>
        </w:rPr>
        <w:t>Geostationary</w:t>
      </w:r>
      <w:proofErr w:type="spellEnd"/>
      <w:r>
        <w:rPr>
          <w:i/>
          <w:iCs/>
        </w:rPr>
        <w:t xml:space="preserve"> </w:t>
      </w:r>
      <w:proofErr w:type="spellStart"/>
      <w:r>
        <w:rPr>
          <w:i/>
          <w:iCs/>
        </w:rPr>
        <w:t>Satellite</w:t>
      </w:r>
      <w:proofErr w:type="spellEnd"/>
      <w:r>
        <w:rPr>
          <w:i/>
          <w:iCs/>
        </w:rPr>
        <w:t xml:space="preserve"> </w:t>
      </w:r>
      <w:proofErr w:type="spellStart"/>
      <w:r>
        <w:rPr>
          <w:i/>
          <w:iCs/>
        </w:rPr>
        <w:t>Systems</w:t>
      </w:r>
      <w:proofErr w:type="spellEnd"/>
      <w:r>
        <w:t>), designa qualquer sistema ou satélite que opere fora da Órbita Geoestacionária (GEO). Ou seja, abrange todos os satélites localizados em Órbita Terrestre Baixa (LEO) e Órbita Terrestre Média (MEO);</w:t>
      </w:r>
    </w:p>
    <w:p w14:paraId="33A58646"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“Operador de satélite”: a entidade responsável pela exploração, gestão ou disponibilização de um sistema de satélite, capacidade satélite ou recursos associados;</w:t>
      </w:r>
    </w:p>
    <w:p w14:paraId="701CE785"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“Prestador de serviços de comunicações por satélite”: a entidade que oferece, disponibiliza ou comercializa redes, serviços ou capacidade de comunicações por satélite a utilizadores finais, operadores, entidades públicas ou privadas;</w:t>
      </w:r>
    </w:p>
    <w:p w14:paraId="1FEACD15"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 xml:space="preserve">“Quadro Nacional de Atribuição de Frequências (QNAF)”:  instrumento de </w:t>
      </w:r>
      <w:r>
        <w:t>controle</w:t>
      </w:r>
      <w:r>
        <w:rPr>
          <w:color w:val="000000"/>
        </w:rPr>
        <w:t xml:space="preserve"> publicado anualmente pela ARN, que define as faixas de frequência atribuídas, reservadas e disponibilizadas no território nacional;</w:t>
      </w:r>
    </w:p>
    <w:p w14:paraId="0DCA6A89" w14:textId="77777777" w:rsidR="008B2B96" w:rsidRDefault="00000000">
      <w:pPr>
        <w:numPr>
          <w:ilvl w:val="0"/>
          <w:numId w:val="18"/>
        </w:numPr>
        <w:pBdr>
          <w:top w:val="nil"/>
          <w:left w:val="nil"/>
          <w:bottom w:val="nil"/>
          <w:right w:val="nil"/>
          <w:between w:val="nil"/>
        </w:pBdr>
        <w:spacing w:after="80"/>
        <w:jc w:val="both"/>
      </w:pPr>
      <w:r>
        <w:lastRenderedPageBreak/>
        <w:t>“Registo”: Um dos níveis de intervenção da ARN, que é ato de registo ou de notificação por parte de um operador de redes ou serviços de informação e telecomunicações à ARN e que não obriga a entidade em questão a obter uma decisão expressa da ARN antes de iniciar as suas atividades;</w:t>
      </w:r>
    </w:p>
    <w:p w14:paraId="2965BD52"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“Segmento espacial”: o conjunto de satélites, estações espaciais, recursos orbitais, frequências e sistemas de controlo associados à componente espacial de um sistema de satélite;</w:t>
      </w:r>
    </w:p>
    <w:p w14:paraId="3F1CCB6E"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 xml:space="preserve">“Segmento terrestre”: o conjunto de </w:t>
      </w:r>
      <w:proofErr w:type="spellStart"/>
      <w:r>
        <w:rPr>
          <w:i/>
          <w:iCs/>
          <w:color w:val="000000"/>
        </w:rPr>
        <w:t>gateways</w:t>
      </w:r>
      <w:proofErr w:type="spellEnd"/>
      <w:r>
        <w:rPr>
          <w:color w:val="000000"/>
        </w:rPr>
        <w:t xml:space="preserve"> de satélite, estações terrenas, terminais, centros de controlo, pontos de presença, redes terrestres de suporte e demais infraestruturas associadas à operação de um sistema de satélite;</w:t>
      </w:r>
    </w:p>
    <w:p w14:paraId="4EB5103B"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“Serviço direto a terminal” ou "</w:t>
      </w:r>
      <w:proofErr w:type="spellStart"/>
      <w:r>
        <w:rPr>
          <w:i/>
          <w:iCs/>
          <w:color w:val="000000"/>
        </w:rPr>
        <w:t>Direct</w:t>
      </w:r>
      <w:proofErr w:type="spellEnd"/>
      <w:r>
        <w:rPr>
          <w:i/>
          <w:iCs/>
          <w:color w:val="000000"/>
        </w:rPr>
        <w:t>-to-</w:t>
      </w:r>
      <w:proofErr w:type="spellStart"/>
      <w:r>
        <w:rPr>
          <w:i/>
          <w:iCs/>
          <w:color w:val="000000"/>
        </w:rPr>
        <w:t>Device</w:t>
      </w:r>
      <w:proofErr w:type="spellEnd"/>
      <w:r>
        <w:rPr>
          <w:i/>
          <w:iCs/>
          <w:color w:val="000000"/>
        </w:rPr>
        <w:t xml:space="preserve"> (D2D)</w:t>
      </w:r>
      <w:r>
        <w:rPr>
          <w:color w:val="000000"/>
        </w:rPr>
        <w:t>": o serviço ou funcionalidade que permite comunicações entre um sistema de satélite e equipamentos terminais compatíveis, sem intermediação direta de uma estação terrena do utilizador;</w:t>
      </w:r>
    </w:p>
    <w:p w14:paraId="133C7609"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 xml:space="preserve">“Sistema de satélite”: o conjunto integrado de satélites, estações espaciais, estações terrenas, </w:t>
      </w:r>
      <w:proofErr w:type="spellStart"/>
      <w:r>
        <w:rPr>
          <w:i/>
          <w:iCs/>
          <w:color w:val="000000"/>
        </w:rPr>
        <w:t>gateways</w:t>
      </w:r>
      <w:proofErr w:type="spellEnd"/>
      <w:r>
        <w:rPr>
          <w:color w:val="000000"/>
        </w:rPr>
        <w:t xml:space="preserve"> de satélite, terminais, recursos orbitais, frequências, sistemas de controlo e demais elementos necessários à prestação de comunicações por satélite;</w:t>
      </w:r>
    </w:p>
    <w:p w14:paraId="1188FF81" w14:textId="77777777" w:rsidR="008B2B96" w:rsidRDefault="00000000">
      <w:pPr>
        <w:numPr>
          <w:ilvl w:val="0"/>
          <w:numId w:val="18"/>
        </w:numPr>
        <w:pBdr>
          <w:top w:val="nil"/>
          <w:left w:val="nil"/>
          <w:bottom w:val="nil"/>
          <w:right w:val="nil"/>
          <w:between w:val="nil"/>
        </w:pBdr>
        <w:spacing w:after="80"/>
        <w:jc w:val="both"/>
        <w:rPr>
          <w:color w:val="000000"/>
        </w:rPr>
      </w:pPr>
      <w:r>
        <w:rPr>
          <w:color w:val="000000"/>
        </w:rPr>
        <w:t>“Terminal de utilizador”: o equipamento utilizado pelo utilizador final para aceder a redes ou serviços de comunicações por satélite;</w:t>
      </w:r>
    </w:p>
    <w:p w14:paraId="4FBEAF3C" w14:textId="77777777" w:rsidR="008B2B96" w:rsidRDefault="00000000">
      <w:pPr>
        <w:pBdr>
          <w:top w:val="nil"/>
          <w:left w:val="nil"/>
          <w:bottom w:val="nil"/>
          <w:right w:val="nil"/>
          <w:between w:val="nil"/>
        </w:pBdr>
        <w:spacing w:after="100"/>
        <w:jc w:val="center"/>
        <w:rPr>
          <w:color w:val="2E74B5"/>
        </w:rPr>
      </w:pPr>
      <w:bookmarkStart w:id="1" w:name="_heading=h.4xxswoj8ehze" w:colFirst="0" w:colLast="0"/>
      <w:bookmarkEnd w:id="1"/>
      <w:r>
        <w:rPr>
          <w:color w:val="000000"/>
        </w:rPr>
        <w:t xml:space="preserve">Artigo 3.º </w:t>
      </w:r>
    </w:p>
    <w:p w14:paraId="6155738D" w14:textId="77777777" w:rsidR="008B2B96" w:rsidRDefault="00000000">
      <w:pPr>
        <w:pBdr>
          <w:top w:val="nil"/>
          <w:left w:val="nil"/>
          <w:bottom w:val="nil"/>
          <w:right w:val="nil"/>
          <w:between w:val="nil"/>
        </w:pBdr>
        <w:spacing w:after="100"/>
        <w:jc w:val="center"/>
        <w:rPr>
          <w:color w:val="000000"/>
        </w:rPr>
      </w:pPr>
      <w:r>
        <w:rPr>
          <w:color w:val="000000"/>
        </w:rPr>
        <w:t>(</w:t>
      </w:r>
      <w:r>
        <w:rPr>
          <w:b/>
          <w:bCs/>
          <w:color w:val="000000"/>
        </w:rPr>
        <w:t>Âmbito</w:t>
      </w:r>
      <w:r>
        <w:rPr>
          <w:color w:val="000000"/>
        </w:rPr>
        <w:t>)</w:t>
      </w:r>
    </w:p>
    <w:p w14:paraId="263ED180" w14:textId="77777777" w:rsidR="008B2B96" w:rsidRDefault="00000000">
      <w:pPr>
        <w:numPr>
          <w:ilvl w:val="0"/>
          <w:numId w:val="31"/>
        </w:numPr>
        <w:pBdr>
          <w:top w:val="nil"/>
          <w:left w:val="nil"/>
          <w:bottom w:val="nil"/>
          <w:right w:val="nil"/>
          <w:between w:val="nil"/>
        </w:pBdr>
        <w:spacing w:after="120"/>
        <w:jc w:val="both"/>
        <w:rPr>
          <w:color w:val="000000"/>
        </w:rPr>
      </w:pPr>
      <w:r>
        <w:rPr>
          <w:color w:val="000000"/>
        </w:rPr>
        <w:t>O presente Regulamento aplica-se às entidades que ofereçam, explorem, disponibilizem ou comercializem redes, serviços, capacidade, infraestruturas ou recursos associados a comunicações por satélite, sempre que tais atividades sejam desenvolvidas no território nacional, se destinem a utilizadores nele situados, envolvam a utilização de frequências ou estações sujeitas à jurisdição da Guiné-Bissau, ou tenham incidência sobre redes, serviços ou recursos regulados pela ARN.</w:t>
      </w:r>
    </w:p>
    <w:p w14:paraId="52F7D6D8" w14:textId="77777777" w:rsidR="008B2B96" w:rsidRDefault="00000000">
      <w:pPr>
        <w:numPr>
          <w:ilvl w:val="0"/>
          <w:numId w:val="31"/>
        </w:numPr>
        <w:pBdr>
          <w:top w:val="nil"/>
          <w:left w:val="nil"/>
          <w:bottom w:val="nil"/>
          <w:right w:val="nil"/>
          <w:between w:val="nil"/>
        </w:pBdr>
        <w:spacing w:after="120"/>
        <w:jc w:val="both"/>
        <w:rPr>
          <w:color w:val="000000"/>
        </w:rPr>
      </w:pPr>
      <w:r>
        <w:rPr>
          <w:color w:val="000000"/>
        </w:rPr>
        <w:t>Excluem-se do âmbito de aplicação do presente Regulamento as redes privativas das Forças Armadas e das forças e serviços de segurança e de emergência, nos termos da legislação em vigor, sem prejuízo do dever de coordenação entre usos civis e militares do espectro previsto no artigo 14.º do presente Regulamento.</w:t>
      </w:r>
    </w:p>
    <w:p w14:paraId="08F9F0EB" w14:textId="77777777" w:rsidR="008B2B96" w:rsidRDefault="00000000">
      <w:pPr>
        <w:numPr>
          <w:ilvl w:val="0"/>
          <w:numId w:val="31"/>
        </w:numPr>
        <w:pBdr>
          <w:top w:val="nil"/>
          <w:left w:val="nil"/>
          <w:bottom w:val="nil"/>
          <w:right w:val="nil"/>
          <w:between w:val="nil"/>
        </w:pBdr>
        <w:spacing w:after="120"/>
        <w:jc w:val="both"/>
        <w:rPr>
          <w:color w:val="000000"/>
        </w:rPr>
      </w:pPr>
      <w:r>
        <w:rPr>
          <w:color w:val="000000"/>
        </w:rPr>
        <w:t>A atribuição de um título habilitante ao abrigo do presente Regulamento não dispensa a obtenção de outros atos, nomeadamente, registos, autorização, licenças ou pareceres exigidos por legislação especial, designadamente em matéria de ordenamento do território, ambiente, aviação civil, atividade marítima, proteção civil, defesa e segurança nacional.</w:t>
      </w:r>
    </w:p>
    <w:p w14:paraId="779C0FAE" w14:textId="77777777" w:rsidR="008B2B96" w:rsidRDefault="00000000">
      <w:pPr>
        <w:numPr>
          <w:ilvl w:val="0"/>
          <w:numId w:val="31"/>
        </w:numPr>
        <w:pBdr>
          <w:top w:val="nil"/>
          <w:left w:val="nil"/>
          <w:bottom w:val="nil"/>
          <w:right w:val="nil"/>
          <w:between w:val="nil"/>
        </w:pBdr>
        <w:spacing w:after="120"/>
        <w:jc w:val="both"/>
        <w:rPr>
          <w:color w:val="000000"/>
        </w:rPr>
      </w:pPr>
      <w:r>
        <w:rPr>
          <w:color w:val="000000"/>
        </w:rPr>
        <w:t>O presente Regulamento não regula o fabrico, lançamento, propriedade, registo espacial ou responsabilidade internacional por objetos espaciais, sem prejuízo das obrigações aplicáveis em matéria de coordenação de frequências, utilização do espectro radioelétrico e cooperação internacional no âmbito da União Internacional das Telecomunicações (UIT).</w:t>
      </w:r>
    </w:p>
    <w:p w14:paraId="39127BC6" w14:textId="77777777" w:rsidR="008B2B96" w:rsidRDefault="00000000">
      <w:pPr>
        <w:pBdr>
          <w:top w:val="nil"/>
          <w:left w:val="nil"/>
          <w:bottom w:val="nil"/>
          <w:right w:val="nil"/>
          <w:between w:val="nil"/>
        </w:pBdr>
        <w:spacing w:after="100"/>
        <w:jc w:val="center"/>
        <w:rPr>
          <w:color w:val="000000"/>
        </w:rPr>
      </w:pPr>
      <w:r>
        <w:rPr>
          <w:color w:val="000000"/>
        </w:rPr>
        <w:t xml:space="preserve">Artigo 4.º </w:t>
      </w:r>
    </w:p>
    <w:p w14:paraId="1523349F" w14:textId="77777777" w:rsidR="008B2B96" w:rsidRDefault="00000000">
      <w:pPr>
        <w:pBdr>
          <w:top w:val="nil"/>
          <w:left w:val="nil"/>
          <w:bottom w:val="nil"/>
          <w:right w:val="nil"/>
          <w:between w:val="nil"/>
        </w:pBdr>
        <w:spacing w:after="100"/>
        <w:jc w:val="center"/>
        <w:rPr>
          <w:color w:val="000000"/>
        </w:rPr>
      </w:pPr>
      <w:r>
        <w:rPr>
          <w:color w:val="000000"/>
        </w:rPr>
        <w:t>(</w:t>
      </w:r>
      <w:r>
        <w:rPr>
          <w:b/>
          <w:bCs/>
          <w:color w:val="000000"/>
        </w:rPr>
        <w:t>Princípios gerais</w:t>
      </w:r>
      <w:r>
        <w:rPr>
          <w:color w:val="000000"/>
        </w:rPr>
        <w:t>)</w:t>
      </w:r>
    </w:p>
    <w:p w14:paraId="02A67B80" w14:textId="77777777" w:rsidR="008B2B96" w:rsidRDefault="00000000">
      <w:pPr>
        <w:numPr>
          <w:ilvl w:val="0"/>
          <w:numId w:val="43"/>
        </w:numPr>
        <w:pBdr>
          <w:top w:val="nil"/>
          <w:left w:val="nil"/>
          <w:bottom w:val="nil"/>
          <w:right w:val="nil"/>
          <w:between w:val="nil"/>
        </w:pBdr>
        <w:spacing w:after="120"/>
        <w:jc w:val="both"/>
        <w:rPr>
          <w:color w:val="000000"/>
        </w:rPr>
      </w:pPr>
      <w:r>
        <w:rPr>
          <w:color w:val="000000"/>
        </w:rPr>
        <w:t>Na aplicação do presente Regulamento, a ARN e as entidades abrangidas observam os princípios da legalidade, da neutralidade tecnológica, da proporcionalidade, da transparência, da não discriminação, da participação e da abordagem baseada no risco, nos termos da lei.</w:t>
      </w:r>
    </w:p>
    <w:p w14:paraId="47DC98C5" w14:textId="77777777" w:rsidR="008B2B96" w:rsidRDefault="00000000">
      <w:pPr>
        <w:numPr>
          <w:ilvl w:val="0"/>
          <w:numId w:val="43"/>
        </w:numPr>
        <w:pBdr>
          <w:top w:val="nil"/>
          <w:left w:val="nil"/>
          <w:bottom w:val="nil"/>
          <w:right w:val="nil"/>
          <w:between w:val="nil"/>
        </w:pBdr>
        <w:spacing w:after="120"/>
        <w:jc w:val="both"/>
        <w:rPr>
          <w:color w:val="000000"/>
        </w:rPr>
      </w:pPr>
      <w:r>
        <w:rPr>
          <w:color w:val="000000"/>
        </w:rPr>
        <w:lastRenderedPageBreak/>
        <w:t>A gestão e utilização do espectro radioelétrico devem assegurar a sua afetação eficiente, racional e compatível com os serviços existentes e planeados, bem como a prevenção e mitigação de interferências prejudiciais.</w:t>
      </w:r>
    </w:p>
    <w:p w14:paraId="74DD8B0B" w14:textId="77777777" w:rsidR="008B2B96" w:rsidRDefault="00000000">
      <w:pPr>
        <w:numPr>
          <w:ilvl w:val="0"/>
          <w:numId w:val="43"/>
        </w:numPr>
        <w:pBdr>
          <w:top w:val="nil"/>
          <w:left w:val="nil"/>
          <w:bottom w:val="nil"/>
          <w:right w:val="nil"/>
          <w:between w:val="nil"/>
        </w:pBdr>
        <w:spacing w:after="120"/>
        <w:jc w:val="both"/>
        <w:rPr>
          <w:color w:val="000000"/>
        </w:rPr>
      </w:pPr>
      <w:r>
        <w:rPr>
          <w:color w:val="000000"/>
        </w:rPr>
        <w:t>A regulação das redes e serviços de comunicações por satélite deve favorecer a concorrência efetiva, a inovação, a interoperabilidade e a proteção dos utilizadores, assegurando condições objetivas, transparentes e proporcionais de acesso ao mercado, nos termos da legislação em vigor.</w:t>
      </w:r>
    </w:p>
    <w:p w14:paraId="722C0ECB" w14:textId="77777777" w:rsidR="008B2B96" w:rsidRDefault="00000000">
      <w:pPr>
        <w:numPr>
          <w:ilvl w:val="0"/>
          <w:numId w:val="43"/>
        </w:numPr>
        <w:pBdr>
          <w:top w:val="nil"/>
          <w:left w:val="nil"/>
          <w:bottom w:val="nil"/>
          <w:right w:val="nil"/>
          <w:between w:val="nil"/>
        </w:pBdr>
        <w:spacing w:after="120"/>
        <w:jc w:val="both"/>
        <w:rPr>
          <w:color w:val="000000"/>
        </w:rPr>
      </w:pPr>
      <w:r>
        <w:rPr>
          <w:color w:val="000000"/>
        </w:rPr>
        <w:t>As redes e serviços abrangidos pelo presente Regulamento devem ser orientados por exigências adequadas de segurança, continuidade, resiliência e cooperação nacional, regional e internacional, em função da natureza da atividade e dos riscos associados, designadamente, fenómenos de cheias, epidemias, insegurança marítima e outras situações de emergência.</w:t>
      </w:r>
    </w:p>
    <w:p w14:paraId="1F406DDF" w14:textId="77777777" w:rsidR="008B2B96" w:rsidRDefault="00000000">
      <w:pPr>
        <w:numPr>
          <w:ilvl w:val="0"/>
          <w:numId w:val="43"/>
        </w:numPr>
        <w:pBdr>
          <w:top w:val="nil"/>
          <w:left w:val="nil"/>
          <w:bottom w:val="nil"/>
          <w:right w:val="nil"/>
          <w:between w:val="nil"/>
        </w:pBdr>
        <w:spacing w:after="120"/>
        <w:jc w:val="both"/>
        <w:rPr>
          <w:color w:val="000000"/>
        </w:rPr>
      </w:pPr>
      <w:r>
        <w:rPr>
          <w:color w:val="000000"/>
        </w:rPr>
        <w:t>A aplicação do presente Regulamento deve salvaguardar a soberania nacional, os interesses públicos essenciais e o reforço da cobertura, da conetividade e da inclusão digital em todo o território nacional, com particular atenção às zonas rurais, insulares e de difícil acesso.</w:t>
      </w:r>
    </w:p>
    <w:p w14:paraId="05C3BBB0"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II </w:t>
      </w:r>
    </w:p>
    <w:p w14:paraId="410400D7" w14:textId="77777777" w:rsidR="008B2B96" w:rsidRDefault="00000000">
      <w:pPr>
        <w:pBdr>
          <w:top w:val="nil"/>
          <w:left w:val="nil"/>
          <w:bottom w:val="nil"/>
          <w:right w:val="nil"/>
          <w:between w:val="nil"/>
        </w:pBdr>
        <w:spacing w:before="200" w:after="200"/>
        <w:jc w:val="center"/>
        <w:rPr>
          <w:b/>
          <w:bCs/>
          <w:color w:val="000000"/>
        </w:rPr>
      </w:pPr>
      <w:r>
        <w:rPr>
          <w:b/>
          <w:bCs/>
          <w:color w:val="000000"/>
        </w:rPr>
        <w:t>Regime de Acesso e Licenciamento</w:t>
      </w:r>
    </w:p>
    <w:p w14:paraId="51A110E5" w14:textId="77777777" w:rsidR="008B2B96" w:rsidRDefault="00000000">
      <w:pPr>
        <w:pBdr>
          <w:top w:val="nil"/>
          <w:left w:val="nil"/>
          <w:bottom w:val="nil"/>
          <w:right w:val="nil"/>
          <w:between w:val="nil"/>
        </w:pBdr>
        <w:spacing w:after="100"/>
        <w:jc w:val="center"/>
        <w:rPr>
          <w:color w:val="000000"/>
        </w:rPr>
      </w:pPr>
      <w:r>
        <w:rPr>
          <w:color w:val="000000"/>
        </w:rPr>
        <w:t>Artigo 5.º</w:t>
      </w:r>
    </w:p>
    <w:p w14:paraId="2B120466" w14:textId="77777777" w:rsidR="008B2B96" w:rsidRDefault="00000000">
      <w:pPr>
        <w:pBdr>
          <w:top w:val="nil"/>
          <w:left w:val="nil"/>
          <w:bottom w:val="nil"/>
          <w:right w:val="nil"/>
          <w:between w:val="nil"/>
        </w:pBdr>
        <w:spacing w:after="100"/>
        <w:jc w:val="center"/>
        <w:rPr>
          <w:b/>
          <w:bCs/>
          <w:color w:val="000000"/>
        </w:rPr>
      </w:pPr>
      <w:r>
        <w:rPr>
          <w:b/>
          <w:bCs/>
          <w:color w:val="000000"/>
        </w:rPr>
        <w:t>(Títulos habilitantes)</w:t>
      </w:r>
    </w:p>
    <w:p w14:paraId="6D3F8369" w14:textId="77777777" w:rsidR="008B2B96" w:rsidRDefault="00000000">
      <w:pPr>
        <w:numPr>
          <w:ilvl w:val="0"/>
          <w:numId w:val="1"/>
        </w:numPr>
        <w:pBdr>
          <w:top w:val="nil"/>
          <w:left w:val="nil"/>
          <w:bottom w:val="nil"/>
          <w:right w:val="nil"/>
          <w:between w:val="nil"/>
        </w:pBdr>
        <w:spacing w:after="120"/>
        <w:jc w:val="both"/>
        <w:rPr>
          <w:color w:val="000000"/>
        </w:rPr>
      </w:pPr>
      <w:r>
        <w:rPr>
          <w:color w:val="000000"/>
        </w:rPr>
        <w:t>A oferta, exploração ou disponibilização de redes e serviços de comunicações por satélite na Guiné-Bissau fica sujeita, consoante a natureza da atividade, a um ou mais dos seguintes títulos:</w:t>
      </w:r>
    </w:p>
    <w:p w14:paraId="38A1427D" w14:textId="77777777" w:rsidR="008B2B96" w:rsidRDefault="00000000">
      <w:pPr>
        <w:numPr>
          <w:ilvl w:val="0"/>
          <w:numId w:val="56"/>
        </w:numPr>
        <w:pBdr>
          <w:top w:val="nil"/>
          <w:left w:val="nil"/>
          <w:bottom w:val="nil"/>
          <w:right w:val="nil"/>
          <w:between w:val="nil"/>
        </w:pBdr>
        <w:spacing w:after="80"/>
        <w:jc w:val="both"/>
        <w:rPr>
          <w:color w:val="000000"/>
        </w:rPr>
      </w:pPr>
      <w:r>
        <w:rPr>
          <w:color w:val="000000"/>
        </w:rPr>
        <w:t>Licença Individual, concedida pela ARN nos termos do presente regulamento e demais legislações aplicáveis;</w:t>
      </w:r>
    </w:p>
    <w:p w14:paraId="1D808C41" w14:textId="77777777" w:rsidR="008B2B96" w:rsidRDefault="00000000">
      <w:pPr>
        <w:numPr>
          <w:ilvl w:val="0"/>
          <w:numId w:val="56"/>
        </w:numPr>
        <w:pBdr>
          <w:top w:val="nil"/>
          <w:left w:val="nil"/>
          <w:bottom w:val="nil"/>
          <w:right w:val="nil"/>
          <w:between w:val="nil"/>
        </w:pBdr>
        <w:spacing w:after="80"/>
        <w:jc w:val="both"/>
        <w:rPr>
          <w:color w:val="000000"/>
        </w:rPr>
      </w:pPr>
      <w:r>
        <w:rPr>
          <w:color w:val="000000"/>
        </w:rPr>
        <w:t>Autorização geral, atribuída pela ARN nos termos do presente regulamento e demais legislações aplicáveis;</w:t>
      </w:r>
    </w:p>
    <w:p w14:paraId="67916118" w14:textId="77777777" w:rsidR="008B2B96" w:rsidRDefault="00000000">
      <w:pPr>
        <w:numPr>
          <w:ilvl w:val="0"/>
          <w:numId w:val="56"/>
        </w:numPr>
        <w:pBdr>
          <w:top w:val="nil"/>
          <w:left w:val="nil"/>
          <w:bottom w:val="nil"/>
          <w:right w:val="nil"/>
          <w:between w:val="nil"/>
        </w:pBdr>
        <w:spacing w:after="80"/>
        <w:jc w:val="both"/>
        <w:rPr>
          <w:color w:val="000000"/>
        </w:rPr>
      </w:pPr>
      <w:r>
        <w:rPr>
          <w:color w:val="000000"/>
        </w:rPr>
        <w:t>Registo, efetuado junto da ARN.</w:t>
      </w:r>
    </w:p>
    <w:p w14:paraId="4F46BA7F" w14:textId="77777777" w:rsidR="008B2B96" w:rsidRDefault="00000000">
      <w:pPr>
        <w:numPr>
          <w:ilvl w:val="0"/>
          <w:numId w:val="57"/>
        </w:numPr>
        <w:pBdr>
          <w:top w:val="nil"/>
          <w:left w:val="nil"/>
          <w:bottom w:val="nil"/>
          <w:right w:val="nil"/>
          <w:between w:val="nil"/>
        </w:pBdr>
        <w:jc w:val="both"/>
        <w:rPr>
          <w:b/>
          <w:bCs/>
          <w:color w:val="000000"/>
        </w:rPr>
      </w:pPr>
      <w:r>
        <w:rPr>
          <w:b/>
          <w:bCs/>
          <w:color w:val="000000"/>
        </w:rPr>
        <w:t>Está sujeita a Licença Individual:</w:t>
      </w:r>
    </w:p>
    <w:p w14:paraId="676D7FBD" w14:textId="77777777" w:rsidR="008B2B96" w:rsidRDefault="00000000">
      <w:pPr>
        <w:numPr>
          <w:ilvl w:val="0"/>
          <w:numId w:val="58"/>
        </w:numPr>
        <w:pBdr>
          <w:top w:val="nil"/>
          <w:left w:val="nil"/>
          <w:bottom w:val="nil"/>
          <w:right w:val="nil"/>
          <w:between w:val="nil"/>
        </w:pBdr>
        <w:spacing w:after="80"/>
        <w:jc w:val="both"/>
        <w:rPr>
          <w:color w:val="000000"/>
        </w:rPr>
      </w:pPr>
      <w:r>
        <w:rPr>
          <w:color w:val="000000"/>
        </w:rPr>
        <w:t xml:space="preserve">O estabelecimento e/ou o fornecimento de redes públicas de comunicações por satélite, incluindo através de </w:t>
      </w:r>
      <w:proofErr w:type="spellStart"/>
      <w:r>
        <w:rPr>
          <w:i/>
          <w:iCs/>
          <w:color w:val="000000"/>
        </w:rPr>
        <w:t>gateways</w:t>
      </w:r>
      <w:proofErr w:type="spellEnd"/>
      <w:r>
        <w:rPr>
          <w:color w:val="000000"/>
        </w:rPr>
        <w:t>, estações terrenas ou outra infraestrutura terrestre situada no território nacional, e o fornecimento ou controlo de infraestruturas destinadas à prestação de serviços de comunicações por satélite públicos;</w:t>
      </w:r>
    </w:p>
    <w:p w14:paraId="6ECA5B2F" w14:textId="77777777" w:rsidR="008B2B96" w:rsidRDefault="00000000">
      <w:pPr>
        <w:numPr>
          <w:ilvl w:val="0"/>
          <w:numId w:val="58"/>
        </w:numPr>
        <w:pBdr>
          <w:top w:val="nil"/>
          <w:left w:val="nil"/>
          <w:bottom w:val="nil"/>
          <w:right w:val="nil"/>
          <w:between w:val="nil"/>
        </w:pBdr>
        <w:spacing w:after="80"/>
        <w:jc w:val="both"/>
        <w:rPr>
          <w:color w:val="000000"/>
        </w:rPr>
      </w:pPr>
      <w:r>
        <w:rPr>
          <w:color w:val="000000"/>
        </w:rPr>
        <w:t>A oferta, disponibilização ou comercialização de redes, capacidade, infraestruturas associadas a comunicações por satélite;</w:t>
      </w:r>
    </w:p>
    <w:p w14:paraId="64191EFF" w14:textId="77777777" w:rsidR="008B2B96" w:rsidRDefault="00000000">
      <w:pPr>
        <w:numPr>
          <w:ilvl w:val="0"/>
          <w:numId w:val="58"/>
        </w:numPr>
        <w:pBdr>
          <w:top w:val="nil"/>
          <w:left w:val="nil"/>
          <w:bottom w:val="nil"/>
          <w:right w:val="nil"/>
          <w:between w:val="nil"/>
        </w:pBdr>
        <w:spacing w:after="80"/>
        <w:jc w:val="both"/>
        <w:rPr>
          <w:color w:val="000000"/>
        </w:rPr>
      </w:pPr>
      <w:r>
        <w:rPr>
          <w:color w:val="000000"/>
        </w:rPr>
        <w:t>A atribuição de direitos de utilização de frequências para o estabelecimento de redes de satélite ou para a prestação de serviços públicos por satélite.</w:t>
      </w:r>
    </w:p>
    <w:p w14:paraId="32C6FF78" w14:textId="77777777" w:rsidR="008B2B96" w:rsidRDefault="00000000">
      <w:pPr>
        <w:numPr>
          <w:ilvl w:val="0"/>
          <w:numId w:val="2"/>
        </w:numPr>
        <w:pBdr>
          <w:top w:val="nil"/>
          <w:left w:val="nil"/>
          <w:bottom w:val="nil"/>
          <w:right w:val="nil"/>
          <w:between w:val="nil"/>
        </w:pBdr>
        <w:jc w:val="both"/>
        <w:rPr>
          <w:color w:val="000000"/>
        </w:rPr>
      </w:pPr>
      <w:r>
        <w:rPr>
          <w:b/>
          <w:bCs/>
          <w:color w:val="000000"/>
        </w:rPr>
        <w:t>Está sujeita a autorização geral</w:t>
      </w:r>
      <w:r>
        <w:rPr>
          <w:color w:val="000000"/>
        </w:rPr>
        <w:t>, nos termos do presente regulamento:</w:t>
      </w:r>
    </w:p>
    <w:p w14:paraId="1743687A" w14:textId="77777777" w:rsidR="008B2B96" w:rsidRDefault="00000000">
      <w:pPr>
        <w:numPr>
          <w:ilvl w:val="0"/>
          <w:numId w:val="3"/>
        </w:numPr>
        <w:pBdr>
          <w:top w:val="nil"/>
          <w:left w:val="nil"/>
          <w:bottom w:val="nil"/>
          <w:right w:val="nil"/>
          <w:between w:val="nil"/>
        </w:pBdr>
        <w:spacing w:after="80"/>
        <w:jc w:val="both"/>
        <w:rPr>
          <w:color w:val="000000"/>
        </w:rPr>
      </w:pPr>
      <w:r>
        <w:rPr>
          <w:color w:val="000000"/>
        </w:rPr>
        <w:t>A prestação de serviços de comunicações por satélite acessíveis ao público;</w:t>
      </w:r>
    </w:p>
    <w:p w14:paraId="100BC78C" w14:textId="77777777" w:rsidR="008B2B96" w:rsidRDefault="00000000">
      <w:pPr>
        <w:numPr>
          <w:ilvl w:val="0"/>
          <w:numId w:val="3"/>
        </w:numPr>
        <w:pBdr>
          <w:top w:val="nil"/>
          <w:left w:val="nil"/>
          <w:bottom w:val="nil"/>
          <w:right w:val="nil"/>
          <w:between w:val="nil"/>
        </w:pBdr>
        <w:spacing w:after="80"/>
        <w:jc w:val="both"/>
        <w:rPr>
          <w:color w:val="000000"/>
        </w:rPr>
      </w:pPr>
      <w:r>
        <w:rPr>
          <w:color w:val="000000"/>
        </w:rPr>
        <w:t>A prestação de serviços de comunicação por satélite, sem prejuízo da necessidade de licenciamento, nos termos do n.º 2 do presente artigo;</w:t>
      </w:r>
    </w:p>
    <w:p w14:paraId="2EF2F451" w14:textId="77777777" w:rsidR="008B2B96" w:rsidRDefault="00000000">
      <w:pPr>
        <w:numPr>
          <w:ilvl w:val="0"/>
          <w:numId w:val="3"/>
        </w:numPr>
        <w:pBdr>
          <w:top w:val="nil"/>
          <w:left w:val="nil"/>
          <w:bottom w:val="nil"/>
          <w:right w:val="nil"/>
          <w:between w:val="nil"/>
        </w:pBdr>
        <w:jc w:val="both"/>
        <w:rPr>
          <w:color w:val="000000"/>
        </w:rPr>
      </w:pPr>
      <w:r>
        <w:rPr>
          <w:color w:val="000000"/>
        </w:rPr>
        <w:t>O estabelecimento e/ou fornecimento de redes de comunicações por satélite públicas que não utilizem recursos raros;</w:t>
      </w:r>
    </w:p>
    <w:p w14:paraId="39939294" w14:textId="77777777" w:rsidR="008B2B96" w:rsidRDefault="00000000">
      <w:pPr>
        <w:numPr>
          <w:ilvl w:val="0"/>
          <w:numId w:val="3"/>
        </w:numPr>
        <w:pBdr>
          <w:top w:val="nil"/>
          <w:left w:val="nil"/>
          <w:bottom w:val="nil"/>
          <w:right w:val="nil"/>
          <w:between w:val="nil"/>
        </w:pBdr>
        <w:spacing w:after="80"/>
        <w:jc w:val="both"/>
        <w:rPr>
          <w:color w:val="000000"/>
        </w:rPr>
      </w:pPr>
      <w:r>
        <w:rPr>
          <w:color w:val="000000"/>
        </w:rPr>
        <w:lastRenderedPageBreak/>
        <w:t>A exploração de redes de comunicações por satélite privativas, incluindo redes VSAT corporativas de uso próprio.</w:t>
      </w:r>
    </w:p>
    <w:p w14:paraId="6D6B18B8" w14:textId="77777777" w:rsidR="008B2B96" w:rsidRDefault="00000000">
      <w:pPr>
        <w:numPr>
          <w:ilvl w:val="0"/>
          <w:numId w:val="4"/>
        </w:numPr>
        <w:pBdr>
          <w:top w:val="nil"/>
          <w:left w:val="nil"/>
          <w:bottom w:val="nil"/>
          <w:right w:val="nil"/>
          <w:between w:val="nil"/>
        </w:pBdr>
        <w:jc w:val="both"/>
        <w:rPr>
          <w:color w:val="000000"/>
        </w:rPr>
      </w:pPr>
      <w:r>
        <w:rPr>
          <w:b/>
          <w:bCs/>
          <w:color w:val="000000"/>
        </w:rPr>
        <w:t>Está sujeita a registo</w:t>
      </w:r>
      <w:r>
        <w:rPr>
          <w:color w:val="000000"/>
        </w:rPr>
        <w:t>, nos termos do presente regulamento:</w:t>
      </w:r>
    </w:p>
    <w:p w14:paraId="40A04CB2" w14:textId="77777777" w:rsidR="008B2B96" w:rsidRDefault="00000000">
      <w:pPr>
        <w:numPr>
          <w:ilvl w:val="0"/>
          <w:numId w:val="6"/>
        </w:numPr>
        <w:pBdr>
          <w:top w:val="nil"/>
          <w:left w:val="nil"/>
          <w:bottom w:val="nil"/>
          <w:right w:val="nil"/>
          <w:between w:val="nil"/>
        </w:pBdr>
        <w:spacing w:after="80"/>
        <w:jc w:val="both"/>
        <w:rPr>
          <w:color w:val="000000"/>
        </w:rPr>
      </w:pPr>
      <w:r>
        <w:rPr>
          <w:color w:val="000000"/>
        </w:rPr>
        <w:t>A revenda de equipamentos de comunicações por satélite;</w:t>
      </w:r>
    </w:p>
    <w:p w14:paraId="60AB1A42" w14:textId="77777777" w:rsidR="008B2B96" w:rsidRDefault="00000000">
      <w:pPr>
        <w:numPr>
          <w:ilvl w:val="0"/>
          <w:numId w:val="6"/>
        </w:numPr>
        <w:pBdr>
          <w:top w:val="nil"/>
          <w:left w:val="nil"/>
          <w:bottom w:val="nil"/>
          <w:right w:val="nil"/>
          <w:between w:val="nil"/>
        </w:pBdr>
        <w:jc w:val="both"/>
        <w:rPr>
          <w:color w:val="000000"/>
        </w:rPr>
      </w:pPr>
      <w:r>
        <w:rPr>
          <w:color w:val="000000"/>
        </w:rPr>
        <w:t>A prestação de serviços de valor acrescentado, nomeadamente a instalação profissional e suporte local dedicado</w:t>
      </w:r>
      <w:r>
        <w:t>;</w:t>
      </w:r>
    </w:p>
    <w:p w14:paraId="1F1B4EC3" w14:textId="77777777" w:rsidR="008B2B96" w:rsidRDefault="00000000">
      <w:pPr>
        <w:numPr>
          <w:ilvl w:val="0"/>
          <w:numId w:val="6"/>
        </w:numPr>
        <w:pBdr>
          <w:top w:val="nil"/>
          <w:left w:val="nil"/>
          <w:bottom w:val="nil"/>
          <w:right w:val="nil"/>
          <w:between w:val="nil"/>
        </w:pBdr>
        <w:jc w:val="both"/>
      </w:pPr>
      <w:r>
        <w:t xml:space="preserve">Prestação de serviços de internet ao público através de um ponto único de acesso. </w:t>
      </w:r>
    </w:p>
    <w:p w14:paraId="75A9612F" w14:textId="77777777" w:rsidR="008B2B96" w:rsidRDefault="008B2B96">
      <w:pPr>
        <w:pBdr>
          <w:top w:val="nil"/>
          <w:left w:val="nil"/>
          <w:bottom w:val="nil"/>
          <w:right w:val="nil"/>
          <w:between w:val="nil"/>
        </w:pBdr>
        <w:ind w:left="1068"/>
        <w:jc w:val="both"/>
      </w:pPr>
    </w:p>
    <w:p w14:paraId="7E0239D0" w14:textId="77777777" w:rsidR="008B2B96" w:rsidRDefault="00000000">
      <w:pPr>
        <w:numPr>
          <w:ilvl w:val="0"/>
          <w:numId w:val="7"/>
        </w:numPr>
        <w:pBdr>
          <w:top w:val="nil"/>
          <w:left w:val="nil"/>
          <w:bottom w:val="nil"/>
          <w:right w:val="nil"/>
          <w:between w:val="nil"/>
        </w:pBdr>
        <w:spacing w:after="120"/>
        <w:jc w:val="both"/>
        <w:rPr>
          <w:color w:val="000000"/>
        </w:rPr>
      </w:pPr>
      <w:r>
        <w:rPr>
          <w:color w:val="000000"/>
        </w:rPr>
        <w:t>A ARN pode tramitar de forma integrada a apreciação dos elementos necessários à licença, autorização geral, ao registo e ao direito de utilização de frequências, sem prejuízo da autonomia jurídica de cada título e da identificação expressa das condições aplicáveis a cada um deles.</w:t>
      </w:r>
    </w:p>
    <w:p w14:paraId="3670D693" w14:textId="77777777" w:rsidR="008B2B96" w:rsidRDefault="00000000">
      <w:pPr>
        <w:pBdr>
          <w:top w:val="nil"/>
          <w:left w:val="nil"/>
          <w:bottom w:val="nil"/>
          <w:right w:val="nil"/>
          <w:between w:val="nil"/>
        </w:pBdr>
        <w:spacing w:before="200" w:after="200"/>
        <w:jc w:val="center"/>
        <w:rPr>
          <w:color w:val="000000"/>
        </w:rPr>
      </w:pPr>
      <w:r>
        <w:rPr>
          <w:color w:val="000000"/>
        </w:rPr>
        <w:t>CAPÍTULO III</w:t>
      </w:r>
    </w:p>
    <w:p w14:paraId="21E4A28A" w14:textId="77777777" w:rsidR="008B2B96" w:rsidRDefault="00000000">
      <w:pPr>
        <w:pBdr>
          <w:top w:val="nil"/>
          <w:left w:val="nil"/>
          <w:bottom w:val="nil"/>
          <w:right w:val="nil"/>
          <w:between w:val="nil"/>
        </w:pBdr>
        <w:spacing w:before="200" w:after="200"/>
        <w:jc w:val="center"/>
        <w:rPr>
          <w:b/>
          <w:bCs/>
          <w:color w:val="000000"/>
        </w:rPr>
      </w:pPr>
      <w:r>
        <w:rPr>
          <w:b/>
          <w:bCs/>
          <w:color w:val="000000"/>
        </w:rPr>
        <w:t xml:space="preserve"> Procedimento de Autorização e Licenciamento</w:t>
      </w:r>
    </w:p>
    <w:p w14:paraId="5B3C5981" w14:textId="77777777" w:rsidR="008B2B96" w:rsidRDefault="00000000">
      <w:pPr>
        <w:pBdr>
          <w:top w:val="nil"/>
          <w:left w:val="nil"/>
          <w:bottom w:val="nil"/>
          <w:right w:val="nil"/>
          <w:between w:val="nil"/>
        </w:pBdr>
        <w:spacing w:after="100"/>
        <w:jc w:val="center"/>
        <w:rPr>
          <w:color w:val="000000"/>
        </w:rPr>
      </w:pPr>
      <w:r>
        <w:rPr>
          <w:color w:val="000000"/>
        </w:rPr>
        <w:t xml:space="preserve">Artigo 6.º </w:t>
      </w:r>
    </w:p>
    <w:p w14:paraId="35428DBE" w14:textId="77777777" w:rsidR="008B2B96" w:rsidRDefault="00000000">
      <w:pPr>
        <w:pBdr>
          <w:top w:val="nil"/>
          <w:left w:val="nil"/>
          <w:bottom w:val="nil"/>
          <w:right w:val="nil"/>
          <w:between w:val="nil"/>
        </w:pBdr>
        <w:spacing w:after="100"/>
        <w:jc w:val="center"/>
        <w:rPr>
          <w:b/>
          <w:bCs/>
          <w:color w:val="000000"/>
        </w:rPr>
      </w:pPr>
      <w:r>
        <w:rPr>
          <w:b/>
          <w:bCs/>
          <w:color w:val="000000"/>
        </w:rPr>
        <w:t>(Pedido)</w:t>
      </w:r>
    </w:p>
    <w:p w14:paraId="554490BB" w14:textId="77777777" w:rsidR="008B2B96" w:rsidRDefault="00000000">
      <w:pPr>
        <w:numPr>
          <w:ilvl w:val="0"/>
          <w:numId w:val="8"/>
        </w:numPr>
        <w:pBdr>
          <w:top w:val="nil"/>
          <w:left w:val="nil"/>
          <w:bottom w:val="nil"/>
          <w:right w:val="nil"/>
          <w:between w:val="nil"/>
        </w:pBdr>
        <w:spacing w:after="120"/>
        <w:jc w:val="both"/>
        <w:rPr>
          <w:color w:val="000000"/>
        </w:rPr>
      </w:pPr>
      <w:r>
        <w:rPr>
          <w:color w:val="000000"/>
        </w:rPr>
        <w:t>As entidades que pretendam obter título habilitante, enquadramento regulatório ou apreciação prévia nos termos do presente Regulamento, devem apresentar pedido à ARN, instruído com os elementos necessários à apreciação jurídica, técnica, económica e operacional da atividade proposta.</w:t>
      </w:r>
    </w:p>
    <w:p w14:paraId="4271468D" w14:textId="77777777" w:rsidR="008B2B96" w:rsidRDefault="00000000">
      <w:pPr>
        <w:numPr>
          <w:ilvl w:val="0"/>
          <w:numId w:val="8"/>
        </w:numPr>
        <w:pBdr>
          <w:top w:val="nil"/>
          <w:left w:val="nil"/>
          <w:bottom w:val="nil"/>
          <w:right w:val="nil"/>
          <w:between w:val="nil"/>
        </w:pBdr>
        <w:spacing w:after="120"/>
        <w:jc w:val="both"/>
        <w:rPr>
          <w:color w:val="000000"/>
        </w:rPr>
      </w:pPr>
      <w:r>
        <w:rPr>
          <w:color w:val="000000"/>
        </w:rPr>
        <w:t>O pedido deve ser instruído, quando aplicável e em função da natureza da atividade e do título requerido, com os elementos constantes do Anexo I do presente Regulamento, designadamente:</w:t>
      </w:r>
    </w:p>
    <w:p w14:paraId="0EAC694A"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 xml:space="preserve">Identificação completa do requerente, incluindo forma jurídica, sede, representantes legais e respetivos contactos; </w:t>
      </w:r>
    </w:p>
    <w:p w14:paraId="074FFC1A"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Descrição da atividade pretendida, dos serviços a prestar, do modelo de negócio, da área geográfica de prestação e das categorias de destinatários ou utilizadores;</w:t>
      </w:r>
    </w:p>
    <w:p w14:paraId="2287181C"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 xml:space="preserve">Identificação do sistema de satélite, operador de satélite, constelação ou rede utilizada, órbita, administração </w:t>
      </w:r>
      <w:proofErr w:type="gramStart"/>
      <w:r>
        <w:rPr>
          <w:color w:val="000000"/>
        </w:rPr>
        <w:t>notificante  e</w:t>
      </w:r>
      <w:proofErr w:type="gramEnd"/>
      <w:r>
        <w:rPr>
          <w:color w:val="000000"/>
        </w:rPr>
        <w:t xml:space="preserve"> estado de coordenação internacional;</w:t>
      </w:r>
    </w:p>
    <w:p w14:paraId="33B4B986"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Frequências ou faixas de frequências a utilizar, largura de banda, potência, Potência Isotrópica Radiada Equivalente (</w:t>
      </w:r>
      <w:proofErr w:type="spellStart"/>
      <w:r>
        <w:rPr>
          <w:i/>
          <w:iCs/>
          <w:color w:val="000000"/>
        </w:rPr>
        <w:t>Effective</w:t>
      </w:r>
      <w:proofErr w:type="spellEnd"/>
      <w:r>
        <w:rPr>
          <w:i/>
          <w:iCs/>
          <w:color w:val="000000"/>
        </w:rPr>
        <w:t xml:space="preserve"> </w:t>
      </w:r>
      <w:proofErr w:type="spellStart"/>
      <w:r>
        <w:rPr>
          <w:i/>
          <w:iCs/>
          <w:color w:val="000000"/>
        </w:rPr>
        <w:t>Isotropic</w:t>
      </w:r>
      <w:proofErr w:type="spellEnd"/>
      <w:r>
        <w:rPr>
          <w:i/>
          <w:iCs/>
          <w:color w:val="000000"/>
        </w:rPr>
        <w:t xml:space="preserve"> </w:t>
      </w:r>
      <w:proofErr w:type="spellStart"/>
      <w:r>
        <w:rPr>
          <w:i/>
          <w:iCs/>
          <w:color w:val="000000"/>
        </w:rPr>
        <w:t>Radiated</w:t>
      </w:r>
      <w:proofErr w:type="spellEnd"/>
      <w:r>
        <w:rPr>
          <w:i/>
          <w:iCs/>
          <w:color w:val="000000"/>
        </w:rPr>
        <w:t xml:space="preserve"> </w:t>
      </w:r>
      <w:proofErr w:type="spellStart"/>
      <w:r>
        <w:rPr>
          <w:i/>
          <w:iCs/>
          <w:color w:val="000000"/>
        </w:rPr>
        <w:t>Power</w:t>
      </w:r>
      <w:proofErr w:type="spellEnd"/>
      <w:r>
        <w:rPr>
          <w:color w:val="000000"/>
        </w:rPr>
        <w:t xml:space="preserve"> - EIRP), polarização, cobertura, feixes, parâmetros técnicos relevantes e compatibilidade com o QNAF e os regulamentos da UIT;</w:t>
      </w:r>
    </w:p>
    <w:p w14:paraId="373E0ADE"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 xml:space="preserve">Descrição das </w:t>
      </w:r>
      <w:proofErr w:type="spellStart"/>
      <w:r>
        <w:rPr>
          <w:i/>
          <w:iCs/>
          <w:color w:val="000000"/>
        </w:rPr>
        <w:t>gateways</w:t>
      </w:r>
      <w:proofErr w:type="spellEnd"/>
      <w:r>
        <w:rPr>
          <w:i/>
          <w:iCs/>
          <w:color w:val="000000"/>
        </w:rPr>
        <w:t xml:space="preserve"> </w:t>
      </w:r>
      <w:r>
        <w:rPr>
          <w:color w:val="000000"/>
        </w:rPr>
        <w:t>de satélite, estações terrenas, terminais, pontos de presença, infraestruturas locais ou remotas e respetiva localização, quando existam;</w:t>
      </w:r>
    </w:p>
    <w:p w14:paraId="6233C189"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Plano de cobertura, disponibilidade, qualidade de serviço, continuidade, redundância e gestão de capacidade;</w:t>
      </w:r>
    </w:p>
    <w:p w14:paraId="76948B45"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Plano de prevenção, deteção, reporte e mitigação de interferências prejudiciais, incluindo medidas de coordenação com operadores ou serviços potencialmente afetados, civis e militares;</w:t>
      </w:r>
    </w:p>
    <w:p w14:paraId="3BAFC27D"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 xml:space="preserve">Elementos relativos à segurança das redes e serviços, </w:t>
      </w:r>
      <w:proofErr w:type="spellStart"/>
      <w:r>
        <w:rPr>
          <w:color w:val="000000"/>
        </w:rPr>
        <w:t>cibersegurança</w:t>
      </w:r>
      <w:proofErr w:type="spellEnd"/>
      <w:r>
        <w:rPr>
          <w:color w:val="000000"/>
        </w:rPr>
        <w:t>, proteção de dados, privacidade, cooperação legal e resposta a incidentes;</w:t>
      </w:r>
    </w:p>
    <w:p w14:paraId="60C508F4"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lastRenderedPageBreak/>
        <w:t>Demonstração da capacidade técnica, operacional, económica e financeira do requerente, adequada à natureza e escala da atividade;</w:t>
      </w:r>
    </w:p>
    <w:p w14:paraId="01F566CA"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Informação sobre proteção dos utilizadores, condições comerciais, mecanismos de reclamação, transparência tarifária e limitações técnicas do serviço, quando aplicável;</w:t>
      </w:r>
    </w:p>
    <w:p w14:paraId="3E75074F" w14:textId="77777777" w:rsidR="008B2B96" w:rsidRDefault="00000000">
      <w:pPr>
        <w:numPr>
          <w:ilvl w:val="0"/>
          <w:numId w:val="9"/>
        </w:numPr>
        <w:pBdr>
          <w:top w:val="nil"/>
          <w:left w:val="nil"/>
          <w:bottom w:val="nil"/>
          <w:right w:val="nil"/>
          <w:between w:val="nil"/>
        </w:pBdr>
        <w:spacing w:after="80"/>
        <w:jc w:val="both"/>
        <w:rPr>
          <w:color w:val="000000"/>
        </w:rPr>
      </w:pPr>
      <w:r>
        <w:rPr>
          <w:color w:val="000000"/>
        </w:rPr>
        <w:t>Demais elementos previstos no Anexo I ou solicitados pela ARN de forma fundamentada, proporcional e necessária à apreciação do pedido.</w:t>
      </w:r>
    </w:p>
    <w:p w14:paraId="2AA636D2" w14:textId="77777777" w:rsidR="008B2B96" w:rsidRDefault="00000000">
      <w:pPr>
        <w:numPr>
          <w:ilvl w:val="0"/>
          <w:numId w:val="10"/>
        </w:numPr>
        <w:pBdr>
          <w:top w:val="nil"/>
          <w:left w:val="nil"/>
          <w:bottom w:val="nil"/>
          <w:right w:val="nil"/>
          <w:between w:val="nil"/>
        </w:pBdr>
        <w:spacing w:after="120"/>
        <w:jc w:val="both"/>
        <w:rPr>
          <w:color w:val="000000"/>
        </w:rPr>
      </w:pPr>
      <w:r>
        <w:rPr>
          <w:color w:val="000000"/>
        </w:rPr>
        <w:t xml:space="preserve">A ARN pode simplificar os elementos de instrução do pedido, em função da natureza da atividade, do título requerido, da escala da operação, do risco radioelétrico, do impacto concorrencial, da finalidade da prestação e da existência de informação previamente disponibilizada. </w:t>
      </w:r>
    </w:p>
    <w:p w14:paraId="4591EDF5" w14:textId="77777777" w:rsidR="008B2B96" w:rsidRDefault="00000000">
      <w:pPr>
        <w:numPr>
          <w:ilvl w:val="0"/>
          <w:numId w:val="10"/>
        </w:numPr>
        <w:pBdr>
          <w:top w:val="nil"/>
          <w:left w:val="nil"/>
          <w:bottom w:val="nil"/>
          <w:right w:val="nil"/>
          <w:between w:val="nil"/>
        </w:pBdr>
        <w:spacing w:after="120"/>
        <w:jc w:val="both"/>
        <w:rPr>
          <w:color w:val="000000"/>
        </w:rPr>
      </w:pPr>
      <w:r>
        <w:rPr>
          <w:color w:val="000000"/>
        </w:rPr>
        <w:t>Sempre que o pedido se encontre incompleto ou os elementos apresentados sejam insuficientes, a ARN notifica o requerente para suprir as deficiências no prazo fixado, podendo a falta de suprimento determinar o arquivamento do pedido, nos termos da legislação aplicável e sem prejuízo da apresentação de novo pedido.</w:t>
      </w:r>
    </w:p>
    <w:p w14:paraId="0A62976A" w14:textId="77777777" w:rsidR="008B2B96" w:rsidRDefault="00000000">
      <w:pPr>
        <w:numPr>
          <w:ilvl w:val="0"/>
          <w:numId w:val="10"/>
        </w:numPr>
        <w:pBdr>
          <w:top w:val="nil"/>
          <w:left w:val="nil"/>
          <w:bottom w:val="nil"/>
          <w:right w:val="nil"/>
          <w:between w:val="nil"/>
        </w:pBdr>
        <w:spacing w:after="120"/>
        <w:jc w:val="both"/>
        <w:rPr>
          <w:color w:val="000000"/>
        </w:rPr>
      </w:pPr>
      <w:r>
        <w:rPr>
          <w:color w:val="000000"/>
        </w:rPr>
        <w:t>A ARN decide sobre o pedido no prazo máximo de sessenta (60) dias úteis a contar da data de receção do pedido devidamente instruído, prazo que pode ser prorrogado, de forma fundamentada, quando tal se revele necessário para efeitos de coordenação nacional ou internacional de frequências.</w:t>
      </w:r>
    </w:p>
    <w:p w14:paraId="035774F5" w14:textId="77777777" w:rsidR="008B2B96" w:rsidRDefault="00000000">
      <w:pPr>
        <w:pBdr>
          <w:top w:val="nil"/>
          <w:left w:val="nil"/>
          <w:bottom w:val="nil"/>
          <w:right w:val="nil"/>
          <w:between w:val="nil"/>
        </w:pBdr>
        <w:spacing w:after="100"/>
        <w:jc w:val="center"/>
        <w:rPr>
          <w:color w:val="000000"/>
        </w:rPr>
      </w:pPr>
      <w:r>
        <w:rPr>
          <w:color w:val="000000"/>
        </w:rPr>
        <w:t xml:space="preserve">Artigo 7.º </w:t>
      </w:r>
    </w:p>
    <w:p w14:paraId="4D2E9E5D" w14:textId="77777777" w:rsidR="008B2B96" w:rsidRDefault="00000000">
      <w:pPr>
        <w:pBdr>
          <w:top w:val="nil"/>
          <w:left w:val="nil"/>
          <w:bottom w:val="nil"/>
          <w:right w:val="nil"/>
          <w:between w:val="nil"/>
        </w:pBdr>
        <w:spacing w:after="100"/>
        <w:jc w:val="center"/>
        <w:rPr>
          <w:b/>
          <w:bCs/>
          <w:color w:val="000000"/>
        </w:rPr>
      </w:pPr>
      <w:r>
        <w:rPr>
          <w:b/>
          <w:bCs/>
          <w:color w:val="000000"/>
        </w:rPr>
        <w:t>(Critérios de apreciação)</w:t>
      </w:r>
    </w:p>
    <w:p w14:paraId="107E3AF1" w14:textId="77777777" w:rsidR="008B2B96" w:rsidRDefault="00000000">
      <w:pPr>
        <w:numPr>
          <w:ilvl w:val="0"/>
          <w:numId w:val="11"/>
        </w:numPr>
        <w:pBdr>
          <w:top w:val="nil"/>
          <w:left w:val="nil"/>
          <w:bottom w:val="nil"/>
          <w:right w:val="nil"/>
          <w:between w:val="nil"/>
        </w:pBdr>
        <w:spacing w:after="120"/>
        <w:jc w:val="both"/>
        <w:rPr>
          <w:color w:val="000000"/>
        </w:rPr>
      </w:pPr>
      <w:r>
        <w:rPr>
          <w:color w:val="000000"/>
        </w:rPr>
        <w:t>Na apreciação dos pedidos apresentados nos termos do artigo 6.º, a ARN tem em conta, em função da natureza da atividade, do título requerido, da escala da operação e dos riscos associados, designadamente os seguintes critérios:</w:t>
      </w:r>
    </w:p>
    <w:p w14:paraId="55A7EB45"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A conformidade com a legislação nacional aplicável ao setor;</w:t>
      </w:r>
    </w:p>
    <w:p w14:paraId="25F986FE"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A compatibilidade com o Quadro Nacional de Atribuição de Frequências (QNAF), os Regulamentos de Radiocomunicações da UIT e demais obrigações internacionais aplicáveis;</w:t>
      </w:r>
    </w:p>
    <w:p w14:paraId="70BC7857"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A utilização eficiente do espectro radioelétrico e a prevenção de interferências prejudiciais;</w:t>
      </w:r>
    </w:p>
    <w:p w14:paraId="0961990B"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A proteção dos serviços existentes e planeados, bem como das redes e sistemas potencialmente afetados;</w:t>
      </w:r>
    </w:p>
    <w:p w14:paraId="00390328"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O contributo da atividade para a cobertura, continuidade, resiliência e desenvolvimento das telecomunicações, com especial ponderação do contributo para zonas rurais, insulares e de difícil acesso, nos termos dos objetivos de acesso e serviço universal;</w:t>
      </w:r>
    </w:p>
    <w:p w14:paraId="263AC5F0"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O impacto concorrencial da atividade e o seu contributo para a promoção da concorrência efetiva;</w:t>
      </w:r>
    </w:p>
    <w:p w14:paraId="37C848B4"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A proteção dos utilizadores, a segurança das redes e serviços e a salvaguarda do interesse público, incluindo a segurança nacional;</w:t>
      </w:r>
    </w:p>
    <w:p w14:paraId="1999F251" w14:textId="77777777" w:rsidR="008B2B96" w:rsidRDefault="00000000">
      <w:pPr>
        <w:numPr>
          <w:ilvl w:val="0"/>
          <w:numId w:val="13"/>
        </w:numPr>
        <w:pBdr>
          <w:top w:val="nil"/>
          <w:left w:val="nil"/>
          <w:bottom w:val="nil"/>
          <w:right w:val="nil"/>
          <w:between w:val="nil"/>
        </w:pBdr>
        <w:spacing w:after="80"/>
        <w:jc w:val="both"/>
        <w:rPr>
          <w:color w:val="000000"/>
        </w:rPr>
      </w:pPr>
      <w:r>
        <w:rPr>
          <w:color w:val="000000"/>
        </w:rPr>
        <w:t>A capacidade técnica, operacional, económica e financeira do requerente.</w:t>
      </w:r>
    </w:p>
    <w:p w14:paraId="41F1C77F" w14:textId="77777777" w:rsidR="008B2B96" w:rsidRDefault="00000000">
      <w:pPr>
        <w:numPr>
          <w:ilvl w:val="0"/>
          <w:numId w:val="14"/>
        </w:numPr>
        <w:pBdr>
          <w:top w:val="nil"/>
          <w:left w:val="nil"/>
          <w:bottom w:val="nil"/>
          <w:right w:val="nil"/>
          <w:between w:val="nil"/>
        </w:pBdr>
        <w:spacing w:after="120"/>
        <w:jc w:val="both"/>
        <w:rPr>
          <w:color w:val="000000"/>
        </w:rPr>
      </w:pPr>
      <w:r>
        <w:rPr>
          <w:color w:val="000000"/>
        </w:rPr>
        <w:t>A apreciação dos pedidos deve observar os princípios previstos no artigo 4.º do presente Regulamento.</w:t>
      </w:r>
    </w:p>
    <w:p w14:paraId="737F2435" w14:textId="77777777" w:rsidR="008B2B96" w:rsidRDefault="008B2B96">
      <w:pPr>
        <w:pBdr>
          <w:top w:val="nil"/>
          <w:left w:val="nil"/>
          <w:bottom w:val="nil"/>
          <w:right w:val="nil"/>
          <w:between w:val="nil"/>
        </w:pBdr>
        <w:spacing w:after="120"/>
        <w:ind w:left="360"/>
        <w:jc w:val="both"/>
        <w:rPr>
          <w:color w:val="000000"/>
        </w:rPr>
      </w:pPr>
    </w:p>
    <w:p w14:paraId="6F9CF39F" w14:textId="77777777" w:rsidR="008B2B96" w:rsidRDefault="00000000">
      <w:pPr>
        <w:pBdr>
          <w:top w:val="nil"/>
          <w:left w:val="nil"/>
          <w:bottom w:val="nil"/>
          <w:right w:val="nil"/>
          <w:between w:val="nil"/>
        </w:pBdr>
        <w:spacing w:after="100"/>
        <w:jc w:val="center"/>
        <w:rPr>
          <w:color w:val="000000"/>
        </w:rPr>
      </w:pPr>
      <w:r>
        <w:rPr>
          <w:color w:val="000000"/>
        </w:rPr>
        <w:lastRenderedPageBreak/>
        <w:t xml:space="preserve">Artigo 8.º </w:t>
      </w:r>
    </w:p>
    <w:p w14:paraId="733B0A07" w14:textId="77777777" w:rsidR="008B2B96" w:rsidRDefault="00000000">
      <w:pPr>
        <w:pBdr>
          <w:top w:val="nil"/>
          <w:left w:val="nil"/>
          <w:bottom w:val="nil"/>
          <w:right w:val="nil"/>
          <w:between w:val="nil"/>
        </w:pBdr>
        <w:spacing w:after="100"/>
        <w:jc w:val="center"/>
        <w:rPr>
          <w:b/>
          <w:bCs/>
          <w:color w:val="000000"/>
        </w:rPr>
      </w:pPr>
      <w:r>
        <w:rPr>
          <w:b/>
          <w:bCs/>
          <w:color w:val="000000"/>
        </w:rPr>
        <w:t>(Autorização temporária)</w:t>
      </w:r>
    </w:p>
    <w:p w14:paraId="3AFCA4B5" w14:textId="77777777" w:rsidR="008B2B96" w:rsidRDefault="00000000">
      <w:pPr>
        <w:numPr>
          <w:ilvl w:val="0"/>
          <w:numId w:val="15"/>
        </w:numPr>
        <w:pBdr>
          <w:top w:val="nil"/>
          <w:left w:val="nil"/>
          <w:bottom w:val="nil"/>
          <w:right w:val="nil"/>
          <w:between w:val="nil"/>
        </w:pBdr>
        <w:spacing w:after="120"/>
        <w:jc w:val="both"/>
        <w:rPr>
          <w:color w:val="000000"/>
        </w:rPr>
      </w:pPr>
      <w:r>
        <w:rPr>
          <w:color w:val="000000"/>
          <w:highlight w:val="white"/>
        </w:rPr>
        <w:t>A ARN pode conceder autorização temporária para a realização de testes, demonstrações, projetos-piloto, ensaios técnicos, investigação, validação tecnológica ou outras atividades experimentais relacionadas com redes e serviços de comunicações por satélite.</w:t>
      </w:r>
    </w:p>
    <w:p w14:paraId="09477878" w14:textId="77777777" w:rsidR="008B2B96" w:rsidRDefault="00000000">
      <w:pPr>
        <w:numPr>
          <w:ilvl w:val="0"/>
          <w:numId w:val="15"/>
        </w:numPr>
        <w:pBdr>
          <w:top w:val="nil"/>
          <w:left w:val="nil"/>
          <w:bottom w:val="nil"/>
          <w:right w:val="nil"/>
          <w:between w:val="nil"/>
        </w:pBdr>
        <w:spacing w:after="120"/>
        <w:jc w:val="both"/>
        <w:rPr>
          <w:color w:val="000000"/>
        </w:rPr>
      </w:pPr>
      <w:r>
        <w:rPr>
          <w:color w:val="000000"/>
        </w:rPr>
        <w:t>A autorização temporária deve definir, designadamente, o respetivo prazo de vigência, as frequências autorizadas, os parâmetros técnicos, a localização da operação, as finalidades da utilização, as limitações à exploração comercial, as condições de reporte, as medidas de mitigação de interferências prejudiciais e as demais condições técnicas, operacionais ou de supervisão que se revelem necessárias e proporcionais aos objetivos da autorização.</w:t>
      </w:r>
    </w:p>
    <w:p w14:paraId="15E5365D" w14:textId="77777777" w:rsidR="008B2B96" w:rsidRDefault="00000000">
      <w:pPr>
        <w:numPr>
          <w:ilvl w:val="0"/>
          <w:numId w:val="15"/>
        </w:numPr>
        <w:pBdr>
          <w:top w:val="nil"/>
          <w:left w:val="nil"/>
          <w:bottom w:val="nil"/>
          <w:right w:val="nil"/>
          <w:between w:val="nil"/>
        </w:pBdr>
        <w:spacing w:after="120"/>
        <w:jc w:val="both"/>
        <w:rPr>
          <w:color w:val="000000"/>
        </w:rPr>
      </w:pPr>
      <w:r>
        <w:rPr>
          <w:color w:val="000000"/>
        </w:rPr>
        <w:t>A autorização temporária pode ser alterada, suspensa ou revogada pela ARN sempre que se verifiquem interferências prejudiciais, incumprimento das condições fixadas, risco para serviços autorizados ou razões de interesse público devidamente fundamentadas.</w:t>
      </w:r>
    </w:p>
    <w:p w14:paraId="15634C0E" w14:textId="77777777" w:rsidR="008B2B96" w:rsidRDefault="00000000">
      <w:pPr>
        <w:numPr>
          <w:ilvl w:val="0"/>
          <w:numId w:val="15"/>
        </w:numPr>
        <w:pBdr>
          <w:top w:val="nil"/>
          <w:left w:val="nil"/>
          <w:bottom w:val="nil"/>
          <w:right w:val="nil"/>
          <w:between w:val="nil"/>
        </w:pBdr>
        <w:spacing w:after="120"/>
        <w:jc w:val="both"/>
        <w:rPr>
          <w:color w:val="000000"/>
        </w:rPr>
      </w:pPr>
      <w:r>
        <w:rPr>
          <w:color w:val="000000"/>
        </w:rPr>
        <w:t xml:space="preserve">A autorização temporária não confere qualquer direito adquirido à obtenção de </w:t>
      </w:r>
      <w:r>
        <w:t>licença</w:t>
      </w:r>
      <w:r>
        <w:rPr>
          <w:color w:val="000000"/>
        </w:rPr>
        <w:t xml:space="preserve"> individual, autorização geral, registo, direito de utilização de frequências ou qualquer outro título habilitante, nem gera expectativa legítima quanto à sua futura atribuição.</w:t>
      </w:r>
    </w:p>
    <w:p w14:paraId="1D696664" w14:textId="77777777" w:rsidR="008B2B96" w:rsidRDefault="00000000">
      <w:pPr>
        <w:pBdr>
          <w:top w:val="nil"/>
          <w:left w:val="nil"/>
          <w:bottom w:val="nil"/>
          <w:right w:val="nil"/>
          <w:between w:val="nil"/>
        </w:pBdr>
        <w:spacing w:after="100"/>
        <w:jc w:val="center"/>
        <w:rPr>
          <w:color w:val="000000"/>
          <w:highlight w:val="white"/>
        </w:rPr>
      </w:pPr>
      <w:r>
        <w:rPr>
          <w:color w:val="000000"/>
          <w:highlight w:val="white"/>
        </w:rPr>
        <w:t xml:space="preserve">Artigo 9.º </w:t>
      </w:r>
    </w:p>
    <w:p w14:paraId="6F89D1BB" w14:textId="77777777" w:rsidR="008B2B96" w:rsidRDefault="00000000">
      <w:pPr>
        <w:pBdr>
          <w:top w:val="nil"/>
          <w:left w:val="nil"/>
          <w:bottom w:val="nil"/>
          <w:right w:val="nil"/>
          <w:between w:val="nil"/>
        </w:pBdr>
        <w:spacing w:after="100"/>
        <w:jc w:val="center"/>
        <w:rPr>
          <w:b/>
          <w:bCs/>
          <w:color w:val="000000"/>
          <w:highlight w:val="white"/>
        </w:rPr>
      </w:pPr>
      <w:r>
        <w:rPr>
          <w:b/>
          <w:bCs/>
          <w:color w:val="000000"/>
          <w:highlight w:val="white"/>
        </w:rPr>
        <w:t>(Licença Individual, Autorização Geral e Registo)</w:t>
      </w:r>
    </w:p>
    <w:p w14:paraId="153FF71C" w14:textId="77777777" w:rsidR="008B2B96" w:rsidRDefault="00000000">
      <w:pPr>
        <w:numPr>
          <w:ilvl w:val="0"/>
          <w:numId w:val="16"/>
        </w:numPr>
        <w:pBdr>
          <w:top w:val="nil"/>
          <w:left w:val="nil"/>
          <w:bottom w:val="nil"/>
          <w:right w:val="nil"/>
          <w:between w:val="nil"/>
        </w:pBdr>
        <w:spacing w:after="120"/>
        <w:jc w:val="both"/>
        <w:rPr>
          <w:color w:val="000000"/>
        </w:rPr>
      </w:pPr>
      <w:r>
        <w:rPr>
          <w:color w:val="000000"/>
          <w:highlight w:val="white"/>
        </w:rPr>
        <w:t>A Licença Individual, Autorização Geral e Registo para o exercício de atividade de comunicação por satélite segue os procedimentos e as condições previstos na legislação aplicável, com as especificidades constantes do presente Regulamento.</w:t>
      </w:r>
    </w:p>
    <w:p w14:paraId="51F7B088" w14:textId="77777777" w:rsidR="008B2B96" w:rsidRDefault="00000000">
      <w:pPr>
        <w:numPr>
          <w:ilvl w:val="0"/>
          <w:numId w:val="16"/>
        </w:numPr>
        <w:pBdr>
          <w:top w:val="nil"/>
          <w:left w:val="nil"/>
          <w:bottom w:val="nil"/>
          <w:right w:val="nil"/>
          <w:between w:val="nil"/>
        </w:pBdr>
        <w:spacing w:after="120"/>
        <w:jc w:val="both"/>
        <w:rPr>
          <w:color w:val="000000"/>
        </w:rPr>
      </w:pPr>
      <w:r>
        <w:rPr>
          <w:color w:val="000000"/>
        </w:rPr>
        <w:t>As entidades detentoras dos títulos previstos no número anterior, ficam sujeitas às obrigações estabelecidas na legislação aplicável e nos respetivos títulos, designadamente em matéria de proteção dos utilizadores, transparência da informação, qualidade e continuidade do serviço, segurança e privacidade das comunicações e colaboração com autoridades competentes.</w:t>
      </w:r>
    </w:p>
    <w:p w14:paraId="263C3690" w14:textId="77777777" w:rsidR="008B2B96" w:rsidRDefault="00000000">
      <w:pPr>
        <w:pBdr>
          <w:top w:val="nil"/>
          <w:left w:val="nil"/>
          <w:bottom w:val="nil"/>
          <w:right w:val="nil"/>
          <w:between w:val="nil"/>
        </w:pBdr>
        <w:spacing w:after="100"/>
        <w:jc w:val="center"/>
        <w:rPr>
          <w:color w:val="000000"/>
        </w:rPr>
      </w:pPr>
      <w:r>
        <w:rPr>
          <w:color w:val="000000"/>
        </w:rPr>
        <w:t>Artigo 10.º</w:t>
      </w:r>
    </w:p>
    <w:p w14:paraId="6F05EE07"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(Utilização de frequências e títulos radioelétricos)</w:t>
      </w:r>
    </w:p>
    <w:p w14:paraId="518979D4" w14:textId="77777777" w:rsidR="008B2B96" w:rsidRDefault="00000000">
      <w:pPr>
        <w:numPr>
          <w:ilvl w:val="0"/>
          <w:numId w:val="17"/>
        </w:numPr>
        <w:pBdr>
          <w:top w:val="nil"/>
          <w:left w:val="nil"/>
          <w:bottom w:val="nil"/>
          <w:right w:val="nil"/>
          <w:between w:val="nil"/>
        </w:pBdr>
        <w:spacing w:after="120"/>
        <w:jc w:val="both"/>
        <w:rPr>
          <w:color w:val="000000"/>
        </w:rPr>
      </w:pPr>
      <w:r>
        <w:rPr>
          <w:color w:val="000000"/>
          <w:highlight w:val="white"/>
        </w:rPr>
        <w:t>A utilização de frequências radioelétricas por redes, estações ou terminais de comunicações por satélite fica sujeita à atribuição de direitos de utilização de frequências pela ARN, nos termos da legislação em vigor, determinada em função da natureza da utilização, da faixa de frequências, das características técnicas da operação e do risco de interferências prejudiciais.</w:t>
      </w:r>
    </w:p>
    <w:p w14:paraId="22139A73" w14:textId="77777777" w:rsidR="008B2B96" w:rsidRDefault="00000000">
      <w:pPr>
        <w:numPr>
          <w:ilvl w:val="0"/>
          <w:numId w:val="17"/>
        </w:numPr>
        <w:pBdr>
          <w:top w:val="nil"/>
          <w:left w:val="nil"/>
          <w:bottom w:val="nil"/>
          <w:right w:val="nil"/>
          <w:between w:val="nil"/>
        </w:pBdr>
        <w:spacing w:after="120"/>
        <w:jc w:val="both"/>
        <w:rPr>
          <w:color w:val="000000"/>
        </w:rPr>
      </w:pPr>
      <w:r>
        <w:rPr>
          <w:color w:val="000000"/>
          <w:highlight w:val="white"/>
        </w:rPr>
        <w:t xml:space="preserve">A instalação e exploração de </w:t>
      </w:r>
      <w:proofErr w:type="spellStart"/>
      <w:r>
        <w:rPr>
          <w:i/>
          <w:iCs/>
          <w:color w:val="000000"/>
          <w:highlight w:val="white"/>
        </w:rPr>
        <w:t>gateways</w:t>
      </w:r>
      <w:proofErr w:type="spellEnd"/>
      <w:r>
        <w:rPr>
          <w:color w:val="000000"/>
          <w:highlight w:val="white"/>
        </w:rPr>
        <w:t xml:space="preserve"> de satélite, estações terrenas, estações VSAT, estações de telemetria, rastreio e comando (TT&amp;C - </w:t>
      </w:r>
      <w:proofErr w:type="spellStart"/>
      <w:r>
        <w:rPr>
          <w:i/>
          <w:iCs/>
          <w:color w:val="000000"/>
          <w:highlight w:val="white"/>
        </w:rPr>
        <w:t>Telemetry</w:t>
      </w:r>
      <w:proofErr w:type="spellEnd"/>
      <w:r>
        <w:rPr>
          <w:i/>
          <w:iCs/>
          <w:color w:val="000000"/>
          <w:highlight w:val="white"/>
        </w:rPr>
        <w:t xml:space="preserve">, </w:t>
      </w:r>
      <w:proofErr w:type="spellStart"/>
      <w:r>
        <w:rPr>
          <w:i/>
          <w:iCs/>
          <w:color w:val="000000"/>
          <w:highlight w:val="white"/>
        </w:rPr>
        <w:t>Tracking</w:t>
      </w:r>
      <w:proofErr w:type="spellEnd"/>
      <w:r>
        <w:rPr>
          <w:i/>
          <w:iCs/>
          <w:color w:val="000000"/>
          <w:highlight w:val="white"/>
        </w:rPr>
        <w:t xml:space="preserve"> </w:t>
      </w:r>
      <w:proofErr w:type="spellStart"/>
      <w:r>
        <w:rPr>
          <w:i/>
          <w:iCs/>
          <w:color w:val="000000"/>
          <w:highlight w:val="white"/>
        </w:rPr>
        <w:t>and</w:t>
      </w:r>
      <w:proofErr w:type="spellEnd"/>
      <w:r>
        <w:rPr>
          <w:i/>
          <w:iCs/>
          <w:color w:val="000000"/>
          <w:highlight w:val="white"/>
        </w:rPr>
        <w:t xml:space="preserve"> </w:t>
      </w:r>
      <w:proofErr w:type="spellStart"/>
      <w:r>
        <w:rPr>
          <w:i/>
          <w:iCs/>
          <w:color w:val="000000"/>
          <w:highlight w:val="white"/>
        </w:rPr>
        <w:t>Command</w:t>
      </w:r>
      <w:proofErr w:type="spellEnd"/>
      <w:r>
        <w:rPr>
          <w:i/>
          <w:iCs/>
          <w:color w:val="000000"/>
          <w:highlight w:val="white"/>
        </w:rPr>
        <w:t>)</w:t>
      </w:r>
      <w:r>
        <w:rPr>
          <w:color w:val="000000"/>
          <w:highlight w:val="white"/>
        </w:rPr>
        <w:t>, estações transportáveis, estações instaladas em plataformas marítimas ou aeronaves e demais estações de radiocomunicações associadas a sistemas de satélite ficam sujeitas ao regime aplicável, consoante o caso, nos termos do artigo 5.º do presente Regulamento, sem prejuízo da atribuição autónoma dos correspondentes direitos de utilização de frequências.</w:t>
      </w:r>
    </w:p>
    <w:p w14:paraId="6518FED9" w14:textId="77777777" w:rsidR="008B2B96" w:rsidRDefault="00000000">
      <w:pPr>
        <w:pBdr>
          <w:top w:val="nil"/>
          <w:left w:val="nil"/>
          <w:bottom w:val="nil"/>
          <w:right w:val="nil"/>
          <w:between w:val="nil"/>
        </w:pBdr>
        <w:spacing w:after="100"/>
        <w:jc w:val="center"/>
        <w:rPr>
          <w:color w:val="000000"/>
        </w:rPr>
      </w:pPr>
      <w:r>
        <w:rPr>
          <w:color w:val="000000"/>
        </w:rPr>
        <w:t xml:space="preserve">Artigo 11.º </w:t>
      </w:r>
    </w:p>
    <w:p w14:paraId="0AF5B934" w14:textId="77777777" w:rsidR="008B2B96" w:rsidRDefault="00000000">
      <w:pPr>
        <w:pBdr>
          <w:top w:val="nil"/>
          <w:left w:val="nil"/>
          <w:bottom w:val="nil"/>
          <w:right w:val="nil"/>
          <w:between w:val="nil"/>
        </w:pBdr>
        <w:spacing w:after="100"/>
        <w:jc w:val="center"/>
        <w:rPr>
          <w:b/>
          <w:bCs/>
          <w:color w:val="000000"/>
        </w:rPr>
      </w:pPr>
      <w:r>
        <w:rPr>
          <w:b/>
          <w:bCs/>
          <w:color w:val="000000"/>
        </w:rPr>
        <w:t>(Estações terrenas instaladas a bordo de aeronaves e embarcações estrangeiras)</w:t>
      </w:r>
    </w:p>
    <w:p w14:paraId="0FCEC8B9" w14:textId="77777777" w:rsidR="008B2B96" w:rsidRDefault="00000000">
      <w:pPr>
        <w:numPr>
          <w:ilvl w:val="0"/>
          <w:numId w:val="19"/>
        </w:numPr>
        <w:pBdr>
          <w:top w:val="nil"/>
          <w:left w:val="nil"/>
          <w:bottom w:val="nil"/>
          <w:right w:val="nil"/>
          <w:between w:val="nil"/>
        </w:pBdr>
        <w:spacing w:after="120"/>
        <w:jc w:val="both"/>
        <w:rPr>
          <w:color w:val="000000"/>
        </w:rPr>
      </w:pPr>
      <w:r>
        <w:rPr>
          <w:color w:val="000000"/>
        </w:rPr>
        <w:t xml:space="preserve">As estações terrenas instaladas a bordo de aeronaves (AES - </w:t>
      </w:r>
      <w:proofErr w:type="spellStart"/>
      <w:r>
        <w:rPr>
          <w:i/>
          <w:iCs/>
          <w:color w:val="000000"/>
        </w:rPr>
        <w:t>Aircraft</w:t>
      </w:r>
      <w:proofErr w:type="spellEnd"/>
      <w:r>
        <w:rPr>
          <w:i/>
          <w:iCs/>
          <w:color w:val="000000"/>
        </w:rPr>
        <w:t xml:space="preserve"> </w:t>
      </w:r>
      <w:proofErr w:type="spellStart"/>
      <w:r>
        <w:rPr>
          <w:i/>
          <w:iCs/>
          <w:color w:val="000000"/>
        </w:rPr>
        <w:t>Earth</w:t>
      </w:r>
      <w:proofErr w:type="spellEnd"/>
      <w:r>
        <w:rPr>
          <w:i/>
          <w:iCs/>
          <w:color w:val="000000"/>
        </w:rPr>
        <w:t xml:space="preserve"> Station</w:t>
      </w:r>
      <w:r>
        <w:rPr>
          <w:color w:val="000000"/>
        </w:rPr>
        <w:t xml:space="preserve">) e embarcações (ESV - </w:t>
      </w:r>
      <w:proofErr w:type="spellStart"/>
      <w:r>
        <w:rPr>
          <w:i/>
          <w:iCs/>
          <w:color w:val="000000"/>
        </w:rPr>
        <w:t>Earth</w:t>
      </w:r>
      <w:proofErr w:type="spellEnd"/>
      <w:r>
        <w:rPr>
          <w:i/>
          <w:iCs/>
          <w:color w:val="000000"/>
        </w:rPr>
        <w:t xml:space="preserve"> Station </w:t>
      </w:r>
      <w:proofErr w:type="spellStart"/>
      <w:r>
        <w:rPr>
          <w:i/>
          <w:iCs/>
          <w:color w:val="000000"/>
        </w:rPr>
        <w:t>on</w:t>
      </w:r>
      <w:proofErr w:type="spellEnd"/>
      <w:r>
        <w:rPr>
          <w:i/>
          <w:iCs/>
          <w:color w:val="000000"/>
        </w:rPr>
        <w:t xml:space="preserve"> </w:t>
      </w:r>
      <w:proofErr w:type="spellStart"/>
      <w:r>
        <w:rPr>
          <w:i/>
          <w:iCs/>
          <w:color w:val="000000"/>
        </w:rPr>
        <w:t>Vessel</w:t>
      </w:r>
      <w:proofErr w:type="spellEnd"/>
      <w:r>
        <w:rPr>
          <w:color w:val="000000"/>
        </w:rPr>
        <w:t xml:space="preserve">) comerciais estrangeiras que sobrevoem o espaço aéreo ou naveguem em águas sob jurisdição da Guiné-Bissau, ou que nelas </w:t>
      </w:r>
      <w:r>
        <w:rPr>
          <w:color w:val="000000"/>
        </w:rPr>
        <w:lastRenderedPageBreak/>
        <w:t>permaneçam por período não superior a 7 dias, ficam dispensadas de título habilitante nacional, desde que:</w:t>
      </w:r>
    </w:p>
    <w:p w14:paraId="0AF729F7" w14:textId="77777777" w:rsidR="008B2B96" w:rsidRDefault="00000000">
      <w:pPr>
        <w:numPr>
          <w:ilvl w:val="0"/>
          <w:numId w:val="20"/>
        </w:numPr>
        <w:pBdr>
          <w:top w:val="nil"/>
          <w:left w:val="nil"/>
          <w:bottom w:val="nil"/>
          <w:right w:val="nil"/>
          <w:between w:val="nil"/>
        </w:pBdr>
        <w:spacing w:after="80"/>
        <w:jc w:val="both"/>
        <w:rPr>
          <w:color w:val="000000"/>
        </w:rPr>
      </w:pPr>
      <w:r>
        <w:rPr>
          <w:color w:val="000000"/>
        </w:rPr>
        <w:t>A aeronave ou embarcação esteja devidamente registada no Estado competente;</w:t>
      </w:r>
    </w:p>
    <w:p w14:paraId="4711AA84" w14:textId="77777777" w:rsidR="008B2B96" w:rsidRDefault="00000000">
      <w:pPr>
        <w:numPr>
          <w:ilvl w:val="0"/>
          <w:numId w:val="20"/>
        </w:numPr>
        <w:pBdr>
          <w:top w:val="nil"/>
          <w:left w:val="nil"/>
          <w:bottom w:val="nil"/>
          <w:right w:val="nil"/>
          <w:between w:val="nil"/>
        </w:pBdr>
        <w:spacing w:after="80"/>
        <w:jc w:val="both"/>
        <w:rPr>
          <w:color w:val="000000"/>
        </w:rPr>
      </w:pPr>
      <w:r>
        <w:rPr>
          <w:color w:val="000000"/>
        </w:rPr>
        <w:t>A estação esteja legalmente autorizada no Estado de registo ou de bandeira;</w:t>
      </w:r>
    </w:p>
    <w:p w14:paraId="0BC7763A" w14:textId="77777777" w:rsidR="008B2B96" w:rsidRDefault="00000000">
      <w:pPr>
        <w:numPr>
          <w:ilvl w:val="0"/>
          <w:numId w:val="20"/>
        </w:numPr>
        <w:pBdr>
          <w:top w:val="nil"/>
          <w:left w:val="nil"/>
          <w:bottom w:val="nil"/>
          <w:right w:val="nil"/>
          <w:between w:val="nil"/>
        </w:pBdr>
        <w:spacing w:after="80"/>
        <w:jc w:val="both"/>
        <w:rPr>
          <w:color w:val="000000"/>
        </w:rPr>
      </w:pPr>
      <w:r>
        <w:rPr>
          <w:color w:val="000000"/>
        </w:rPr>
        <w:t>O equipamento opere em bandas de frequência e segundo parâmetros compatíveis com o Regulamento das Radiocomunicações da UIT;</w:t>
      </w:r>
    </w:p>
    <w:p w14:paraId="7E0F549A" w14:textId="77777777" w:rsidR="008B2B96" w:rsidRDefault="00000000">
      <w:pPr>
        <w:numPr>
          <w:ilvl w:val="0"/>
          <w:numId w:val="20"/>
        </w:numPr>
        <w:pBdr>
          <w:top w:val="nil"/>
          <w:left w:val="nil"/>
          <w:bottom w:val="nil"/>
          <w:right w:val="nil"/>
          <w:between w:val="nil"/>
        </w:pBdr>
        <w:spacing w:after="80"/>
        <w:jc w:val="both"/>
        <w:rPr>
          <w:color w:val="000000"/>
        </w:rPr>
      </w:pPr>
      <w:r>
        <w:rPr>
          <w:color w:val="000000"/>
        </w:rPr>
        <w:t>O sistema de satélite utilizado esteja autorizado a prestar serviços ou a disponibilizar capacidade no território nacional, quando exigido pela legislação aplicável;</w:t>
      </w:r>
    </w:p>
    <w:p w14:paraId="2D2D875D" w14:textId="77777777" w:rsidR="008B2B96" w:rsidRDefault="00000000">
      <w:pPr>
        <w:numPr>
          <w:ilvl w:val="0"/>
          <w:numId w:val="20"/>
        </w:numPr>
        <w:pBdr>
          <w:top w:val="nil"/>
          <w:left w:val="nil"/>
          <w:bottom w:val="nil"/>
          <w:right w:val="nil"/>
          <w:between w:val="nil"/>
        </w:pBdr>
        <w:spacing w:after="80"/>
        <w:jc w:val="both"/>
        <w:rPr>
          <w:color w:val="000000"/>
        </w:rPr>
      </w:pPr>
      <w:r>
        <w:rPr>
          <w:color w:val="000000"/>
        </w:rPr>
        <w:t>A estação não cause interferência prejudicial às estações autorizadas nem reclame proteção contra sistemas devidamente autorizados na Guiné-Bissau;</w:t>
      </w:r>
    </w:p>
    <w:p w14:paraId="46AED885" w14:textId="77777777" w:rsidR="008B2B96" w:rsidRDefault="00000000">
      <w:pPr>
        <w:numPr>
          <w:ilvl w:val="0"/>
          <w:numId w:val="20"/>
        </w:numPr>
        <w:pBdr>
          <w:top w:val="nil"/>
          <w:left w:val="nil"/>
          <w:bottom w:val="nil"/>
          <w:right w:val="nil"/>
          <w:between w:val="nil"/>
        </w:pBdr>
        <w:spacing w:after="80"/>
        <w:jc w:val="both"/>
        <w:rPr>
          <w:color w:val="000000"/>
        </w:rPr>
      </w:pPr>
      <w:r>
        <w:rPr>
          <w:color w:val="000000"/>
        </w:rPr>
        <w:t>Sejam respeitadas as restrições técnicas e geográficas aplicáveis, incluindo as relativas à navegação nas zonas insulares e à segurança marítima.</w:t>
      </w:r>
    </w:p>
    <w:p w14:paraId="3CB54913" w14:textId="77777777" w:rsidR="008B2B96" w:rsidRDefault="00000000">
      <w:pPr>
        <w:numPr>
          <w:ilvl w:val="0"/>
          <w:numId w:val="21"/>
        </w:numPr>
        <w:pBdr>
          <w:top w:val="nil"/>
          <w:left w:val="nil"/>
          <w:bottom w:val="nil"/>
          <w:right w:val="nil"/>
          <w:between w:val="nil"/>
        </w:pBdr>
        <w:spacing w:after="120"/>
        <w:jc w:val="both"/>
        <w:rPr>
          <w:color w:val="000000"/>
        </w:rPr>
      </w:pPr>
      <w:r>
        <w:rPr>
          <w:color w:val="000000"/>
        </w:rPr>
        <w:t>A isenção prevista no número anterior não dispensa o cumprimento das normas relativas à segurança da aviação civil, segurança marítima, proteção de infraestruturas críticas e demais legislação aplicável.</w:t>
      </w:r>
    </w:p>
    <w:p w14:paraId="11C120D1" w14:textId="77777777" w:rsidR="008B2B96" w:rsidRDefault="00000000">
      <w:pPr>
        <w:numPr>
          <w:ilvl w:val="0"/>
          <w:numId w:val="21"/>
        </w:numPr>
        <w:pBdr>
          <w:top w:val="nil"/>
          <w:left w:val="nil"/>
          <w:bottom w:val="nil"/>
          <w:right w:val="nil"/>
          <w:between w:val="nil"/>
        </w:pBdr>
        <w:spacing w:after="120"/>
        <w:jc w:val="both"/>
        <w:rPr>
          <w:color w:val="000000"/>
        </w:rPr>
      </w:pPr>
      <w:r>
        <w:rPr>
          <w:color w:val="000000"/>
        </w:rPr>
        <w:t xml:space="preserve">A isenção prevista no presente artigo não se aplica automaticamente aos sistemas ou serviços que utilizem diretamente frequências atribuídas a redes móveis terrestres, nem as comunicações do tipo </w:t>
      </w:r>
      <w:proofErr w:type="spellStart"/>
      <w:r>
        <w:rPr>
          <w:i/>
          <w:iCs/>
          <w:color w:val="000000"/>
        </w:rPr>
        <w:t>Direct</w:t>
      </w:r>
      <w:proofErr w:type="spellEnd"/>
      <w:r>
        <w:rPr>
          <w:i/>
          <w:iCs/>
          <w:color w:val="000000"/>
        </w:rPr>
        <w:t>-to-</w:t>
      </w:r>
      <w:proofErr w:type="spellStart"/>
      <w:r>
        <w:rPr>
          <w:i/>
          <w:iCs/>
          <w:color w:val="000000"/>
        </w:rPr>
        <w:t>Device</w:t>
      </w:r>
      <w:proofErr w:type="spellEnd"/>
      <w:r>
        <w:rPr>
          <w:color w:val="000000"/>
        </w:rPr>
        <w:t xml:space="preserve"> (D2D), cuja eventual dispensa de autorização ou registo fica sujeita a análise e decisão prévia da ARN.</w:t>
      </w:r>
    </w:p>
    <w:p w14:paraId="3914AD45" w14:textId="77777777" w:rsidR="008B2B96" w:rsidRDefault="00000000">
      <w:pPr>
        <w:numPr>
          <w:ilvl w:val="0"/>
          <w:numId w:val="21"/>
        </w:numPr>
        <w:pBdr>
          <w:top w:val="nil"/>
          <w:left w:val="nil"/>
          <w:bottom w:val="nil"/>
          <w:right w:val="nil"/>
          <w:between w:val="nil"/>
        </w:pBdr>
        <w:spacing w:after="120"/>
        <w:jc w:val="both"/>
        <w:rPr>
          <w:color w:val="000000"/>
        </w:rPr>
      </w:pPr>
      <w:r>
        <w:rPr>
          <w:color w:val="000000"/>
        </w:rPr>
        <w:t>A ARN pode exigir a suspensão imediata da operação quando se verifique interferência prejudicial ou incumprimento das condições aplicáveis.</w:t>
      </w:r>
    </w:p>
    <w:p w14:paraId="69480482"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IV </w:t>
      </w:r>
    </w:p>
    <w:p w14:paraId="0AE1E445" w14:textId="77777777" w:rsidR="008B2B96" w:rsidRDefault="00000000">
      <w:pPr>
        <w:pBdr>
          <w:top w:val="nil"/>
          <w:left w:val="nil"/>
          <w:bottom w:val="nil"/>
          <w:right w:val="nil"/>
          <w:between w:val="nil"/>
        </w:pBdr>
        <w:spacing w:before="200" w:after="200"/>
        <w:jc w:val="center"/>
        <w:rPr>
          <w:b/>
          <w:bCs/>
          <w:color w:val="000000"/>
        </w:rPr>
      </w:pPr>
      <w:r>
        <w:rPr>
          <w:b/>
          <w:bCs/>
          <w:color w:val="000000"/>
        </w:rPr>
        <w:t>Utilização do Espectro, Coordenação de Frequências e Interferências</w:t>
      </w:r>
    </w:p>
    <w:p w14:paraId="16FED3E8" w14:textId="77777777" w:rsidR="008B2B96" w:rsidRDefault="00000000">
      <w:pPr>
        <w:pBdr>
          <w:top w:val="nil"/>
          <w:left w:val="nil"/>
          <w:bottom w:val="nil"/>
          <w:right w:val="nil"/>
          <w:between w:val="nil"/>
        </w:pBdr>
        <w:spacing w:after="100"/>
        <w:jc w:val="center"/>
        <w:rPr>
          <w:color w:val="000000"/>
        </w:rPr>
      </w:pPr>
      <w:r>
        <w:rPr>
          <w:color w:val="000000"/>
        </w:rPr>
        <w:t>Artigo 12.º</w:t>
      </w:r>
    </w:p>
    <w:p w14:paraId="49141E88"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(Domínio público radioelétrico e condições de utilização)</w:t>
      </w:r>
    </w:p>
    <w:p w14:paraId="23E42A8A" w14:textId="77777777" w:rsidR="008B2B96" w:rsidRDefault="00000000">
      <w:pPr>
        <w:numPr>
          <w:ilvl w:val="0"/>
          <w:numId w:val="22"/>
        </w:numPr>
        <w:pBdr>
          <w:top w:val="nil"/>
          <w:left w:val="nil"/>
          <w:bottom w:val="nil"/>
          <w:right w:val="nil"/>
          <w:between w:val="nil"/>
        </w:pBdr>
        <w:spacing w:after="120"/>
        <w:jc w:val="both"/>
        <w:rPr>
          <w:color w:val="000000"/>
        </w:rPr>
      </w:pPr>
      <w:r>
        <w:rPr>
          <w:color w:val="000000"/>
        </w:rPr>
        <w:t>O espaço pelo qual se podem propagar as ondas radioelétricas constitui domínio público do Estado.</w:t>
      </w:r>
    </w:p>
    <w:p w14:paraId="0340AF87" w14:textId="77777777" w:rsidR="008B2B96" w:rsidRDefault="00000000">
      <w:pPr>
        <w:numPr>
          <w:ilvl w:val="0"/>
          <w:numId w:val="22"/>
        </w:numPr>
        <w:pBdr>
          <w:top w:val="nil"/>
          <w:left w:val="nil"/>
          <w:bottom w:val="nil"/>
          <w:right w:val="nil"/>
          <w:between w:val="nil"/>
        </w:pBdr>
        <w:spacing w:after="120"/>
        <w:jc w:val="both"/>
        <w:rPr>
          <w:color w:val="000000"/>
        </w:rPr>
      </w:pPr>
      <w:r>
        <w:rPr>
          <w:color w:val="000000"/>
        </w:rPr>
        <w:t>As frequências radioelétricas utilizadas por sistemas de satélite devem ser exploradas de forma eficiente, racional e compatível com os serviços existentes e planeados, assegurando a prevenção de interferências prejudiciais.</w:t>
      </w:r>
    </w:p>
    <w:p w14:paraId="639A74C7" w14:textId="77777777" w:rsidR="008B2B96" w:rsidRDefault="00000000">
      <w:pPr>
        <w:numPr>
          <w:ilvl w:val="0"/>
          <w:numId w:val="22"/>
        </w:numPr>
        <w:pBdr>
          <w:top w:val="nil"/>
          <w:left w:val="nil"/>
          <w:bottom w:val="nil"/>
          <w:right w:val="nil"/>
          <w:between w:val="nil"/>
        </w:pBdr>
        <w:spacing w:after="120"/>
        <w:jc w:val="both"/>
        <w:rPr>
          <w:color w:val="000000"/>
        </w:rPr>
      </w:pPr>
      <w:r>
        <w:rPr>
          <w:color w:val="000000"/>
        </w:rPr>
        <w:t>A utilização do espectro por redes, estações, terminais ou sistemas de satélite deve observar o Quadro Nacional de Atribuição de Frequências (QNAF), as condições dos títulos habilitantes e as deliberações fundamentadas da ARN adotadas nos limites da lei.</w:t>
      </w:r>
    </w:p>
    <w:p w14:paraId="377EF2FA" w14:textId="77777777" w:rsidR="008B2B96" w:rsidRDefault="00000000">
      <w:pPr>
        <w:numPr>
          <w:ilvl w:val="0"/>
          <w:numId w:val="22"/>
        </w:numPr>
        <w:pBdr>
          <w:top w:val="nil"/>
          <w:left w:val="nil"/>
          <w:bottom w:val="nil"/>
          <w:right w:val="nil"/>
          <w:between w:val="nil"/>
        </w:pBdr>
        <w:spacing w:after="120"/>
        <w:jc w:val="both"/>
        <w:rPr>
          <w:color w:val="000000"/>
        </w:rPr>
      </w:pPr>
      <w:r>
        <w:rPr>
          <w:color w:val="000000"/>
        </w:rPr>
        <w:t xml:space="preserve">A ARN pode, por decisão fundamentada e proporcional, fixar ou alterar condições técnicas e operacionais destinadas a proteger serviços existentes ou planeados, assegurar a coexistência entre sistemas, prevenir interferências prejudiciais ou evitar a utilização ineficiente ou incompatível do espectro radioelétrico, observando os limites impostos pela legislação aplicável. </w:t>
      </w:r>
    </w:p>
    <w:p w14:paraId="1C3C34E4" w14:textId="77777777" w:rsidR="008B2B96" w:rsidRDefault="00000000">
      <w:pPr>
        <w:pBdr>
          <w:top w:val="nil"/>
          <w:left w:val="nil"/>
          <w:bottom w:val="nil"/>
          <w:right w:val="nil"/>
          <w:between w:val="nil"/>
        </w:pBdr>
        <w:spacing w:after="120"/>
        <w:ind w:left="360"/>
        <w:jc w:val="center"/>
        <w:rPr>
          <w:color w:val="000000"/>
        </w:rPr>
      </w:pPr>
      <w:r>
        <w:rPr>
          <w:color w:val="000000"/>
        </w:rPr>
        <w:t>Artigo 13.º</w:t>
      </w:r>
    </w:p>
    <w:p w14:paraId="4CC5E106" w14:textId="77777777" w:rsidR="008B2B96" w:rsidRDefault="00000000">
      <w:pPr>
        <w:pBdr>
          <w:top w:val="nil"/>
          <w:left w:val="nil"/>
          <w:bottom w:val="nil"/>
          <w:right w:val="nil"/>
          <w:between w:val="nil"/>
        </w:pBdr>
        <w:spacing w:after="100"/>
        <w:jc w:val="center"/>
        <w:rPr>
          <w:b/>
          <w:bCs/>
          <w:color w:val="000000"/>
        </w:rPr>
      </w:pPr>
      <w:r>
        <w:rPr>
          <w:b/>
          <w:bCs/>
          <w:color w:val="000000"/>
        </w:rPr>
        <w:t>(Coordenação nacional)</w:t>
      </w:r>
    </w:p>
    <w:p w14:paraId="5E5686FC" w14:textId="77777777" w:rsidR="008B2B96" w:rsidRDefault="00000000">
      <w:pPr>
        <w:numPr>
          <w:ilvl w:val="0"/>
          <w:numId w:val="24"/>
        </w:numPr>
        <w:pBdr>
          <w:top w:val="nil"/>
          <w:left w:val="nil"/>
          <w:bottom w:val="nil"/>
          <w:right w:val="nil"/>
          <w:between w:val="nil"/>
        </w:pBdr>
        <w:spacing w:after="120"/>
        <w:jc w:val="both"/>
        <w:rPr>
          <w:color w:val="000000"/>
        </w:rPr>
      </w:pPr>
      <w:r>
        <w:rPr>
          <w:color w:val="000000"/>
        </w:rPr>
        <w:t xml:space="preserve">As entidades abrangidas pelo presente Regulamento devem promover a coordenação nacional de boa-fé com operadores, titulares de direitos de utilização de frequências e </w:t>
      </w:r>
      <w:r>
        <w:rPr>
          <w:color w:val="000000"/>
        </w:rPr>
        <w:lastRenderedPageBreak/>
        <w:t>demais utilizadores do espectro radioelétrico potencialmente afetados, sempre que a instalação, exploração ou alteração das suas redes, estações, terminais ou sistemas possa afetar serviços existentes ou planeados.</w:t>
      </w:r>
    </w:p>
    <w:p w14:paraId="3885494A" w14:textId="77777777" w:rsidR="008B2B96" w:rsidRDefault="00000000">
      <w:pPr>
        <w:numPr>
          <w:ilvl w:val="0"/>
          <w:numId w:val="24"/>
        </w:numPr>
        <w:pBdr>
          <w:top w:val="nil"/>
          <w:left w:val="nil"/>
          <w:bottom w:val="nil"/>
          <w:right w:val="nil"/>
          <w:between w:val="nil"/>
        </w:pBdr>
        <w:spacing w:after="120"/>
        <w:jc w:val="both"/>
        <w:rPr>
          <w:color w:val="000000"/>
        </w:rPr>
      </w:pPr>
      <w:r>
        <w:rPr>
          <w:color w:val="000000"/>
        </w:rPr>
        <w:t>A coordenação nacional deve assegurar a proteção dos serviços existentes e planeados, designadamente redes móveis e fixas, serviços de radiodifusão, serviços críticos, marítimos, aeronáuticos, de segurança e de emergência, bem como a coexistência entre sistemas de satélite geoestacionários e não geoestacionários, incluindo GEO, MEO, LEO e outros sistemas NGSO, e redes terrestres.</w:t>
      </w:r>
    </w:p>
    <w:p w14:paraId="6C596A41" w14:textId="77777777" w:rsidR="008B2B96" w:rsidRDefault="00000000">
      <w:pPr>
        <w:numPr>
          <w:ilvl w:val="0"/>
          <w:numId w:val="24"/>
        </w:numPr>
        <w:pBdr>
          <w:top w:val="nil"/>
          <w:left w:val="nil"/>
          <w:bottom w:val="nil"/>
          <w:right w:val="nil"/>
          <w:between w:val="nil"/>
        </w:pBdr>
        <w:spacing w:after="120"/>
        <w:jc w:val="both"/>
        <w:rPr>
          <w:color w:val="000000"/>
        </w:rPr>
      </w:pPr>
      <w:r>
        <w:rPr>
          <w:color w:val="000000"/>
        </w:rPr>
        <w:t>Na falta de acordo entre as entidades envolvidas, a ARN pode, por decisão fundamentada e proporcional, definir condições de coexistência, determinar medidas de mitigação ou estabelecer restrições técnicas, geográficas, temporais ou operacionais, quando necessárias à proteção de serviços existentes ou planeados, à prevenção de interferências prejudiciais ou à utilização eficiente e compatível do espectro radioelétrico, nos limites da legislação e dos títulos aplicáveis.</w:t>
      </w:r>
    </w:p>
    <w:p w14:paraId="3D4E3FAB" w14:textId="77777777" w:rsidR="008B2B96" w:rsidRDefault="00000000">
      <w:pPr>
        <w:numPr>
          <w:ilvl w:val="0"/>
          <w:numId w:val="24"/>
        </w:numPr>
        <w:pBdr>
          <w:top w:val="nil"/>
          <w:left w:val="nil"/>
          <w:bottom w:val="nil"/>
          <w:right w:val="nil"/>
          <w:between w:val="nil"/>
        </w:pBdr>
        <w:spacing w:after="120"/>
        <w:jc w:val="both"/>
        <w:rPr>
          <w:color w:val="000000"/>
        </w:rPr>
      </w:pPr>
      <w:r>
        <w:rPr>
          <w:color w:val="000000"/>
        </w:rPr>
        <w:t xml:space="preserve">Para efeitos de coordenação nacional, as entidades abrangidas devem disponibilizar à ARN informação técnica necessária para avaliação da compatibilidade radioelétrica, incluindo frequências, parâmetros técnicos, localização, cobertura, feixes, </w:t>
      </w:r>
      <w:r>
        <w:t>potências</w:t>
      </w:r>
      <w:r>
        <w:rPr>
          <w:color w:val="000000"/>
        </w:rPr>
        <w:t>, horários de operação e medidas de mitigação propostas.</w:t>
      </w:r>
    </w:p>
    <w:p w14:paraId="7DED46EE" w14:textId="77777777" w:rsidR="008B2B96" w:rsidRDefault="00000000">
      <w:pPr>
        <w:pBdr>
          <w:top w:val="nil"/>
          <w:left w:val="nil"/>
          <w:bottom w:val="nil"/>
          <w:right w:val="nil"/>
          <w:between w:val="nil"/>
        </w:pBdr>
        <w:spacing w:after="100"/>
        <w:jc w:val="center"/>
        <w:rPr>
          <w:color w:val="000000"/>
        </w:rPr>
      </w:pPr>
      <w:r>
        <w:rPr>
          <w:color w:val="000000"/>
        </w:rPr>
        <w:t>Artigo 14.º</w:t>
      </w:r>
    </w:p>
    <w:p w14:paraId="12C70110"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(Coordenação entre usos civis e militares do espectro)</w:t>
      </w:r>
    </w:p>
    <w:p w14:paraId="77808C2A" w14:textId="77777777" w:rsidR="008B2B96" w:rsidRDefault="00000000">
      <w:pPr>
        <w:numPr>
          <w:ilvl w:val="0"/>
          <w:numId w:val="25"/>
        </w:numPr>
        <w:pBdr>
          <w:top w:val="nil"/>
          <w:left w:val="nil"/>
          <w:bottom w:val="nil"/>
          <w:right w:val="nil"/>
          <w:between w:val="nil"/>
        </w:pBdr>
        <w:spacing w:after="120"/>
        <w:jc w:val="both"/>
        <w:rPr>
          <w:color w:val="000000"/>
        </w:rPr>
      </w:pPr>
      <w:r>
        <w:rPr>
          <w:color w:val="000000"/>
        </w:rPr>
        <w:t>Compete à ARN assegurar a coordenação entre as comunicações civis e militares no âmbito da gestão do espectro radioelétrico, incluindo no que respeita a sistemas de comunicações por satélite.</w:t>
      </w:r>
    </w:p>
    <w:p w14:paraId="198E20CB" w14:textId="77777777" w:rsidR="008B2B96" w:rsidRDefault="00000000">
      <w:pPr>
        <w:numPr>
          <w:ilvl w:val="0"/>
          <w:numId w:val="25"/>
        </w:numPr>
        <w:pBdr>
          <w:top w:val="nil"/>
          <w:left w:val="nil"/>
          <w:bottom w:val="nil"/>
          <w:right w:val="nil"/>
          <w:between w:val="nil"/>
        </w:pBdr>
        <w:spacing w:after="120"/>
        <w:jc w:val="both"/>
        <w:rPr>
          <w:color w:val="000000"/>
        </w:rPr>
      </w:pPr>
      <w:r>
        <w:rPr>
          <w:color w:val="000000"/>
        </w:rPr>
        <w:t>As faixas de frequências reservadas às Forças Armadas e às forças e serviços de segurança são excluídas da publicação do QNAF, sem prejuízo do dever de coordenação prévia sempre que a instalação ou operação de redes ou estações de comunicações por satélite civis possa afetar, ou ser afetada por sistemas militares ou de segurança.</w:t>
      </w:r>
    </w:p>
    <w:p w14:paraId="7C8CD732" w14:textId="77777777" w:rsidR="008B2B96" w:rsidRDefault="00000000">
      <w:pPr>
        <w:numPr>
          <w:ilvl w:val="0"/>
          <w:numId w:val="25"/>
        </w:numPr>
        <w:pBdr>
          <w:top w:val="nil"/>
          <w:left w:val="nil"/>
          <w:bottom w:val="nil"/>
          <w:right w:val="nil"/>
          <w:between w:val="nil"/>
        </w:pBdr>
        <w:spacing w:after="120"/>
        <w:jc w:val="both"/>
        <w:rPr>
          <w:color w:val="000000"/>
        </w:rPr>
      </w:pPr>
      <w:r>
        <w:rPr>
          <w:color w:val="000000"/>
        </w:rPr>
        <w:t>A ARN articula-se com as entidades competentes das Forças Armadas e das forças e serviços de segurança para efeitos de coordenação de frequências, prevenção de interferências prejudiciais e salvaguarda da segurança nacional, nos termos a definir em protocolo de cooperação, sem prejuízo da confidencialidade das informações classificadas.</w:t>
      </w:r>
    </w:p>
    <w:p w14:paraId="422895FF" w14:textId="77777777" w:rsidR="008B2B96" w:rsidRDefault="008B2B96">
      <w:pPr>
        <w:pBdr>
          <w:top w:val="nil"/>
          <w:left w:val="nil"/>
          <w:bottom w:val="nil"/>
          <w:right w:val="nil"/>
          <w:between w:val="nil"/>
        </w:pBdr>
        <w:spacing w:after="120"/>
        <w:jc w:val="both"/>
      </w:pPr>
    </w:p>
    <w:p w14:paraId="2A0F22CB" w14:textId="77777777" w:rsidR="008B2B96" w:rsidRDefault="008B2B96">
      <w:pPr>
        <w:pBdr>
          <w:top w:val="nil"/>
          <w:left w:val="nil"/>
          <w:bottom w:val="nil"/>
          <w:right w:val="nil"/>
          <w:between w:val="nil"/>
        </w:pBdr>
        <w:spacing w:after="120"/>
        <w:jc w:val="both"/>
      </w:pPr>
    </w:p>
    <w:p w14:paraId="21B68058" w14:textId="77777777" w:rsidR="008B2B96" w:rsidRDefault="008B2B96">
      <w:pPr>
        <w:pBdr>
          <w:top w:val="nil"/>
          <w:left w:val="nil"/>
          <w:bottom w:val="nil"/>
          <w:right w:val="nil"/>
          <w:between w:val="nil"/>
        </w:pBdr>
        <w:spacing w:after="120"/>
        <w:jc w:val="both"/>
      </w:pPr>
    </w:p>
    <w:p w14:paraId="71666517" w14:textId="77777777" w:rsidR="008B2B96" w:rsidRDefault="00000000">
      <w:pPr>
        <w:pBdr>
          <w:top w:val="nil"/>
          <w:left w:val="nil"/>
          <w:bottom w:val="nil"/>
          <w:right w:val="nil"/>
          <w:between w:val="nil"/>
        </w:pBdr>
        <w:spacing w:after="100"/>
        <w:jc w:val="center"/>
        <w:rPr>
          <w:color w:val="000000"/>
        </w:rPr>
      </w:pPr>
      <w:r>
        <w:rPr>
          <w:color w:val="000000"/>
        </w:rPr>
        <w:t xml:space="preserve">Artigo 15.º </w:t>
      </w:r>
    </w:p>
    <w:p w14:paraId="00411B3F" w14:textId="77777777" w:rsidR="008B2B96" w:rsidRDefault="00000000">
      <w:pPr>
        <w:pBdr>
          <w:top w:val="nil"/>
          <w:left w:val="nil"/>
          <w:bottom w:val="nil"/>
          <w:right w:val="nil"/>
          <w:between w:val="nil"/>
        </w:pBdr>
        <w:spacing w:after="100"/>
        <w:jc w:val="center"/>
        <w:rPr>
          <w:b/>
          <w:bCs/>
          <w:color w:val="000000"/>
        </w:rPr>
      </w:pPr>
      <w:r>
        <w:rPr>
          <w:b/>
          <w:bCs/>
          <w:color w:val="000000"/>
        </w:rPr>
        <w:t>(Coordenação internacional)</w:t>
      </w:r>
    </w:p>
    <w:p w14:paraId="5CBEE4FA" w14:textId="77777777" w:rsidR="008B2B96" w:rsidRDefault="00000000">
      <w:pPr>
        <w:numPr>
          <w:ilvl w:val="0"/>
          <w:numId w:val="26"/>
        </w:numPr>
        <w:pBdr>
          <w:top w:val="nil"/>
          <w:left w:val="nil"/>
          <w:bottom w:val="nil"/>
          <w:right w:val="nil"/>
          <w:between w:val="nil"/>
        </w:pBdr>
        <w:spacing w:after="120"/>
        <w:jc w:val="both"/>
        <w:rPr>
          <w:color w:val="000000"/>
        </w:rPr>
      </w:pPr>
      <w:r>
        <w:rPr>
          <w:color w:val="000000"/>
        </w:rPr>
        <w:t>As entidades requerentes ou autorizadas devem demonstrar, quando aplicável e na medida necessária à apreciação pela ARN, a conformidade dos sistemas, redes, estações, frequências ou serviços de comunicações por satélite com os procedimentos internacionais aplicáveis no âmbito da União Internacional das Telecomunicações.</w:t>
      </w:r>
    </w:p>
    <w:p w14:paraId="2263214B" w14:textId="77777777" w:rsidR="008B2B96" w:rsidRDefault="00000000">
      <w:pPr>
        <w:numPr>
          <w:ilvl w:val="0"/>
          <w:numId w:val="26"/>
        </w:numPr>
        <w:pBdr>
          <w:top w:val="nil"/>
          <w:left w:val="nil"/>
          <w:bottom w:val="nil"/>
          <w:right w:val="nil"/>
          <w:between w:val="nil"/>
        </w:pBdr>
        <w:spacing w:after="120"/>
        <w:jc w:val="both"/>
        <w:rPr>
          <w:color w:val="000000"/>
        </w:rPr>
      </w:pPr>
      <w:r>
        <w:rPr>
          <w:color w:val="000000"/>
        </w:rPr>
        <w:t>Para efeitos do número anterior, podem ser exigidos aos requerentes elementos relativos à administração notificante, publicação prévia, pedido de coordenação, notificação, registo de atribuições de frequências, estado da coordenação internacional, conflitos pendentes, restrições aplicáveis e medidas de mitigação adotadas ou propostas.</w:t>
      </w:r>
    </w:p>
    <w:p w14:paraId="5000ED46" w14:textId="77777777" w:rsidR="008B2B96" w:rsidRDefault="00000000">
      <w:pPr>
        <w:numPr>
          <w:ilvl w:val="0"/>
          <w:numId w:val="26"/>
        </w:numPr>
        <w:pBdr>
          <w:top w:val="nil"/>
          <w:left w:val="nil"/>
          <w:bottom w:val="nil"/>
          <w:right w:val="nil"/>
          <w:between w:val="nil"/>
        </w:pBdr>
        <w:spacing w:after="120"/>
        <w:jc w:val="both"/>
        <w:rPr>
          <w:color w:val="000000"/>
        </w:rPr>
      </w:pPr>
      <w:r>
        <w:rPr>
          <w:color w:val="000000"/>
        </w:rPr>
        <w:lastRenderedPageBreak/>
        <w:t>A ARN pode, por decisão fundamentada e proporcional, condicionar o licenciamento, a autorização ou a utilização nacional do espectro à apresentação de elementos suficientes sobre a adoção de medidas técnicas e operacionais adequadas à proteção de serviços existentes ou planeados, à prevenção de interferências prejudiciais e das obrigações internacionais relevantes.</w:t>
      </w:r>
    </w:p>
    <w:p w14:paraId="4E9B64A7" w14:textId="77777777" w:rsidR="008B2B96" w:rsidRDefault="00000000">
      <w:pPr>
        <w:numPr>
          <w:ilvl w:val="0"/>
          <w:numId w:val="26"/>
        </w:numPr>
        <w:pBdr>
          <w:top w:val="nil"/>
          <w:left w:val="nil"/>
          <w:bottom w:val="nil"/>
          <w:right w:val="nil"/>
          <w:between w:val="nil"/>
        </w:pBdr>
        <w:spacing w:after="120"/>
        <w:jc w:val="both"/>
        <w:rPr>
          <w:color w:val="000000"/>
        </w:rPr>
      </w:pPr>
      <w:r>
        <w:rPr>
          <w:color w:val="000000"/>
        </w:rPr>
        <w:t>A licença, autorização ou registo concedido pela ARN não substitui os procedimentos internacionais aplicáveis, nem exonera a entidade autorizada das obrigações que lhe cabem perante a administração notificante, a UIT ou outras entidades competentes.</w:t>
      </w:r>
    </w:p>
    <w:p w14:paraId="3A714CC9" w14:textId="77777777" w:rsidR="008B2B96" w:rsidRDefault="00000000">
      <w:pPr>
        <w:pBdr>
          <w:top w:val="nil"/>
          <w:left w:val="nil"/>
          <w:bottom w:val="nil"/>
          <w:right w:val="nil"/>
          <w:between w:val="nil"/>
        </w:pBdr>
        <w:spacing w:after="100"/>
        <w:jc w:val="center"/>
        <w:rPr>
          <w:color w:val="000000"/>
        </w:rPr>
      </w:pPr>
      <w:r>
        <w:rPr>
          <w:color w:val="000000"/>
        </w:rPr>
        <w:t xml:space="preserve">Artigo 16.º </w:t>
      </w:r>
    </w:p>
    <w:p w14:paraId="279B8700" w14:textId="77777777" w:rsidR="008B2B96" w:rsidRDefault="00000000">
      <w:pPr>
        <w:pBdr>
          <w:top w:val="nil"/>
          <w:left w:val="nil"/>
          <w:bottom w:val="nil"/>
          <w:right w:val="nil"/>
          <w:between w:val="nil"/>
        </w:pBdr>
        <w:spacing w:after="100"/>
        <w:jc w:val="center"/>
        <w:rPr>
          <w:b/>
          <w:bCs/>
          <w:color w:val="000000"/>
        </w:rPr>
      </w:pPr>
      <w:r>
        <w:rPr>
          <w:b/>
          <w:bCs/>
          <w:color w:val="000000"/>
        </w:rPr>
        <w:t>(Interferências prejudiciais)</w:t>
      </w:r>
    </w:p>
    <w:p w14:paraId="1496C586" w14:textId="77777777" w:rsidR="008B2B96" w:rsidRDefault="00000000">
      <w:pPr>
        <w:numPr>
          <w:ilvl w:val="0"/>
          <w:numId w:val="27"/>
        </w:numPr>
        <w:pBdr>
          <w:top w:val="nil"/>
          <w:left w:val="nil"/>
          <w:bottom w:val="nil"/>
          <w:right w:val="nil"/>
          <w:between w:val="nil"/>
        </w:pBdr>
        <w:spacing w:after="120"/>
        <w:jc w:val="both"/>
        <w:rPr>
          <w:color w:val="000000"/>
        </w:rPr>
      </w:pPr>
      <w:r>
        <w:rPr>
          <w:color w:val="000000"/>
        </w:rPr>
        <w:t>As entidades abrangidas pelo presente Regulamento devem adotar medidas adequadas para prevenir, detetar, monitorizar, mitigar e sanar interferências prejudiciais causadas ou sofridas pelas suas redes, estações, terminais, frequências ou sistemas.</w:t>
      </w:r>
    </w:p>
    <w:p w14:paraId="772453D5" w14:textId="77777777" w:rsidR="008B2B96" w:rsidRDefault="00000000">
      <w:pPr>
        <w:numPr>
          <w:ilvl w:val="0"/>
          <w:numId w:val="27"/>
        </w:numPr>
        <w:pBdr>
          <w:top w:val="nil"/>
          <w:left w:val="nil"/>
          <w:bottom w:val="nil"/>
          <w:right w:val="nil"/>
          <w:between w:val="nil"/>
        </w:pBdr>
        <w:spacing w:after="120"/>
        <w:jc w:val="both"/>
        <w:rPr>
          <w:color w:val="000000"/>
        </w:rPr>
      </w:pPr>
      <w:r>
        <w:rPr>
          <w:color w:val="000000"/>
        </w:rPr>
        <w:t>Sempre que detetem ou tenham conhecimento de interferência prejudicial, as entidades devem comunicar imediatamente o facto à ARN, identificar, na medida do possível, a origem provável da interferência, adotar medidas de mitigação, cooperar com as entidades afetadas e disponibilizar os dados técnicos necessários à sua avaliação e resolução.</w:t>
      </w:r>
    </w:p>
    <w:p w14:paraId="47B10E63" w14:textId="77777777" w:rsidR="008B2B96" w:rsidRDefault="00000000">
      <w:pPr>
        <w:numPr>
          <w:ilvl w:val="0"/>
          <w:numId w:val="27"/>
        </w:numPr>
        <w:pBdr>
          <w:top w:val="nil"/>
          <w:left w:val="nil"/>
          <w:bottom w:val="nil"/>
          <w:right w:val="nil"/>
          <w:between w:val="nil"/>
        </w:pBdr>
        <w:spacing w:after="120"/>
        <w:jc w:val="both"/>
        <w:rPr>
          <w:color w:val="000000"/>
        </w:rPr>
      </w:pPr>
      <w:r>
        <w:rPr>
          <w:color w:val="000000"/>
        </w:rPr>
        <w:t>A ARN pode, por decisão fundamentada e proporcional, determinar medidas técnicas, operacionais, geográficas ou temporais destinadas a cessar, reduzir ou prevenir interferências prejudiciais, incluindo a redução de potência, alteração de parâmetros técnicos, restrição ou suspensão de frequências, estações, feixes, terminais ou serviços, cessação da utilização de frequências ou revisão das condições dos títulos aplicáveis.</w:t>
      </w:r>
    </w:p>
    <w:p w14:paraId="6E81B71E" w14:textId="77777777" w:rsidR="008B2B96" w:rsidRDefault="00000000">
      <w:pPr>
        <w:numPr>
          <w:ilvl w:val="0"/>
          <w:numId w:val="27"/>
        </w:numPr>
        <w:pBdr>
          <w:top w:val="nil"/>
          <w:left w:val="nil"/>
          <w:bottom w:val="nil"/>
          <w:right w:val="nil"/>
          <w:between w:val="nil"/>
        </w:pBdr>
        <w:spacing w:after="120"/>
        <w:jc w:val="both"/>
        <w:rPr>
          <w:color w:val="000000"/>
        </w:rPr>
      </w:pPr>
      <w:r>
        <w:rPr>
          <w:color w:val="000000"/>
        </w:rPr>
        <w:t>Em caso de urgência, risco grave para serviços autorizados, serviços de segurança, emergência, radionavegação, defesa ou outros serviços essenciais, podem ser determinadas medidas imediatas, provisórias e proporcionais, destinadas a prevenir, cessar ou mitigar interferências prejudiciais, sem prejuízo da posterior audiência dos interessados quando legalmente exigível.</w:t>
      </w:r>
    </w:p>
    <w:p w14:paraId="015ADADC" w14:textId="77777777" w:rsidR="008B2B96" w:rsidRDefault="00000000">
      <w:pPr>
        <w:numPr>
          <w:ilvl w:val="0"/>
          <w:numId w:val="27"/>
        </w:numPr>
        <w:pBdr>
          <w:top w:val="nil"/>
          <w:left w:val="nil"/>
          <w:bottom w:val="nil"/>
          <w:right w:val="nil"/>
          <w:between w:val="nil"/>
        </w:pBdr>
        <w:spacing w:after="120"/>
        <w:jc w:val="both"/>
        <w:rPr>
          <w:color w:val="000000"/>
        </w:rPr>
      </w:pPr>
      <w:r>
        <w:rPr>
          <w:color w:val="000000"/>
        </w:rPr>
        <w:t>As entidades abrangidas devem manter registos atualizados das interferências detetadas, comunicações efetuadas, medidas adotadas e resultados obtidos, disponibilizando-os à ARN sempre que solicitados.</w:t>
      </w:r>
    </w:p>
    <w:p w14:paraId="158ADF33" w14:textId="77777777" w:rsidR="008B2B96" w:rsidRDefault="008B2B96">
      <w:pPr>
        <w:pBdr>
          <w:top w:val="nil"/>
          <w:left w:val="nil"/>
          <w:bottom w:val="nil"/>
          <w:right w:val="nil"/>
          <w:between w:val="nil"/>
        </w:pBdr>
        <w:spacing w:after="120"/>
        <w:jc w:val="both"/>
      </w:pPr>
    </w:p>
    <w:p w14:paraId="0BA160A1" w14:textId="77777777" w:rsidR="008B2B96" w:rsidRDefault="008B2B96">
      <w:pPr>
        <w:pBdr>
          <w:top w:val="nil"/>
          <w:left w:val="nil"/>
          <w:bottom w:val="nil"/>
          <w:right w:val="nil"/>
          <w:between w:val="nil"/>
        </w:pBdr>
        <w:spacing w:after="120"/>
        <w:jc w:val="both"/>
      </w:pPr>
    </w:p>
    <w:p w14:paraId="4904A8D6" w14:textId="77777777" w:rsidR="008B2B96" w:rsidRDefault="008B2B96">
      <w:pPr>
        <w:pBdr>
          <w:top w:val="nil"/>
          <w:left w:val="nil"/>
          <w:bottom w:val="nil"/>
          <w:right w:val="nil"/>
          <w:between w:val="nil"/>
        </w:pBdr>
        <w:spacing w:after="120"/>
        <w:jc w:val="both"/>
      </w:pPr>
    </w:p>
    <w:p w14:paraId="52CDFF9B"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V </w:t>
      </w:r>
    </w:p>
    <w:p w14:paraId="43D3C802" w14:textId="77777777" w:rsidR="008B2B96" w:rsidRDefault="00000000">
      <w:pPr>
        <w:pBdr>
          <w:top w:val="nil"/>
          <w:left w:val="nil"/>
          <w:bottom w:val="nil"/>
          <w:right w:val="nil"/>
          <w:between w:val="nil"/>
        </w:pBdr>
        <w:spacing w:before="200" w:after="200"/>
        <w:jc w:val="center"/>
        <w:rPr>
          <w:b/>
          <w:bCs/>
          <w:color w:val="000000"/>
        </w:rPr>
      </w:pPr>
      <w:r>
        <w:rPr>
          <w:b/>
          <w:bCs/>
          <w:color w:val="000000"/>
        </w:rPr>
        <w:t>Gateways de Satélite, Estações Terrenas e Terminais</w:t>
      </w:r>
    </w:p>
    <w:p w14:paraId="2EACC161" w14:textId="77777777" w:rsidR="008B2B96" w:rsidRDefault="00000000">
      <w:pPr>
        <w:pBdr>
          <w:top w:val="nil"/>
          <w:left w:val="nil"/>
          <w:bottom w:val="nil"/>
          <w:right w:val="nil"/>
          <w:between w:val="nil"/>
        </w:pBdr>
        <w:spacing w:after="100"/>
        <w:jc w:val="center"/>
        <w:rPr>
          <w:color w:val="000000"/>
        </w:rPr>
      </w:pPr>
      <w:r>
        <w:rPr>
          <w:color w:val="000000"/>
        </w:rPr>
        <w:t xml:space="preserve">Artigo 17.º </w:t>
      </w:r>
    </w:p>
    <w:p w14:paraId="3483791C" w14:textId="77777777" w:rsidR="008B2B96" w:rsidRDefault="00000000">
      <w:pPr>
        <w:pBdr>
          <w:top w:val="nil"/>
          <w:left w:val="nil"/>
          <w:bottom w:val="nil"/>
          <w:right w:val="nil"/>
          <w:between w:val="nil"/>
        </w:pBdr>
        <w:spacing w:after="100"/>
        <w:jc w:val="center"/>
        <w:rPr>
          <w:b/>
          <w:bCs/>
          <w:color w:val="000000"/>
        </w:rPr>
      </w:pPr>
      <w:r>
        <w:rPr>
          <w:b/>
          <w:bCs/>
          <w:color w:val="000000"/>
        </w:rPr>
        <w:t>(Gateways de satélite e estações terrenas)</w:t>
      </w:r>
    </w:p>
    <w:p w14:paraId="32C9FCF7" w14:textId="77777777" w:rsidR="008B2B96" w:rsidRDefault="00000000">
      <w:pPr>
        <w:numPr>
          <w:ilvl w:val="0"/>
          <w:numId w:val="28"/>
        </w:numPr>
        <w:pBdr>
          <w:top w:val="nil"/>
          <w:left w:val="nil"/>
          <w:bottom w:val="nil"/>
          <w:right w:val="nil"/>
          <w:between w:val="nil"/>
        </w:pBdr>
        <w:spacing w:after="120"/>
        <w:jc w:val="both"/>
        <w:rPr>
          <w:color w:val="000000"/>
        </w:rPr>
      </w:pPr>
      <w:r>
        <w:rPr>
          <w:color w:val="000000"/>
        </w:rPr>
        <w:t xml:space="preserve">A instalação e exploração de </w:t>
      </w:r>
      <w:proofErr w:type="spellStart"/>
      <w:r>
        <w:rPr>
          <w:i/>
          <w:iCs/>
          <w:color w:val="000000"/>
        </w:rPr>
        <w:t>gateways</w:t>
      </w:r>
      <w:proofErr w:type="spellEnd"/>
      <w:r>
        <w:rPr>
          <w:color w:val="000000"/>
        </w:rPr>
        <w:t xml:space="preserve"> de satélite e estações terrenas na Guiné-Bissau ficam sujeitas aos títulos, condições e enquadramentos previstos na legislação nacional aplicável e às condições fixadas pela ARN nos respetivos títulos.</w:t>
      </w:r>
    </w:p>
    <w:p w14:paraId="09FA68C0" w14:textId="77777777" w:rsidR="008B2B96" w:rsidRDefault="00000000">
      <w:pPr>
        <w:numPr>
          <w:ilvl w:val="0"/>
          <w:numId w:val="28"/>
        </w:numPr>
        <w:pBdr>
          <w:top w:val="nil"/>
          <w:left w:val="nil"/>
          <w:bottom w:val="nil"/>
          <w:right w:val="nil"/>
          <w:between w:val="nil"/>
        </w:pBdr>
        <w:spacing w:after="120"/>
        <w:jc w:val="both"/>
        <w:rPr>
          <w:color w:val="000000"/>
        </w:rPr>
      </w:pPr>
      <w:r>
        <w:rPr>
          <w:color w:val="000000"/>
        </w:rPr>
        <w:t xml:space="preserve">Sem prejuízo do disposto no artigo 6.º e no Anexo I, o pedido relativo à instalação ou exploração de </w:t>
      </w:r>
      <w:proofErr w:type="spellStart"/>
      <w:r>
        <w:rPr>
          <w:i/>
          <w:iCs/>
          <w:color w:val="000000"/>
        </w:rPr>
        <w:t>gateways</w:t>
      </w:r>
      <w:proofErr w:type="spellEnd"/>
      <w:r>
        <w:rPr>
          <w:color w:val="000000"/>
        </w:rPr>
        <w:t xml:space="preserve"> de satélite ou estação terrena deve incluir, quando aplicável e em </w:t>
      </w:r>
      <w:r>
        <w:rPr>
          <w:color w:val="000000"/>
        </w:rPr>
        <w:lastRenderedPageBreak/>
        <w:t xml:space="preserve">função da natureza e escala da operação, os elementos técnicos necessários à sua apreciação, designadamente localização e coordenadas geográficas, frequências, largura de banda, potência, Potência Isotrópica Radiada Equivalente (EIRP), polarização, diagramas de radiação, características das antenas, condições de operação, sistemas de energia e redundância, incluindo soluções de energia autónoma face à intermitência do fornecimento de eletricidade em determinadas regiões do país segurança física, </w:t>
      </w:r>
      <w:proofErr w:type="spellStart"/>
      <w:r>
        <w:rPr>
          <w:color w:val="000000"/>
        </w:rPr>
        <w:t>cibersegurança</w:t>
      </w:r>
      <w:proofErr w:type="spellEnd"/>
      <w:r>
        <w:rPr>
          <w:color w:val="000000"/>
        </w:rPr>
        <w:t>, conformidade dos equipamentos, proteção contra interferências prejudiciais, compatibilidade com o QNAF e cumprimento das regras de exposição a campos eletromagnéticos.</w:t>
      </w:r>
    </w:p>
    <w:p w14:paraId="66913922" w14:textId="77777777" w:rsidR="008B2B96" w:rsidRDefault="00000000">
      <w:pPr>
        <w:numPr>
          <w:ilvl w:val="0"/>
          <w:numId w:val="28"/>
        </w:numPr>
        <w:pBdr>
          <w:top w:val="nil"/>
          <w:left w:val="nil"/>
          <w:bottom w:val="nil"/>
          <w:right w:val="nil"/>
          <w:between w:val="nil"/>
        </w:pBdr>
        <w:spacing w:after="120"/>
        <w:jc w:val="both"/>
        <w:rPr>
          <w:color w:val="000000"/>
        </w:rPr>
      </w:pPr>
      <w:r>
        <w:rPr>
          <w:color w:val="000000"/>
        </w:rPr>
        <w:t>Quando necessário à apreciação do pedido ou à definição das condições aplicáveis, a ARN pode promover a articulação ou solicitar parecer às autoridades competentes em matéria de ordenamento do território, urbanismo, ambiente, aviação civil, atividade marítima, segurança, proteção civil, defesa, proteção de dados ou instalação de infraestruturas, sem prejuízo da obtenção, pelo requerente, dos atos, autorizações ou pareceres legalmente exigidos por essas autoridades.</w:t>
      </w:r>
    </w:p>
    <w:p w14:paraId="6C49ADB5" w14:textId="77777777" w:rsidR="008B2B96" w:rsidRDefault="00000000">
      <w:pPr>
        <w:numPr>
          <w:ilvl w:val="0"/>
          <w:numId w:val="28"/>
        </w:numPr>
        <w:pBdr>
          <w:top w:val="nil"/>
          <w:left w:val="nil"/>
          <w:bottom w:val="nil"/>
          <w:right w:val="nil"/>
          <w:between w:val="nil"/>
        </w:pBdr>
        <w:spacing w:after="120"/>
        <w:jc w:val="both"/>
        <w:rPr>
          <w:color w:val="000000"/>
        </w:rPr>
      </w:pPr>
      <w:r>
        <w:rPr>
          <w:color w:val="000000"/>
        </w:rPr>
        <w:t xml:space="preserve">A alteração da localização, configuração técnica, frequências, potência, diagramas de radiação, antenas, condições de operação ou demais parâmetros relevantes de </w:t>
      </w:r>
      <w:proofErr w:type="spellStart"/>
      <w:r>
        <w:rPr>
          <w:i/>
          <w:iCs/>
          <w:color w:val="000000"/>
        </w:rPr>
        <w:t>gateways</w:t>
      </w:r>
      <w:proofErr w:type="spellEnd"/>
      <w:r>
        <w:rPr>
          <w:color w:val="000000"/>
        </w:rPr>
        <w:t xml:space="preserve"> de satélite ou estações terrenas fica sujeita a comunicação prévia ou autorização da ARN, consoante o impacto da alteração e nos termos definidos no respetivo título ou por deliberação fundamentada da ARN.</w:t>
      </w:r>
    </w:p>
    <w:p w14:paraId="6199E938" w14:textId="77777777" w:rsidR="008B2B96" w:rsidRDefault="00000000">
      <w:pPr>
        <w:pBdr>
          <w:top w:val="nil"/>
          <w:left w:val="nil"/>
          <w:bottom w:val="nil"/>
          <w:right w:val="nil"/>
          <w:between w:val="nil"/>
        </w:pBdr>
        <w:spacing w:after="100"/>
        <w:jc w:val="center"/>
        <w:rPr>
          <w:color w:val="000000"/>
        </w:rPr>
      </w:pPr>
      <w:r>
        <w:rPr>
          <w:color w:val="000000"/>
        </w:rPr>
        <w:t>Artigo 18.º</w:t>
      </w:r>
    </w:p>
    <w:p w14:paraId="6894FBE8"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(Terminais de utilizador)</w:t>
      </w:r>
    </w:p>
    <w:p w14:paraId="3690E912" w14:textId="77777777" w:rsidR="008B2B96" w:rsidRDefault="00000000">
      <w:pPr>
        <w:numPr>
          <w:ilvl w:val="0"/>
          <w:numId w:val="29"/>
        </w:numPr>
        <w:pBdr>
          <w:top w:val="nil"/>
          <w:left w:val="nil"/>
          <w:bottom w:val="nil"/>
          <w:right w:val="nil"/>
          <w:between w:val="nil"/>
        </w:pBdr>
        <w:spacing w:after="120"/>
        <w:jc w:val="both"/>
        <w:rPr>
          <w:color w:val="000000"/>
        </w:rPr>
      </w:pPr>
      <w:r>
        <w:rPr>
          <w:color w:val="000000"/>
        </w:rPr>
        <w:t xml:space="preserve">A disponibilização, importação, distribuição, comercialização, instalação ou utilização de terminais de comunicações por satélite deve respeitar o presente diploma e demais legislação aplicável. </w:t>
      </w:r>
    </w:p>
    <w:p w14:paraId="704A1FB1" w14:textId="77777777" w:rsidR="008B2B96" w:rsidRDefault="00000000">
      <w:pPr>
        <w:numPr>
          <w:ilvl w:val="0"/>
          <w:numId w:val="29"/>
        </w:numPr>
        <w:pBdr>
          <w:top w:val="nil"/>
          <w:left w:val="nil"/>
          <w:bottom w:val="nil"/>
          <w:right w:val="nil"/>
          <w:between w:val="nil"/>
        </w:pBdr>
        <w:spacing w:after="120"/>
        <w:jc w:val="both"/>
        <w:rPr>
          <w:color w:val="000000"/>
        </w:rPr>
      </w:pPr>
      <w:r>
        <w:rPr>
          <w:color w:val="000000"/>
        </w:rPr>
        <w:t>Sem prejuízo do disposto no artigo 15.º, sempre que se verifiquem interferências prejudiciais, incumprimento das condições técnicas, utilização não conforme ou risco para serviços autorizados, a ARN pode, por decisão fundamentada e proporcional, determinar a suspensão, limitação, alteração das condições de utilização ou cessação da operação dos terminais.</w:t>
      </w:r>
    </w:p>
    <w:p w14:paraId="66AEC66E" w14:textId="77777777" w:rsidR="008B2B96" w:rsidRDefault="008B2B96">
      <w:pPr>
        <w:pBdr>
          <w:top w:val="nil"/>
          <w:left w:val="nil"/>
          <w:bottom w:val="nil"/>
          <w:right w:val="nil"/>
          <w:between w:val="nil"/>
        </w:pBdr>
        <w:spacing w:after="120"/>
        <w:jc w:val="both"/>
      </w:pPr>
    </w:p>
    <w:p w14:paraId="59FF50FC" w14:textId="77777777" w:rsidR="008B2B96" w:rsidRDefault="008B2B96">
      <w:pPr>
        <w:pBdr>
          <w:top w:val="nil"/>
          <w:left w:val="nil"/>
          <w:bottom w:val="nil"/>
          <w:right w:val="nil"/>
          <w:between w:val="nil"/>
        </w:pBdr>
        <w:spacing w:after="120"/>
        <w:jc w:val="both"/>
      </w:pPr>
    </w:p>
    <w:p w14:paraId="32D2CA62" w14:textId="77777777" w:rsidR="008B2B96" w:rsidRDefault="008B2B96">
      <w:pPr>
        <w:pBdr>
          <w:top w:val="nil"/>
          <w:left w:val="nil"/>
          <w:bottom w:val="nil"/>
          <w:right w:val="nil"/>
          <w:between w:val="nil"/>
        </w:pBdr>
        <w:spacing w:after="120"/>
        <w:jc w:val="both"/>
      </w:pPr>
    </w:p>
    <w:p w14:paraId="5BAAEE96" w14:textId="77777777" w:rsidR="008B2B96" w:rsidRDefault="008B2B96">
      <w:pPr>
        <w:pBdr>
          <w:top w:val="nil"/>
          <w:left w:val="nil"/>
          <w:bottom w:val="nil"/>
          <w:right w:val="nil"/>
          <w:between w:val="nil"/>
        </w:pBdr>
        <w:spacing w:after="100"/>
        <w:jc w:val="center"/>
        <w:rPr>
          <w:color w:val="000000"/>
        </w:rPr>
      </w:pPr>
    </w:p>
    <w:p w14:paraId="478FDA4A" w14:textId="77777777" w:rsidR="008B2B96" w:rsidRDefault="00000000">
      <w:pPr>
        <w:pBdr>
          <w:top w:val="nil"/>
          <w:left w:val="nil"/>
          <w:bottom w:val="nil"/>
          <w:right w:val="nil"/>
          <w:between w:val="nil"/>
        </w:pBdr>
        <w:spacing w:after="100"/>
        <w:jc w:val="center"/>
        <w:rPr>
          <w:color w:val="000000"/>
        </w:rPr>
      </w:pPr>
      <w:r>
        <w:rPr>
          <w:color w:val="000000"/>
        </w:rPr>
        <w:t>Artigo 19.º</w:t>
      </w:r>
    </w:p>
    <w:p w14:paraId="74B63500"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(Infraestruturas locais, pontos de presença e representação técnica)</w:t>
      </w:r>
    </w:p>
    <w:p w14:paraId="0D1C4554" w14:textId="77777777" w:rsidR="008B2B96" w:rsidRDefault="00000000">
      <w:pPr>
        <w:numPr>
          <w:ilvl w:val="0"/>
          <w:numId w:val="30"/>
        </w:numPr>
        <w:pBdr>
          <w:top w:val="nil"/>
          <w:left w:val="nil"/>
          <w:bottom w:val="nil"/>
          <w:right w:val="nil"/>
          <w:between w:val="nil"/>
        </w:pBdr>
        <w:spacing w:after="120"/>
        <w:jc w:val="both"/>
        <w:rPr>
          <w:color w:val="000000"/>
        </w:rPr>
      </w:pPr>
      <w:r>
        <w:rPr>
          <w:color w:val="000000"/>
        </w:rPr>
        <w:t xml:space="preserve">Na apreciação dos pedidos e na definição das condições aplicáveis, a ARN pode considerar favoravelmente a existência ou instalação, no território nacional, de </w:t>
      </w:r>
      <w:proofErr w:type="spellStart"/>
      <w:r>
        <w:rPr>
          <w:i/>
          <w:iCs/>
          <w:color w:val="000000"/>
        </w:rPr>
        <w:t>gateways</w:t>
      </w:r>
      <w:proofErr w:type="spellEnd"/>
      <w:r>
        <w:rPr>
          <w:color w:val="000000"/>
        </w:rPr>
        <w:t xml:space="preserve"> de satélite, pontos de presença, centros de suporte, equipas técnicas, representação operacional ou outras infraestruturas locais que contribuam para a resiliência, segurança, qualidade de serviço, fiscalização, desenvolvimento de competências nacionais e autonomia operacional na Guiné-Bissau.</w:t>
      </w:r>
    </w:p>
    <w:p w14:paraId="109C529A" w14:textId="77777777" w:rsidR="008B2B96" w:rsidRDefault="00000000">
      <w:pPr>
        <w:numPr>
          <w:ilvl w:val="0"/>
          <w:numId w:val="30"/>
        </w:numPr>
        <w:pBdr>
          <w:top w:val="nil"/>
          <w:left w:val="nil"/>
          <w:bottom w:val="nil"/>
          <w:right w:val="nil"/>
          <w:between w:val="nil"/>
        </w:pBdr>
        <w:spacing w:after="120"/>
        <w:jc w:val="both"/>
        <w:rPr>
          <w:color w:val="000000"/>
        </w:rPr>
      </w:pPr>
      <w:r>
        <w:rPr>
          <w:color w:val="000000"/>
        </w:rPr>
        <w:t xml:space="preserve">A inexistência de </w:t>
      </w:r>
      <w:proofErr w:type="spellStart"/>
      <w:r>
        <w:rPr>
          <w:i/>
          <w:iCs/>
          <w:color w:val="000000"/>
        </w:rPr>
        <w:t>gateways</w:t>
      </w:r>
      <w:proofErr w:type="spellEnd"/>
      <w:r>
        <w:rPr>
          <w:color w:val="000000"/>
        </w:rPr>
        <w:t xml:space="preserve"> de satélite ou de ponto de presença no território nacional não impede, por si só, o enquadramento regulatório e a autorização de serviços de </w:t>
      </w:r>
      <w:r>
        <w:rPr>
          <w:color w:val="000000"/>
        </w:rPr>
        <w:lastRenderedPageBreak/>
        <w:t>comunicações por satélite, desde que a entidade requerente ou autorizada demonstre capacidade efetiva de cumprir as obrigações nacionais aplicáveis, cooperar com a ARN e demais autoridades competentes, assegurar mecanismos de segurança, fiscalização, resposta a incidentes e identificar responsável ou ponto de contacto na Guiné-Bissau, quando exigível.</w:t>
      </w:r>
    </w:p>
    <w:p w14:paraId="5819A26E" w14:textId="77777777" w:rsidR="008B2B96" w:rsidRDefault="00000000">
      <w:pPr>
        <w:numPr>
          <w:ilvl w:val="0"/>
          <w:numId w:val="30"/>
        </w:numPr>
        <w:pBdr>
          <w:top w:val="nil"/>
          <w:left w:val="nil"/>
          <w:bottom w:val="nil"/>
          <w:right w:val="nil"/>
          <w:between w:val="nil"/>
        </w:pBdr>
        <w:spacing w:after="120"/>
        <w:jc w:val="both"/>
        <w:rPr>
          <w:color w:val="000000"/>
        </w:rPr>
      </w:pPr>
      <w:r>
        <w:rPr>
          <w:color w:val="000000"/>
        </w:rPr>
        <w:t>A ARN pode, por decisão fundamentada e proporcional, exigir a designação de ponto de contacto, representante técnico, estrutura operacional ou, quando indispensável, infraestrutura local no território nacional, sempre que tal se revele necessário em função da natureza e escala da atividade, dos riscos associados, da necessidade de fiscalização, da segurança das redes e serviços, da continuidade do serviço, do cumprimento de obrigações legais ou da salvaguarda do interesse público, nos termos da lei e dos títulos aplicáveis.</w:t>
      </w:r>
    </w:p>
    <w:p w14:paraId="6A79308C" w14:textId="77777777" w:rsidR="008B2B96" w:rsidRDefault="00000000">
      <w:pPr>
        <w:numPr>
          <w:ilvl w:val="0"/>
          <w:numId w:val="30"/>
        </w:numPr>
        <w:pBdr>
          <w:top w:val="nil"/>
          <w:left w:val="nil"/>
          <w:bottom w:val="nil"/>
          <w:right w:val="nil"/>
          <w:between w:val="nil"/>
        </w:pBdr>
        <w:spacing w:after="120"/>
        <w:jc w:val="both"/>
        <w:rPr>
          <w:color w:val="E97132"/>
        </w:rPr>
      </w:pPr>
      <w:r>
        <w:rPr>
          <w:color w:val="000000"/>
        </w:rPr>
        <w:t>A existência de infraestrutura local, ponto de presença ou representação técnica não dispensa a obtenção dos títulos habilitantes exigíveis, nem o cumprimento das obrigações técnicas, operacionais, de segurança, reporte, fiscalização e proteção dos utilizadores previstas na legislação aplicável, no presente Regulamento e nos respetivos títulos.</w:t>
      </w:r>
    </w:p>
    <w:p w14:paraId="46485BDA"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VI </w:t>
      </w:r>
    </w:p>
    <w:p w14:paraId="60F890BC" w14:textId="77777777" w:rsidR="008B2B96" w:rsidRDefault="00000000">
      <w:pPr>
        <w:pBdr>
          <w:top w:val="nil"/>
          <w:left w:val="nil"/>
          <w:bottom w:val="nil"/>
          <w:right w:val="nil"/>
          <w:between w:val="nil"/>
        </w:pBdr>
        <w:spacing w:before="200" w:after="200"/>
        <w:jc w:val="center"/>
        <w:rPr>
          <w:b/>
          <w:bCs/>
          <w:color w:val="000000"/>
        </w:rPr>
      </w:pPr>
      <w:r>
        <w:rPr>
          <w:b/>
          <w:bCs/>
          <w:color w:val="000000"/>
        </w:rPr>
        <w:t>Comunicações de Emergência por Satélite</w:t>
      </w:r>
    </w:p>
    <w:p w14:paraId="3AD574A2" w14:textId="77777777" w:rsidR="008B2B96" w:rsidRDefault="00000000">
      <w:pPr>
        <w:pBdr>
          <w:top w:val="nil"/>
          <w:left w:val="nil"/>
          <w:bottom w:val="nil"/>
          <w:right w:val="nil"/>
          <w:between w:val="nil"/>
        </w:pBdr>
        <w:spacing w:after="100"/>
        <w:jc w:val="center"/>
        <w:rPr>
          <w:color w:val="000000"/>
        </w:rPr>
      </w:pPr>
      <w:r>
        <w:rPr>
          <w:color w:val="000000"/>
        </w:rPr>
        <w:t>Artigo 20.º</w:t>
      </w:r>
    </w:p>
    <w:p w14:paraId="29E839C1"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(SMS de emergência e comunicações mínimas de socorro por satélite)</w:t>
      </w:r>
    </w:p>
    <w:p w14:paraId="4CFC5EDB" w14:textId="77777777" w:rsidR="008B2B96" w:rsidRDefault="00000000">
      <w:pPr>
        <w:numPr>
          <w:ilvl w:val="0"/>
          <w:numId w:val="32"/>
        </w:numPr>
        <w:pBdr>
          <w:top w:val="nil"/>
          <w:left w:val="nil"/>
          <w:bottom w:val="nil"/>
          <w:right w:val="nil"/>
          <w:between w:val="nil"/>
        </w:pBdr>
        <w:spacing w:after="120"/>
        <w:jc w:val="both"/>
        <w:rPr>
          <w:color w:val="000000"/>
        </w:rPr>
      </w:pPr>
      <w:r>
        <w:rPr>
          <w:color w:val="000000"/>
        </w:rPr>
        <w:t xml:space="preserve">A utilização de serviços diretos a terminal ou </w:t>
      </w:r>
      <w:proofErr w:type="spellStart"/>
      <w:r>
        <w:rPr>
          <w:i/>
          <w:iCs/>
          <w:color w:val="000000"/>
        </w:rPr>
        <w:t>Direct</w:t>
      </w:r>
      <w:proofErr w:type="spellEnd"/>
      <w:r>
        <w:rPr>
          <w:i/>
          <w:iCs/>
          <w:color w:val="000000"/>
        </w:rPr>
        <w:t>-to-</w:t>
      </w:r>
      <w:proofErr w:type="spellStart"/>
      <w:r>
        <w:rPr>
          <w:i/>
          <w:iCs/>
          <w:color w:val="000000"/>
        </w:rPr>
        <w:t>Device</w:t>
      </w:r>
      <w:proofErr w:type="spellEnd"/>
      <w:r>
        <w:rPr>
          <w:color w:val="000000"/>
        </w:rPr>
        <w:t xml:space="preserve"> por satélite só pode ser autorizada ou enquadrada, ao abrigo do presente Regulamento, quando se destine exclusivamente à difusão ou receção de SMS de emergência, alertas públicos ou comunicações mínimas de socorro.</w:t>
      </w:r>
    </w:p>
    <w:p w14:paraId="08CFC4D0" w14:textId="77777777" w:rsidR="008B2B96" w:rsidRDefault="00000000">
      <w:pPr>
        <w:numPr>
          <w:ilvl w:val="0"/>
          <w:numId w:val="32"/>
        </w:numPr>
        <w:pBdr>
          <w:top w:val="nil"/>
          <w:left w:val="nil"/>
          <w:bottom w:val="nil"/>
          <w:right w:val="nil"/>
          <w:between w:val="nil"/>
        </w:pBdr>
        <w:spacing w:after="120"/>
        <w:jc w:val="both"/>
        <w:rPr>
          <w:color w:val="000000"/>
        </w:rPr>
      </w:pPr>
      <w:r>
        <w:rPr>
          <w:color w:val="000000"/>
        </w:rPr>
        <w:t xml:space="preserve">A utilização prevista no número anterior tem </w:t>
      </w:r>
      <w:proofErr w:type="spellStart"/>
      <w:r>
        <w:rPr>
          <w:color w:val="000000"/>
        </w:rPr>
        <w:t>caráter</w:t>
      </w:r>
      <w:proofErr w:type="spellEnd"/>
      <w:r>
        <w:rPr>
          <w:color w:val="000000"/>
        </w:rPr>
        <w:t xml:space="preserve"> excecional, temporário, proporcional e devidamente fundamentado, e só pode ocorrer em situações de emergência, catástrofe, calamidade, cheia, epidemia, proteção civil, segurança pública, continuidade de serviços essenciais ou reforço da resiliência nacional.</w:t>
      </w:r>
    </w:p>
    <w:p w14:paraId="25BE1D75" w14:textId="77777777" w:rsidR="008B2B96" w:rsidRDefault="00000000">
      <w:pPr>
        <w:numPr>
          <w:ilvl w:val="0"/>
          <w:numId w:val="32"/>
        </w:numPr>
        <w:pBdr>
          <w:top w:val="nil"/>
          <w:left w:val="nil"/>
          <w:bottom w:val="nil"/>
          <w:right w:val="nil"/>
          <w:between w:val="nil"/>
        </w:pBdr>
        <w:spacing w:after="120"/>
        <w:jc w:val="both"/>
        <w:rPr>
          <w:color w:val="000000"/>
        </w:rPr>
      </w:pPr>
      <w:r>
        <w:rPr>
          <w:color w:val="000000"/>
        </w:rPr>
        <w:t>A autorização ou enquadramento dessas comunicações depende de verificação prévia da compatibilidade com o QNAF, da prevenção e mitigação do risco de interferências prejudiciais, da proteção das redes terrestres e dos titulares de direitos de utilização de frequências, da segurança, integridade e autenticidade das comunicações, bem como da articulação com as autoridades competentes em matéria de proteção civil, segurança pública e gestão de emergências, designadamente o Serviço Nacional de Proteção Civil.</w:t>
      </w:r>
    </w:p>
    <w:p w14:paraId="097CC655" w14:textId="77777777" w:rsidR="008B2B96" w:rsidRDefault="00000000">
      <w:pPr>
        <w:numPr>
          <w:ilvl w:val="0"/>
          <w:numId w:val="32"/>
        </w:numPr>
        <w:pBdr>
          <w:top w:val="nil"/>
          <w:left w:val="nil"/>
          <w:bottom w:val="nil"/>
          <w:right w:val="nil"/>
          <w:between w:val="nil"/>
        </w:pBdr>
        <w:spacing w:after="120"/>
        <w:jc w:val="both"/>
        <w:rPr>
          <w:color w:val="000000"/>
        </w:rPr>
      </w:pPr>
      <w:r>
        <w:rPr>
          <w:color w:val="000000"/>
        </w:rPr>
        <w:t xml:space="preserve">Sem prejuízo do disposto no artigo 16.º, a ARN pode, por decisão fundamentada e proporcional, fixar condições técnicas, operacionais, geográficas, temporais, de segurança, </w:t>
      </w:r>
      <w:r>
        <w:t>reporte</w:t>
      </w:r>
      <w:r>
        <w:rPr>
          <w:color w:val="000000"/>
        </w:rPr>
        <w:t xml:space="preserve"> e cessação da operação, sempre que tal se revele necessário para proteger o espectro radioelétrico, assegurar a continuidade dos serviços autorizados, prevenir ou mitigar interferências prejudiciais ou salvaguardar o interesse público.</w:t>
      </w:r>
    </w:p>
    <w:p w14:paraId="12D16088" w14:textId="77777777" w:rsidR="008B2B96" w:rsidRDefault="00000000">
      <w:pPr>
        <w:numPr>
          <w:ilvl w:val="0"/>
          <w:numId w:val="32"/>
        </w:numPr>
        <w:pBdr>
          <w:top w:val="nil"/>
          <w:left w:val="nil"/>
          <w:bottom w:val="nil"/>
          <w:right w:val="nil"/>
          <w:between w:val="nil"/>
        </w:pBdr>
        <w:spacing w:after="120"/>
        <w:jc w:val="both"/>
        <w:rPr>
          <w:color w:val="000000"/>
        </w:rPr>
      </w:pPr>
      <w:r>
        <w:rPr>
          <w:color w:val="000000"/>
        </w:rPr>
        <w:t xml:space="preserve">O disposto no presente artigo não constitui autorização para a prestação comercial generalizada de serviços diretos a terminal ou </w:t>
      </w:r>
      <w:proofErr w:type="spellStart"/>
      <w:r>
        <w:rPr>
          <w:i/>
          <w:iCs/>
          <w:color w:val="000000"/>
        </w:rPr>
        <w:t>Direct</w:t>
      </w:r>
      <w:proofErr w:type="spellEnd"/>
      <w:r>
        <w:rPr>
          <w:i/>
          <w:iCs/>
          <w:color w:val="000000"/>
        </w:rPr>
        <w:t>-to-</w:t>
      </w:r>
      <w:proofErr w:type="spellStart"/>
      <w:r>
        <w:rPr>
          <w:i/>
          <w:iCs/>
          <w:color w:val="000000"/>
        </w:rPr>
        <w:t>Device</w:t>
      </w:r>
      <w:proofErr w:type="spellEnd"/>
      <w:r>
        <w:rPr>
          <w:color w:val="000000"/>
        </w:rPr>
        <w:t>, nem dispensa a obtenção dos títulos, autorizações ou enquadramentos aplicáveis nos termos do presente Regulamento e da legislação em vigor.</w:t>
      </w:r>
    </w:p>
    <w:p w14:paraId="0570F6FC" w14:textId="77777777" w:rsidR="008B2B96" w:rsidRDefault="00000000">
      <w:pPr>
        <w:pBdr>
          <w:top w:val="nil"/>
          <w:left w:val="nil"/>
          <w:bottom w:val="nil"/>
          <w:right w:val="nil"/>
          <w:between w:val="nil"/>
        </w:pBdr>
        <w:spacing w:after="100"/>
        <w:jc w:val="center"/>
        <w:rPr>
          <w:color w:val="000000"/>
        </w:rPr>
      </w:pPr>
      <w:r>
        <w:rPr>
          <w:color w:val="000000"/>
        </w:rPr>
        <w:t xml:space="preserve">Artigo 21.º </w:t>
      </w:r>
    </w:p>
    <w:p w14:paraId="59BFD027" w14:textId="77777777" w:rsidR="008B2B96" w:rsidRDefault="00000000">
      <w:pPr>
        <w:pBdr>
          <w:top w:val="nil"/>
          <w:left w:val="nil"/>
          <w:bottom w:val="nil"/>
          <w:right w:val="nil"/>
          <w:between w:val="nil"/>
        </w:pBdr>
        <w:spacing w:after="100"/>
        <w:jc w:val="center"/>
        <w:rPr>
          <w:b/>
          <w:bCs/>
          <w:color w:val="000000"/>
        </w:rPr>
      </w:pPr>
      <w:r>
        <w:rPr>
          <w:b/>
          <w:bCs/>
          <w:color w:val="000000"/>
        </w:rPr>
        <w:t>(Articulação com redes móveis terrestres e autoridades competentes)</w:t>
      </w:r>
    </w:p>
    <w:p w14:paraId="2EA14142" w14:textId="77777777" w:rsidR="008B2B96" w:rsidRDefault="00000000">
      <w:pPr>
        <w:numPr>
          <w:ilvl w:val="0"/>
          <w:numId w:val="33"/>
        </w:numPr>
        <w:pBdr>
          <w:top w:val="nil"/>
          <w:left w:val="nil"/>
          <w:bottom w:val="nil"/>
          <w:right w:val="nil"/>
          <w:between w:val="nil"/>
        </w:pBdr>
        <w:spacing w:after="120"/>
        <w:jc w:val="both"/>
        <w:rPr>
          <w:color w:val="000000"/>
        </w:rPr>
      </w:pPr>
      <w:r>
        <w:rPr>
          <w:color w:val="000000"/>
        </w:rPr>
        <w:lastRenderedPageBreak/>
        <w:t xml:space="preserve">A utilização de comunicações por satélite para SMS de emergência, alertas públicos ou comunicações mínimas de socorro, incluindo serviços diretos a terminal ou </w:t>
      </w:r>
      <w:proofErr w:type="spellStart"/>
      <w:r>
        <w:rPr>
          <w:i/>
          <w:iCs/>
          <w:color w:val="000000"/>
        </w:rPr>
        <w:t>Direct</w:t>
      </w:r>
      <w:proofErr w:type="spellEnd"/>
      <w:r>
        <w:rPr>
          <w:i/>
          <w:iCs/>
          <w:color w:val="000000"/>
        </w:rPr>
        <w:t>-to-</w:t>
      </w:r>
      <w:proofErr w:type="spellStart"/>
      <w:r>
        <w:rPr>
          <w:i/>
          <w:iCs/>
          <w:color w:val="000000"/>
        </w:rPr>
        <w:t>Device</w:t>
      </w:r>
      <w:proofErr w:type="spellEnd"/>
      <w:r>
        <w:rPr>
          <w:color w:val="000000"/>
        </w:rPr>
        <w:t>, deve, sempre que envolva ou afete redes móveis terrestres, ser precedida de articulação técnica e operacional com os respetivos operadores, nos termos da legislação aplicável, do presente Regulamento e das condições fixadas pela ARN.</w:t>
      </w:r>
    </w:p>
    <w:p w14:paraId="7B5159B0" w14:textId="77777777" w:rsidR="008B2B96" w:rsidRDefault="00000000">
      <w:pPr>
        <w:numPr>
          <w:ilvl w:val="0"/>
          <w:numId w:val="33"/>
        </w:numPr>
        <w:pBdr>
          <w:top w:val="nil"/>
          <w:left w:val="nil"/>
          <w:bottom w:val="nil"/>
          <w:right w:val="nil"/>
          <w:between w:val="nil"/>
        </w:pBdr>
        <w:spacing w:after="120"/>
        <w:jc w:val="both"/>
        <w:rPr>
          <w:color w:val="000000"/>
        </w:rPr>
      </w:pPr>
      <w:r>
        <w:rPr>
          <w:color w:val="000000"/>
        </w:rPr>
        <w:t>As comunicações referidas no número anterior destinam-se a funcionar como solução complementar, subsidiária ou de redundância face às redes e serviços móveis terrestres, designadamente quando estes se encontrem indisponíveis, degradados, congestionados, danificados ou insuficientes para assegurar comunicações mínimas de emergência, alerta público, proteção civil ou socorro, situação que assume especial relevância nas zonas rurais e nas zonas insulares, onde a cobertura móvel terrestre é limitada ou inexistente.</w:t>
      </w:r>
    </w:p>
    <w:p w14:paraId="7AEAB789" w14:textId="77777777" w:rsidR="008B2B96" w:rsidRDefault="00000000">
      <w:pPr>
        <w:numPr>
          <w:ilvl w:val="0"/>
          <w:numId w:val="33"/>
        </w:numPr>
        <w:pBdr>
          <w:top w:val="nil"/>
          <w:left w:val="nil"/>
          <w:bottom w:val="nil"/>
          <w:right w:val="nil"/>
          <w:between w:val="nil"/>
        </w:pBdr>
        <w:spacing w:after="120"/>
        <w:jc w:val="both"/>
        <w:rPr>
          <w:color w:val="000000"/>
        </w:rPr>
      </w:pPr>
      <w:r>
        <w:rPr>
          <w:color w:val="000000"/>
        </w:rPr>
        <w:t>Os acordos ou mecanismos de articulação entre operadores de comunicações por satélite e operadores móveis terrestres devem prever, quando aplicável, condições de integração técnica, interoperabilidade, encaminhamento de mensagens, autenticação, segurança, gestão de tráfego, prevenção de interferências prejudiciais, proteção dos utilizadores, reporte de incidentes e procedimentos de ativação e cessação.</w:t>
      </w:r>
    </w:p>
    <w:p w14:paraId="198FF3B0" w14:textId="77777777" w:rsidR="008B2B96" w:rsidRDefault="00000000">
      <w:pPr>
        <w:numPr>
          <w:ilvl w:val="0"/>
          <w:numId w:val="33"/>
        </w:numPr>
        <w:pBdr>
          <w:top w:val="nil"/>
          <w:left w:val="nil"/>
          <w:bottom w:val="nil"/>
          <w:right w:val="nil"/>
          <w:between w:val="nil"/>
        </w:pBdr>
        <w:spacing w:after="120"/>
        <w:jc w:val="both"/>
        <w:rPr>
          <w:color w:val="000000"/>
        </w:rPr>
      </w:pPr>
      <w:r>
        <w:rPr>
          <w:color w:val="000000"/>
        </w:rPr>
        <w:t>A ARN deve ser informada dos acordos, mecanismos ou procedimentos referidos no número anterior e pode, por decisão fundamentada e proporcional, solicitar elementos adicionais, promover a articulação entre as entidades envolvidas, fixar condições técnicas ou operacionais, ou determinar ajustamentos necessários à proteção do espectro radioelétrico, à continuidade dos serviços autorizados, à segurança das comunicações, à proteção dos utilizadores e à salvaguarda do interesse público.</w:t>
      </w:r>
    </w:p>
    <w:p w14:paraId="42847696" w14:textId="77777777" w:rsidR="008B2B96" w:rsidRDefault="00000000">
      <w:pPr>
        <w:numPr>
          <w:ilvl w:val="0"/>
          <w:numId w:val="33"/>
        </w:numPr>
        <w:pBdr>
          <w:top w:val="nil"/>
          <w:left w:val="nil"/>
          <w:bottom w:val="nil"/>
          <w:right w:val="nil"/>
          <w:between w:val="nil"/>
        </w:pBdr>
        <w:spacing w:after="120"/>
        <w:jc w:val="both"/>
        <w:rPr>
          <w:color w:val="000000"/>
        </w:rPr>
      </w:pPr>
      <w:r>
        <w:rPr>
          <w:color w:val="000000"/>
        </w:rPr>
        <w:t>A ativação de comunicações por satélite para os fins previstos no presente artigo deve ocorrer em articulação com as autoridades competentes em matéria de proteção civil, segurança pública, gestão de emergências ou outros serviços essenciais, sem prejuízo das competências da ARN em matéria de regulação, supervisão, fiscalização e gestão do espectro radioelétrico.</w:t>
      </w:r>
    </w:p>
    <w:p w14:paraId="6EC6358D" w14:textId="77777777" w:rsidR="008B2B96" w:rsidRDefault="008B2B96">
      <w:pPr>
        <w:pBdr>
          <w:top w:val="nil"/>
          <w:left w:val="nil"/>
          <w:bottom w:val="nil"/>
          <w:right w:val="nil"/>
          <w:between w:val="nil"/>
        </w:pBdr>
        <w:spacing w:after="120"/>
        <w:jc w:val="both"/>
      </w:pPr>
    </w:p>
    <w:p w14:paraId="450152FD" w14:textId="77777777" w:rsidR="008B2B96" w:rsidRDefault="008B2B96">
      <w:pPr>
        <w:pBdr>
          <w:top w:val="nil"/>
          <w:left w:val="nil"/>
          <w:bottom w:val="nil"/>
          <w:right w:val="nil"/>
          <w:between w:val="nil"/>
        </w:pBdr>
        <w:spacing w:after="120"/>
        <w:jc w:val="both"/>
      </w:pPr>
    </w:p>
    <w:p w14:paraId="5ED99BFC" w14:textId="77777777" w:rsidR="008B2B96" w:rsidRDefault="008B2B96">
      <w:pPr>
        <w:pBdr>
          <w:top w:val="nil"/>
          <w:left w:val="nil"/>
          <w:bottom w:val="nil"/>
          <w:right w:val="nil"/>
          <w:between w:val="nil"/>
        </w:pBdr>
        <w:spacing w:after="120"/>
        <w:jc w:val="both"/>
      </w:pPr>
    </w:p>
    <w:p w14:paraId="5D41F7D9" w14:textId="77777777" w:rsidR="008B2B96" w:rsidRDefault="008B2B96">
      <w:pPr>
        <w:pBdr>
          <w:top w:val="nil"/>
          <w:left w:val="nil"/>
          <w:bottom w:val="nil"/>
          <w:right w:val="nil"/>
          <w:between w:val="nil"/>
        </w:pBdr>
        <w:spacing w:after="120"/>
        <w:jc w:val="both"/>
      </w:pPr>
    </w:p>
    <w:p w14:paraId="46CE2FDA" w14:textId="77777777" w:rsidR="008B2B96" w:rsidRDefault="008B2B96">
      <w:pPr>
        <w:pBdr>
          <w:top w:val="nil"/>
          <w:left w:val="nil"/>
          <w:bottom w:val="nil"/>
          <w:right w:val="nil"/>
          <w:between w:val="nil"/>
        </w:pBdr>
        <w:spacing w:after="120"/>
        <w:jc w:val="both"/>
      </w:pPr>
    </w:p>
    <w:p w14:paraId="6F0E86E0" w14:textId="77777777" w:rsidR="008B2B96" w:rsidRDefault="008B2B96">
      <w:pPr>
        <w:pBdr>
          <w:top w:val="nil"/>
          <w:left w:val="nil"/>
          <w:bottom w:val="nil"/>
          <w:right w:val="nil"/>
          <w:between w:val="nil"/>
        </w:pBdr>
        <w:spacing w:after="120"/>
        <w:jc w:val="both"/>
      </w:pPr>
    </w:p>
    <w:p w14:paraId="1B59208F"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VII </w:t>
      </w:r>
    </w:p>
    <w:p w14:paraId="4542D80E" w14:textId="77777777" w:rsidR="008B2B96" w:rsidRDefault="00000000">
      <w:pPr>
        <w:pBdr>
          <w:top w:val="nil"/>
          <w:left w:val="nil"/>
          <w:bottom w:val="nil"/>
          <w:right w:val="nil"/>
          <w:between w:val="nil"/>
        </w:pBdr>
        <w:spacing w:before="200" w:after="200"/>
        <w:jc w:val="center"/>
        <w:rPr>
          <w:b/>
          <w:bCs/>
          <w:color w:val="000000"/>
        </w:rPr>
      </w:pPr>
      <w:r>
        <w:rPr>
          <w:b/>
          <w:bCs/>
          <w:color w:val="000000"/>
        </w:rPr>
        <w:t>Obrigações das Entidades Abrangidas</w:t>
      </w:r>
    </w:p>
    <w:p w14:paraId="30675D37" w14:textId="77777777" w:rsidR="008B2B96" w:rsidRDefault="00000000">
      <w:pPr>
        <w:pBdr>
          <w:top w:val="nil"/>
          <w:left w:val="nil"/>
          <w:bottom w:val="nil"/>
          <w:right w:val="nil"/>
          <w:between w:val="nil"/>
        </w:pBdr>
        <w:spacing w:after="100"/>
        <w:jc w:val="center"/>
        <w:rPr>
          <w:color w:val="000000"/>
        </w:rPr>
      </w:pPr>
      <w:r>
        <w:rPr>
          <w:color w:val="000000"/>
        </w:rPr>
        <w:t xml:space="preserve">Artigo 22.º </w:t>
      </w:r>
    </w:p>
    <w:p w14:paraId="086FCF71" w14:textId="77777777" w:rsidR="008B2B96" w:rsidRDefault="00000000">
      <w:pPr>
        <w:pBdr>
          <w:top w:val="nil"/>
          <w:left w:val="nil"/>
          <w:bottom w:val="nil"/>
          <w:right w:val="nil"/>
          <w:between w:val="nil"/>
        </w:pBdr>
        <w:spacing w:after="100"/>
        <w:jc w:val="center"/>
        <w:rPr>
          <w:b/>
          <w:bCs/>
          <w:color w:val="000000"/>
        </w:rPr>
      </w:pPr>
      <w:r>
        <w:rPr>
          <w:b/>
          <w:bCs/>
          <w:color w:val="000000"/>
        </w:rPr>
        <w:t>(Obrigações gerais)</w:t>
      </w:r>
    </w:p>
    <w:p w14:paraId="4475C7F7" w14:textId="77777777" w:rsidR="008B2B96" w:rsidRDefault="00000000">
      <w:pPr>
        <w:numPr>
          <w:ilvl w:val="0"/>
          <w:numId w:val="35"/>
        </w:numPr>
        <w:pBdr>
          <w:top w:val="nil"/>
          <w:left w:val="nil"/>
          <w:bottom w:val="nil"/>
          <w:right w:val="nil"/>
          <w:between w:val="nil"/>
        </w:pBdr>
        <w:spacing w:after="120"/>
        <w:jc w:val="both"/>
        <w:rPr>
          <w:color w:val="000000"/>
        </w:rPr>
      </w:pPr>
      <w:r>
        <w:rPr>
          <w:color w:val="000000"/>
        </w:rPr>
        <w:t>As entidades abrangidas pelo presente Regulamento devem cumprir a legislação aplicável</w:t>
      </w:r>
      <w:r>
        <w:t>,</w:t>
      </w:r>
      <w:r>
        <w:rPr>
          <w:color w:val="000000"/>
        </w:rPr>
        <w:t xml:space="preserve"> os títulos habilitantes, decisões, deliberações e demais condições fixadas pela ARN no exercício das suas competências legais.</w:t>
      </w:r>
    </w:p>
    <w:p w14:paraId="7585251F" w14:textId="77777777" w:rsidR="008B2B96" w:rsidRDefault="00000000">
      <w:pPr>
        <w:numPr>
          <w:ilvl w:val="0"/>
          <w:numId w:val="35"/>
        </w:numPr>
        <w:pBdr>
          <w:top w:val="nil"/>
          <w:left w:val="nil"/>
          <w:bottom w:val="nil"/>
          <w:right w:val="nil"/>
          <w:between w:val="nil"/>
        </w:pBdr>
        <w:spacing w:after="120"/>
        <w:jc w:val="both"/>
        <w:rPr>
          <w:color w:val="000000"/>
        </w:rPr>
      </w:pPr>
      <w:r>
        <w:rPr>
          <w:color w:val="000000"/>
        </w:rPr>
        <w:t>Constituem obrigações gerais das entidades abrangidas, designadamente:</w:t>
      </w:r>
    </w:p>
    <w:p w14:paraId="0FEE00AA"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lastRenderedPageBreak/>
        <w:t>Utilizar frequências, estações, terminais, redes, serviços, capacidade e demais recursos apenas nos termos autorizados ou enquadrados;</w:t>
      </w:r>
    </w:p>
    <w:p w14:paraId="389C2A89"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 xml:space="preserve">Cumprir as condições técnicas, operacionais, comerciais, de segurança, qualidade, continuidade, </w:t>
      </w:r>
      <w:r>
        <w:t>reporte</w:t>
      </w:r>
      <w:r>
        <w:rPr>
          <w:color w:val="000000"/>
        </w:rPr>
        <w:t xml:space="preserve"> e fiscalização aplicáveis;</w:t>
      </w:r>
    </w:p>
    <w:p w14:paraId="5A18AD20"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Prevenir, detetar, comunicar e mitigar interferências prejudiciais, nos termos do presente Regulamento e dos títulos aplicáveis;</w:t>
      </w:r>
    </w:p>
    <w:p w14:paraId="7FB678EA"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Assegurar a proteção dos utilizadores, incluindo informação clara, transparente, verdadeira e atualizada sobre os serviços prestados, respetivas limitações e condições de utilização;</w:t>
      </w:r>
    </w:p>
    <w:p w14:paraId="1649B67A"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Garantir a segurança, integridade, continuidade e resiliência das redes, serviços, estações, terminais e sistemas utilizados;</w:t>
      </w:r>
    </w:p>
    <w:p w14:paraId="24EA1766" w14:textId="77777777" w:rsidR="008B2B96" w:rsidRDefault="00000000">
      <w:pPr>
        <w:numPr>
          <w:ilvl w:val="0"/>
          <w:numId w:val="36"/>
        </w:numPr>
        <w:pBdr>
          <w:top w:val="nil"/>
          <w:left w:val="nil"/>
          <w:bottom w:val="nil"/>
          <w:right w:val="nil"/>
          <w:between w:val="nil"/>
        </w:pBdr>
        <w:spacing w:after="80"/>
        <w:jc w:val="both"/>
        <w:rPr>
          <w:color w:val="000000"/>
        </w:rPr>
      </w:pPr>
      <w:r>
        <w:t>cooperar</w:t>
      </w:r>
      <w:r>
        <w:rPr>
          <w:color w:val="000000"/>
        </w:rPr>
        <w:t xml:space="preserve"> com a ARN e com as demais autoridades competentes, incluindo em matéria de supervisão, fiscalização, gestão do espectro, segurança, proteção civil, emergência e cumprimento de obrigações legais;</w:t>
      </w:r>
    </w:p>
    <w:p w14:paraId="43907CEB"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Prestar à ARN informações verdadeiras, completas, atualizadas e dentro dos prazos fixados;</w:t>
      </w:r>
    </w:p>
    <w:p w14:paraId="19152D8C"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Comunicar previamente ou, quando tal não seja possível, logo que tenham conhecimento, as alterações relevantes à atividade, operação, titularidade, controlo, infraestrutura, parâmetros técnicos, cobertura, serviços, pontos de contacto ou condições que tenham fundamentado o título ou enquadramento aplicável;</w:t>
      </w:r>
    </w:p>
    <w:p w14:paraId="5C811618"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Manter registos técnicos, operacionais, comerciais e de incidentes adequados à natureza e escala da atividade, disponibilizando-os à ARN quando solicitado;</w:t>
      </w:r>
    </w:p>
    <w:p w14:paraId="5F39866F"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Pagar as taxas, encargos ou demais valores legalmente devidos;</w:t>
      </w:r>
    </w:p>
    <w:p w14:paraId="3CE749DC" w14:textId="77777777" w:rsidR="008B2B96" w:rsidRDefault="00000000">
      <w:pPr>
        <w:numPr>
          <w:ilvl w:val="0"/>
          <w:numId w:val="36"/>
        </w:numPr>
        <w:pBdr>
          <w:top w:val="nil"/>
          <w:left w:val="nil"/>
          <w:bottom w:val="nil"/>
          <w:right w:val="nil"/>
          <w:between w:val="nil"/>
        </w:pBdr>
        <w:spacing w:after="80"/>
        <w:jc w:val="both"/>
        <w:rPr>
          <w:color w:val="000000"/>
        </w:rPr>
      </w:pPr>
      <w:r>
        <w:rPr>
          <w:color w:val="000000"/>
        </w:rPr>
        <w:t>Cumprir as obrigações de proteção de dados, privacidade, confidencialidade, segurança das comunicações e colaboração legal aplicáveis, incluindo em matéria de interceção legal das comunicações.</w:t>
      </w:r>
    </w:p>
    <w:p w14:paraId="1009483A" w14:textId="77777777" w:rsidR="008B2B96" w:rsidRDefault="00000000">
      <w:pPr>
        <w:pBdr>
          <w:top w:val="nil"/>
          <w:left w:val="nil"/>
          <w:bottom w:val="nil"/>
          <w:right w:val="nil"/>
          <w:between w:val="nil"/>
        </w:pBdr>
        <w:spacing w:after="100"/>
        <w:jc w:val="center"/>
        <w:rPr>
          <w:color w:val="000000"/>
        </w:rPr>
      </w:pPr>
      <w:r>
        <w:rPr>
          <w:color w:val="000000"/>
        </w:rPr>
        <w:t>Artigo 23.º</w:t>
      </w:r>
    </w:p>
    <w:p w14:paraId="4F24A19A"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(Cobertura, disponibilidade e qualidade dos serviços por satélite)</w:t>
      </w:r>
    </w:p>
    <w:p w14:paraId="4B586431" w14:textId="77777777" w:rsidR="008B2B96" w:rsidRDefault="00000000">
      <w:pPr>
        <w:numPr>
          <w:ilvl w:val="0"/>
          <w:numId w:val="37"/>
        </w:numPr>
        <w:pBdr>
          <w:top w:val="nil"/>
          <w:left w:val="nil"/>
          <w:bottom w:val="nil"/>
          <w:right w:val="nil"/>
          <w:between w:val="nil"/>
        </w:pBdr>
        <w:spacing w:after="120"/>
        <w:jc w:val="both"/>
        <w:rPr>
          <w:color w:val="000000"/>
        </w:rPr>
      </w:pPr>
      <w:r>
        <w:rPr>
          <w:color w:val="000000"/>
        </w:rPr>
        <w:t>As entidades abrangidas pelo presente Regulamento devem disponibilizar à ARN e aos utilizadores, de forma clara, precisa, atualizada, verificável e adequada à natureza do serviço, informação sobre a cobertura efetiva, disponibilidade, qualidade estimada, velocidades ou débitos, latência, capacidade, limitações técnicas, condições de instalação e utilização, eventuais restrições geográficas, meteorológicas, operacionais ou de mobilidade e demais características essenciais dos serviços prestados.</w:t>
      </w:r>
    </w:p>
    <w:p w14:paraId="19087E13" w14:textId="77777777" w:rsidR="008B2B96" w:rsidRDefault="00000000">
      <w:pPr>
        <w:numPr>
          <w:ilvl w:val="0"/>
          <w:numId w:val="37"/>
        </w:numPr>
        <w:pBdr>
          <w:top w:val="nil"/>
          <w:left w:val="nil"/>
          <w:bottom w:val="nil"/>
          <w:right w:val="nil"/>
          <w:between w:val="nil"/>
        </w:pBdr>
        <w:spacing w:after="120"/>
        <w:jc w:val="both"/>
        <w:rPr>
          <w:color w:val="000000"/>
        </w:rPr>
      </w:pPr>
      <w:r>
        <w:rPr>
          <w:color w:val="000000"/>
        </w:rPr>
        <w:t>Para efeitos do presente artigo, a cobertura de redes e serviços de comunicações por satélite deve ser apreciada tendo em conta as especificidades técnicas do sistema utilizado, designadamente o tipo de órbita, a configuração da constelação, os feixes de cobertura, a disponibilidade temporal do serviço, a localização do utilizador, a linha de vista para o satélite, o tipo de terminal, a capacidade disponível, a mobilidade e as condições técnicas ou operacionais aplicáveis.</w:t>
      </w:r>
    </w:p>
    <w:p w14:paraId="75D9634F" w14:textId="77777777" w:rsidR="008B2B96" w:rsidRDefault="00000000">
      <w:pPr>
        <w:numPr>
          <w:ilvl w:val="0"/>
          <w:numId w:val="37"/>
        </w:numPr>
        <w:pBdr>
          <w:top w:val="nil"/>
          <w:left w:val="nil"/>
          <w:bottom w:val="nil"/>
          <w:right w:val="nil"/>
          <w:between w:val="nil"/>
        </w:pBdr>
        <w:spacing w:after="120"/>
        <w:jc w:val="both"/>
        <w:rPr>
          <w:color w:val="000000"/>
        </w:rPr>
      </w:pPr>
      <w:r>
        <w:rPr>
          <w:color w:val="000000"/>
        </w:rPr>
        <w:t xml:space="preserve">Em especial nos sistemas não geoestacionários, incluindo LEO e MEO, a avaliação da cobertura e disponibilidade deve considerar a natureza dinâmica da constelação, a continuidade de ligação, a gestão de </w:t>
      </w:r>
      <w:proofErr w:type="spellStart"/>
      <w:r>
        <w:rPr>
          <w:color w:val="000000"/>
        </w:rPr>
        <w:t>handover</w:t>
      </w:r>
      <w:proofErr w:type="spellEnd"/>
      <w:r>
        <w:rPr>
          <w:color w:val="000000"/>
        </w:rPr>
        <w:t xml:space="preserve"> entre satélites ou feixes, as janelas de visibilidade, a estabilidade do serviço, a capacidade efetivamente disponível e a variação do desempenho no tempo e no espaço.</w:t>
      </w:r>
    </w:p>
    <w:p w14:paraId="2FC3C7AF" w14:textId="77777777" w:rsidR="008B2B96" w:rsidRDefault="00000000">
      <w:pPr>
        <w:numPr>
          <w:ilvl w:val="0"/>
          <w:numId w:val="37"/>
        </w:numPr>
        <w:pBdr>
          <w:top w:val="nil"/>
          <w:left w:val="nil"/>
          <w:bottom w:val="nil"/>
          <w:right w:val="nil"/>
          <w:between w:val="nil"/>
        </w:pBdr>
        <w:spacing w:after="120"/>
        <w:jc w:val="both"/>
        <w:rPr>
          <w:color w:val="000000"/>
        </w:rPr>
      </w:pPr>
      <w:r>
        <w:rPr>
          <w:color w:val="000000"/>
        </w:rPr>
        <w:lastRenderedPageBreak/>
        <w:t xml:space="preserve">A imposição de metas específicas de cobertura, disponibilidade, qualidade de serviço, latência, capacidade, continuidade ou atendimento de determinadas zonas apenas pode ocorrer quando prevista na </w:t>
      </w:r>
      <w:r>
        <w:t>l</w:t>
      </w:r>
      <w:r>
        <w:rPr>
          <w:color w:val="000000"/>
        </w:rPr>
        <w:t>ei, nos títulos habilitantes aplicáveis, em compromissos assumidos pelo prestador ou em decisão fundamentada e proporcional da ARN, tendo em conta o interesse público, a natureza do serviço, as especificidades técnicas do sistema utilizado e a viabilidade técnica e económica.</w:t>
      </w:r>
    </w:p>
    <w:p w14:paraId="04D05354" w14:textId="77777777" w:rsidR="008B2B96" w:rsidRDefault="00000000">
      <w:pPr>
        <w:numPr>
          <w:ilvl w:val="0"/>
          <w:numId w:val="37"/>
        </w:numPr>
        <w:pBdr>
          <w:top w:val="nil"/>
          <w:left w:val="nil"/>
          <w:bottom w:val="nil"/>
          <w:right w:val="nil"/>
          <w:between w:val="nil"/>
        </w:pBdr>
        <w:spacing w:after="120"/>
        <w:jc w:val="both"/>
        <w:rPr>
          <w:color w:val="000000"/>
        </w:rPr>
      </w:pPr>
      <w:r>
        <w:rPr>
          <w:color w:val="000000"/>
        </w:rPr>
        <w:t>A ARN pode definir, nos títulos aplicáveis ou por deliberação fundamentada, indicadores, metodologias de medição, níveis mínimos, obrigações de reporte ou mecanismos de atualização periódica da informação disponibilizada, devendo tais instrumentos refletir, quando aplicável, as especificidades dos sistemas GEO, MEO, LEO ou outros sistemas não geoestacionários, bem como os princípios da proporcionalidade, transparência, não discriminação e neutralidade tecnológica.</w:t>
      </w:r>
    </w:p>
    <w:p w14:paraId="47196D52" w14:textId="77777777" w:rsidR="008B2B96" w:rsidRDefault="00000000">
      <w:pPr>
        <w:numPr>
          <w:ilvl w:val="0"/>
          <w:numId w:val="37"/>
        </w:numPr>
        <w:pBdr>
          <w:top w:val="nil"/>
          <w:left w:val="nil"/>
          <w:bottom w:val="nil"/>
          <w:right w:val="nil"/>
          <w:between w:val="nil"/>
        </w:pBdr>
        <w:spacing w:after="120"/>
        <w:jc w:val="both"/>
        <w:rPr>
          <w:color w:val="000000"/>
        </w:rPr>
      </w:pPr>
      <w:r>
        <w:rPr>
          <w:color w:val="000000"/>
        </w:rPr>
        <w:t>A ARN pode, no âmbito da política de acesso e serviço universal considerar a contribuição de operadores de comunicações por satélite para a cobertura de zonas rurais, insulares e de difícil acesso, incluindo mediante mecanismos de compensação, apoio financeiro ou obrigações específicas de cobertura, nos termos do regulamento relativo ao acesso e serviço universal.</w:t>
      </w:r>
    </w:p>
    <w:p w14:paraId="3583B849" w14:textId="77777777" w:rsidR="008B2B96" w:rsidRDefault="008B2B96">
      <w:pPr>
        <w:pBdr>
          <w:top w:val="nil"/>
          <w:left w:val="nil"/>
          <w:bottom w:val="nil"/>
          <w:right w:val="nil"/>
          <w:between w:val="nil"/>
        </w:pBdr>
        <w:spacing w:after="100"/>
        <w:jc w:val="center"/>
      </w:pPr>
    </w:p>
    <w:p w14:paraId="194185AA" w14:textId="77777777" w:rsidR="008B2B96" w:rsidRDefault="00000000">
      <w:pPr>
        <w:pBdr>
          <w:top w:val="nil"/>
          <w:left w:val="nil"/>
          <w:bottom w:val="nil"/>
          <w:right w:val="nil"/>
          <w:between w:val="nil"/>
        </w:pBdr>
        <w:spacing w:after="100"/>
        <w:jc w:val="center"/>
        <w:rPr>
          <w:color w:val="000000"/>
        </w:rPr>
      </w:pPr>
      <w:r>
        <w:rPr>
          <w:color w:val="000000"/>
        </w:rPr>
        <w:t xml:space="preserve">Artigo 24.º </w:t>
      </w:r>
    </w:p>
    <w:p w14:paraId="01B186A1" w14:textId="77777777" w:rsidR="008B2B96" w:rsidRDefault="00000000">
      <w:pPr>
        <w:pBdr>
          <w:top w:val="nil"/>
          <w:left w:val="nil"/>
          <w:bottom w:val="nil"/>
          <w:right w:val="nil"/>
          <w:between w:val="nil"/>
        </w:pBdr>
        <w:spacing w:after="100"/>
        <w:jc w:val="center"/>
        <w:rPr>
          <w:b/>
          <w:bCs/>
          <w:color w:val="000000"/>
        </w:rPr>
      </w:pPr>
      <w:r>
        <w:rPr>
          <w:b/>
          <w:bCs/>
          <w:color w:val="000000"/>
        </w:rPr>
        <w:t>(Segurança, resiliência e continuidade)</w:t>
      </w:r>
    </w:p>
    <w:p w14:paraId="128686FD" w14:textId="77777777" w:rsidR="008B2B96" w:rsidRDefault="00000000">
      <w:pPr>
        <w:numPr>
          <w:ilvl w:val="0"/>
          <w:numId w:val="38"/>
        </w:numPr>
        <w:pBdr>
          <w:top w:val="nil"/>
          <w:left w:val="nil"/>
          <w:bottom w:val="nil"/>
          <w:right w:val="nil"/>
          <w:between w:val="nil"/>
        </w:pBdr>
        <w:spacing w:after="120"/>
        <w:jc w:val="both"/>
        <w:rPr>
          <w:color w:val="000000"/>
        </w:rPr>
      </w:pPr>
      <w:r>
        <w:rPr>
          <w:color w:val="000000"/>
        </w:rPr>
        <w:t>As entidades abrangidas pelo presente Regulamento devem assegurar a integridade, segurança, continuidade e resiliência das redes, serviços, estações, terminais, sistemas e infraestruturas associadas que utilizem ou explorem.</w:t>
      </w:r>
    </w:p>
    <w:p w14:paraId="4DF549BD" w14:textId="77777777" w:rsidR="008B2B96" w:rsidRDefault="00000000">
      <w:pPr>
        <w:numPr>
          <w:ilvl w:val="0"/>
          <w:numId w:val="38"/>
        </w:numPr>
        <w:pBdr>
          <w:top w:val="nil"/>
          <w:left w:val="nil"/>
          <w:bottom w:val="nil"/>
          <w:right w:val="nil"/>
          <w:between w:val="nil"/>
        </w:pBdr>
        <w:spacing w:after="120"/>
        <w:jc w:val="both"/>
        <w:rPr>
          <w:color w:val="000000"/>
        </w:rPr>
      </w:pPr>
      <w:r>
        <w:rPr>
          <w:color w:val="000000"/>
        </w:rPr>
        <w:t xml:space="preserve">Para efeitos do número anterior, devem adotar medidas técnicas, organizativas e operacionais adequadas e proporcionais à natureza, escala e criticidade da atividade, incluindo gestão de risco, </w:t>
      </w:r>
      <w:proofErr w:type="spellStart"/>
      <w:r>
        <w:rPr>
          <w:color w:val="000000"/>
        </w:rPr>
        <w:t>cibersegurança</w:t>
      </w:r>
      <w:proofErr w:type="spellEnd"/>
      <w:r>
        <w:rPr>
          <w:color w:val="000000"/>
        </w:rPr>
        <w:t>, controlo de acessos, redundância, continuidade de negócio, proteção contra falhas, resposta a incidentes e recuperação de serviço.</w:t>
      </w:r>
    </w:p>
    <w:p w14:paraId="561AC07C" w14:textId="77777777" w:rsidR="008B2B96" w:rsidRDefault="00000000">
      <w:pPr>
        <w:numPr>
          <w:ilvl w:val="0"/>
          <w:numId w:val="38"/>
        </w:numPr>
        <w:pBdr>
          <w:top w:val="nil"/>
          <w:left w:val="nil"/>
          <w:bottom w:val="nil"/>
          <w:right w:val="nil"/>
          <w:between w:val="nil"/>
        </w:pBdr>
        <w:spacing w:after="120"/>
        <w:jc w:val="both"/>
        <w:rPr>
          <w:color w:val="000000"/>
        </w:rPr>
      </w:pPr>
      <w:r>
        <w:rPr>
          <w:color w:val="000000"/>
        </w:rPr>
        <w:t>As entidades abrangidas devem comunicar à ARN, nos termos definidos nos títulos aplicáveis ou por deliberação fundamentada, os incidentes relevantes que afetem ou possam afetar a segurança, integridade, continuidade, disponibilidade ou resiliência das redes e serviços.</w:t>
      </w:r>
    </w:p>
    <w:p w14:paraId="5B57334E" w14:textId="77777777" w:rsidR="008B2B96" w:rsidRDefault="00000000">
      <w:pPr>
        <w:numPr>
          <w:ilvl w:val="0"/>
          <w:numId w:val="38"/>
        </w:numPr>
        <w:pBdr>
          <w:top w:val="nil"/>
          <w:left w:val="nil"/>
          <w:bottom w:val="nil"/>
          <w:right w:val="nil"/>
          <w:between w:val="nil"/>
        </w:pBdr>
        <w:spacing w:after="120"/>
        <w:jc w:val="both"/>
        <w:rPr>
          <w:color w:val="000000"/>
        </w:rPr>
      </w:pPr>
      <w:r>
        <w:rPr>
          <w:color w:val="000000"/>
        </w:rPr>
        <w:t>A ARN pode exigir, de forma fundamentada e proporcional, planos de segurança, continuidade, contingência e recuperação, relatórios de incidentes, testes periódicos, auditorias de segurança ou outras medidas adequadas à proteção das redes e serviços, tendo em conta a natureza da atividade, os riscos associados, a criticidade do serviço e o interesse público.</w:t>
      </w:r>
    </w:p>
    <w:p w14:paraId="3B582482" w14:textId="77777777" w:rsidR="008B2B96" w:rsidRDefault="00000000">
      <w:pPr>
        <w:pBdr>
          <w:top w:val="nil"/>
          <w:left w:val="nil"/>
          <w:bottom w:val="nil"/>
          <w:right w:val="nil"/>
          <w:between w:val="nil"/>
        </w:pBdr>
        <w:spacing w:after="100"/>
        <w:jc w:val="center"/>
        <w:rPr>
          <w:color w:val="000000"/>
        </w:rPr>
      </w:pPr>
      <w:r>
        <w:rPr>
          <w:color w:val="000000"/>
        </w:rPr>
        <w:t>Artigo 25.º</w:t>
      </w:r>
    </w:p>
    <w:p w14:paraId="3F7D5BA7"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(Comunicações de emergência e interesse público)</w:t>
      </w:r>
    </w:p>
    <w:p w14:paraId="4731F9FF" w14:textId="77777777" w:rsidR="008B2B96" w:rsidRDefault="00000000">
      <w:pPr>
        <w:numPr>
          <w:ilvl w:val="0"/>
          <w:numId w:val="39"/>
        </w:numPr>
        <w:pBdr>
          <w:top w:val="nil"/>
          <w:left w:val="nil"/>
          <w:bottom w:val="nil"/>
          <w:right w:val="nil"/>
          <w:between w:val="nil"/>
        </w:pBdr>
        <w:spacing w:after="120"/>
        <w:jc w:val="both"/>
        <w:rPr>
          <w:color w:val="000000"/>
        </w:rPr>
      </w:pPr>
      <w:r>
        <w:rPr>
          <w:color w:val="000000"/>
        </w:rPr>
        <w:t xml:space="preserve">As entidades abrangidas pelo presente Regulamento devem </w:t>
      </w:r>
      <w:r>
        <w:t>cooperar</w:t>
      </w:r>
      <w:r>
        <w:rPr>
          <w:color w:val="000000"/>
        </w:rPr>
        <w:t xml:space="preserve"> com a ARN e com as autoridades competentes em situações de emergência, catástrofe, calamidade, crise, segurança pública, proteção civil ou outras situações de interesse público relevante</w:t>
      </w:r>
      <w:r>
        <w:t>.</w:t>
      </w:r>
      <w:r>
        <w:rPr>
          <w:color w:val="000000"/>
        </w:rPr>
        <w:t xml:space="preserve"> </w:t>
      </w:r>
    </w:p>
    <w:p w14:paraId="63508DCA" w14:textId="77777777" w:rsidR="008B2B96" w:rsidRDefault="00000000">
      <w:pPr>
        <w:numPr>
          <w:ilvl w:val="0"/>
          <w:numId w:val="39"/>
        </w:numPr>
        <w:pBdr>
          <w:top w:val="nil"/>
          <w:left w:val="nil"/>
          <w:bottom w:val="nil"/>
          <w:right w:val="nil"/>
          <w:between w:val="nil"/>
        </w:pBdr>
        <w:spacing w:after="120"/>
        <w:jc w:val="both"/>
        <w:rPr>
          <w:color w:val="000000"/>
        </w:rPr>
      </w:pPr>
      <w:r>
        <w:rPr>
          <w:color w:val="000000"/>
        </w:rPr>
        <w:t>A ARN pode, por decisão fundamentada e proporcional, estabelecer condições específicas destinadas à priorização de comunicações de emergência, continuidade de serviços críticos, apoio a autoridades públicas, restabelecimento célere de serviços, disponibilização temporária de capacidade de satélite ou utilização de terminais para resposta a emergências.</w:t>
      </w:r>
    </w:p>
    <w:p w14:paraId="245C7CA4" w14:textId="77777777" w:rsidR="008B2B96" w:rsidRDefault="00000000">
      <w:pPr>
        <w:pBdr>
          <w:top w:val="nil"/>
          <w:left w:val="nil"/>
          <w:bottom w:val="nil"/>
          <w:right w:val="nil"/>
          <w:between w:val="nil"/>
        </w:pBdr>
        <w:spacing w:after="100"/>
        <w:jc w:val="center"/>
        <w:rPr>
          <w:color w:val="000000"/>
        </w:rPr>
      </w:pPr>
      <w:r>
        <w:rPr>
          <w:color w:val="000000"/>
        </w:rPr>
        <w:lastRenderedPageBreak/>
        <w:t>Artigo 26.º</w:t>
      </w:r>
    </w:p>
    <w:p w14:paraId="0B265588"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(Proteção dos utilizadores)</w:t>
      </w:r>
    </w:p>
    <w:p w14:paraId="58ABED7D" w14:textId="77777777" w:rsidR="008B2B96" w:rsidRDefault="00000000">
      <w:pPr>
        <w:numPr>
          <w:ilvl w:val="0"/>
          <w:numId w:val="40"/>
        </w:numPr>
        <w:pBdr>
          <w:top w:val="nil"/>
          <w:left w:val="nil"/>
          <w:bottom w:val="nil"/>
          <w:right w:val="nil"/>
          <w:between w:val="nil"/>
        </w:pBdr>
        <w:spacing w:after="120"/>
        <w:jc w:val="both"/>
        <w:rPr>
          <w:color w:val="000000"/>
        </w:rPr>
      </w:pPr>
      <w:r>
        <w:rPr>
          <w:color w:val="000000"/>
        </w:rPr>
        <w:t>As entidades que ofereçam ou prestem serviços de comunicações por satélite a utilizadores finais devem assegurar informação clara, verdadeira, completa, atualizada, acessível e comparável sobre as características essenciais dos serviços, incluindo cobertura efetiva, disponibilidade, velocidades ou débitos, latência, capacidade, limitações técnicas, restrições geográficas, condições de instalação, utilização e manutenção de equipamentos ou terminais, mobilidade, preços, qualidade estimada, procedimentos de reclamação e condições de suspensão, cessação, alteração ou degradação do serviço.</w:t>
      </w:r>
    </w:p>
    <w:p w14:paraId="56C2BF42" w14:textId="77777777" w:rsidR="008B2B96" w:rsidRDefault="00000000">
      <w:pPr>
        <w:numPr>
          <w:ilvl w:val="0"/>
          <w:numId w:val="40"/>
        </w:numPr>
        <w:pBdr>
          <w:top w:val="nil"/>
          <w:left w:val="nil"/>
          <w:bottom w:val="nil"/>
          <w:right w:val="nil"/>
          <w:between w:val="nil"/>
        </w:pBdr>
        <w:spacing w:after="120"/>
        <w:jc w:val="both"/>
        <w:rPr>
          <w:color w:val="000000"/>
        </w:rPr>
      </w:pPr>
      <w:r>
        <w:rPr>
          <w:color w:val="000000"/>
        </w:rPr>
        <w:t xml:space="preserve">Os contratos, condições gerais, ofertas comerciais e comunicações aos utilizadores devem respeitar a legislação de defesa do consumidor e as demais regras aplicáveis de proteção dos utilizadores, incluindo os elementos contratuais mínimos previstos na legislação aplicável. </w:t>
      </w:r>
    </w:p>
    <w:p w14:paraId="08302192" w14:textId="77777777" w:rsidR="008B2B96" w:rsidRDefault="00000000">
      <w:pPr>
        <w:numPr>
          <w:ilvl w:val="0"/>
          <w:numId w:val="40"/>
        </w:numPr>
        <w:pBdr>
          <w:top w:val="nil"/>
          <w:left w:val="nil"/>
          <w:bottom w:val="nil"/>
          <w:right w:val="nil"/>
          <w:between w:val="nil"/>
        </w:pBdr>
        <w:spacing w:after="120"/>
        <w:jc w:val="both"/>
        <w:rPr>
          <w:color w:val="000000"/>
        </w:rPr>
      </w:pPr>
      <w:r>
        <w:rPr>
          <w:color w:val="000000"/>
        </w:rPr>
        <w:t>A informação disponibilizada aos utilizadores deve evidenciar, quando aplicável, as especificidades dos serviços por satélite, designadamente limitações de cobertura, variações de desempenho, latência, capacidade partilhada, condicionamentos meteorológicos, necessidade de linha de vista, requisitos de instalação, utilização de terminais compatíveis, restrições de mobilidade ou limitações associadas à localização geográfica, em linguagem simples e acessível, atenta a diversidade de níveis de literacia digital dos utilizadores no território nacional.</w:t>
      </w:r>
    </w:p>
    <w:p w14:paraId="3984824E" w14:textId="77777777" w:rsidR="008B2B96" w:rsidRDefault="00000000">
      <w:pPr>
        <w:numPr>
          <w:ilvl w:val="0"/>
          <w:numId w:val="40"/>
        </w:numPr>
        <w:pBdr>
          <w:top w:val="nil"/>
          <w:left w:val="nil"/>
          <w:bottom w:val="nil"/>
          <w:right w:val="nil"/>
          <w:between w:val="nil"/>
        </w:pBdr>
        <w:spacing w:after="120"/>
        <w:jc w:val="both"/>
        <w:rPr>
          <w:color w:val="000000"/>
        </w:rPr>
      </w:pPr>
      <w:r>
        <w:rPr>
          <w:color w:val="000000"/>
        </w:rPr>
        <w:t>A ARN pode, por decisão fundamentada e proporcional, determinar medidas adicionais de transparência, informação, advertência ou reporte público quando a natureza, complexidade, limitações técnicas ou forma de comercialização do serviço possam afetar a compreensão adequada pelos utilizadores ou induzir expectativas incorretas quanto à cobertura, qualidade, disponibilidade, mobilidade ou continuidade do serviço.</w:t>
      </w:r>
    </w:p>
    <w:p w14:paraId="2B87C0E1" w14:textId="77777777" w:rsidR="008B2B96" w:rsidRDefault="00000000">
      <w:pPr>
        <w:numPr>
          <w:ilvl w:val="0"/>
          <w:numId w:val="40"/>
        </w:numPr>
        <w:pBdr>
          <w:top w:val="nil"/>
          <w:left w:val="nil"/>
          <w:bottom w:val="nil"/>
          <w:right w:val="nil"/>
          <w:between w:val="nil"/>
        </w:pBdr>
        <w:spacing w:after="120"/>
        <w:jc w:val="both"/>
      </w:pPr>
      <w:r>
        <w:t>A suspensão e extinção do serviço de comunicações por satélite por não pagamento de faturas segue o regime previsto na legislação aplicável, devendo ser sempre garantido ao assinante o acesso a comunicações de emergência durante o período de suspensão.</w:t>
      </w:r>
    </w:p>
    <w:p w14:paraId="11FF49B7" w14:textId="77777777" w:rsidR="008B2B96" w:rsidRDefault="008B2B96">
      <w:pPr>
        <w:pBdr>
          <w:top w:val="nil"/>
          <w:left w:val="nil"/>
          <w:bottom w:val="nil"/>
          <w:right w:val="nil"/>
          <w:between w:val="nil"/>
        </w:pBdr>
        <w:spacing w:after="120"/>
        <w:jc w:val="both"/>
      </w:pPr>
    </w:p>
    <w:p w14:paraId="09BB9A05" w14:textId="77777777" w:rsidR="008B2B96" w:rsidRDefault="008B2B96">
      <w:pPr>
        <w:pBdr>
          <w:top w:val="nil"/>
          <w:left w:val="nil"/>
          <w:bottom w:val="nil"/>
          <w:right w:val="nil"/>
          <w:between w:val="nil"/>
        </w:pBdr>
        <w:spacing w:after="120"/>
        <w:jc w:val="both"/>
      </w:pPr>
    </w:p>
    <w:p w14:paraId="7D106F8E" w14:textId="77777777" w:rsidR="008B2B96" w:rsidRDefault="008B2B96">
      <w:pPr>
        <w:pBdr>
          <w:top w:val="nil"/>
          <w:left w:val="nil"/>
          <w:bottom w:val="nil"/>
          <w:right w:val="nil"/>
          <w:between w:val="nil"/>
        </w:pBdr>
        <w:spacing w:after="120"/>
        <w:jc w:val="both"/>
      </w:pPr>
    </w:p>
    <w:p w14:paraId="7A948E32" w14:textId="77777777" w:rsidR="008B2B96" w:rsidRDefault="00000000">
      <w:pPr>
        <w:pBdr>
          <w:top w:val="nil"/>
          <w:left w:val="nil"/>
          <w:bottom w:val="nil"/>
          <w:right w:val="nil"/>
          <w:between w:val="nil"/>
        </w:pBdr>
        <w:spacing w:after="100"/>
        <w:jc w:val="center"/>
      </w:pPr>
      <w:r>
        <w:t xml:space="preserve">Artigo 27.º </w:t>
      </w:r>
    </w:p>
    <w:p w14:paraId="30201EDC" w14:textId="77777777" w:rsidR="008B2B96" w:rsidRDefault="00000000">
      <w:pPr>
        <w:pBdr>
          <w:top w:val="nil"/>
          <w:left w:val="nil"/>
          <w:bottom w:val="nil"/>
          <w:right w:val="nil"/>
          <w:between w:val="nil"/>
        </w:pBdr>
        <w:spacing w:after="100"/>
        <w:jc w:val="center"/>
        <w:rPr>
          <w:b/>
          <w:bCs/>
          <w:color w:val="000000"/>
        </w:rPr>
      </w:pPr>
      <w:r>
        <w:rPr>
          <w:b/>
          <w:bCs/>
          <w:color w:val="000000"/>
        </w:rPr>
        <w:t>(Proteção de dados, privacidade e cooperação legal)</w:t>
      </w:r>
    </w:p>
    <w:p w14:paraId="5B4C99CA" w14:textId="77777777" w:rsidR="008B2B96" w:rsidRDefault="00000000">
      <w:pPr>
        <w:numPr>
          <w:ilvl w:val="0"/>
          <w:numId w:val="41"/>
        </w:numPr>
        <w:pBdr>
          <w:top w:val="nil"/>
          <w:left w:val="nil"/>
          <w:bottom w:val="nil"/>
          <w:right w:val="nil"/>
          <w:between w:val="nil"/>
        </w:pBdr>
        <w:spacing w:after="120"/>
        <w:jc w:val="both"/>
        <w:rPr>
          <w:color w:val="000000"/>
        </w:rPr>
      </w:pPr>
      <w:r>
        <w:rPr>
          <w:color w:val="000000"/>
        </w:rPr>
        <w:t>As entidades abrangidas pelo presente Regulamento devem cumprir a legislação aplicável em matéria de proteção de dados pessoais, privacidade, confidencialidade e segurança das comunicações, no tratamento de dados e comunicações associados às redes, serviços, estações, terminais, sistemas ou plataformas que utilizem ou explorem.</w:t>
      </w:r>
    </w:p>
    <w:p w14:paraId="24B4B93E" w14:textId="77777777" w:rsidR="008B2B96" w:rsidRDefault="00000000">
      <w:pPr>
        <w:numPr>
          <w:ilvl w:val="0"/>
          <w:numId w:val="41"/>
        </w:numPr>
        <w:pBdr>
          <w:top w:val="nil"/>
          <w:left w:val="nil"/>
          <w:bottom w:val="nil"/>
          <w:right w:val="nil"/>
          <w:between w:val="nil"/>
        </w:pBdr>
        <w:spacing w:after="120"/>
        <w:jc w:val="both"/>
        <w:rPr>
          <w:color w:val="000000"/>
        </w:rPr>
      </w:pPr>
      <w:r>
        <w:rPr>
          <w:color w:val="000000"/>
        </w:rPr>
        <w:t>As entidades abrangidas devem dispor de mecanismos técnicos, organizativos e procedimentais adequados para responder a solicitações legalmente admissíveis relacionadas com segurança das comunicações, gestão de incidentes, proteção civil, fiscalização, investigação ou cumprimento de obrigações legais, incluindo em matéria de interceção legal das comunicações.</w:t>
      </w:r>
    </w:p>
    <w:p w14:paraId="443357B7"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VIII </w:t>
      </w:r>
    </w:p>
    <w:p w14:paraId="00B8D94E" w14:textId="77777777" w:rsidR="008B2B96" w:rsidRDefault="00000000">
      <w:pPr>
        <w:pBdr>
          <w:top w:val="nil"/>
          <w:left w:val="nil"/>
          <w:bottom w:val="nil"/>
          <w:right w:val="nil"/>
          <w:between w:val="nil"/>
        </w:pBdr>
        <w:spacing w:before="200" w:after="200"/>
        <w:jc w:val="center"/>
        <w:rPr>
          <w:b/>
          <w:bCs/>
          <w:color w:val="000000"/>
        </w:rPr>
      </w:pPr>
      <w:r>
        <w:rPr>
          <w:b/>
          <w:bCs/>
          <w:color w:val="000000"/>
        </w:rPr>
        <w:lastRenderedPageBreak/>
        <w:t xml:space="preserve"> Concorrência, Acesso, Interligação e Partilha de Infraestruturas</w:t>
      </w:r>
    </w:p>
    <w:p w14:paraId="4E75464C" w14:textId="77777777" w:rsidR="008B2B96" w:rsidRDefault="00000000">
      <w:pPr>
        <w:pBdr>
          <w:top w:val="nil"/>
          <w:left w:val="nil"/>
          <w:bottom w:val="nil"/>
          <w:right w:val="nil"/>
          <w:between w:val="nil"/>
        </w:pBdr>
        <w:spacing w:after="100"/>
        <w:jc w:val="center"/>
        <w:rPr>
          <w:color w:val="000000"/>
        </w:rPr>
      </w:pPr>
      <w:r>
        <w:rPr>
          <w:color w:val="000000"/>
        </w:rPr>
        <w:t xml:space="preserve">Artigo 28.º </w:t>
      </w:r>
    </w:p>
    <w:p w14:paraId="0416BDF6" w14:textId="77777777" w:rsidR="008B2B96" w:rsidRDefault="00000000">
      <w:pPr>
        <w:pBdr>
          <w:top w:val="nil"/>
          <w:left w:val="nil"/>
          <w:bottom w:val="nil"/>
          <w:right w:val="nil"/>
          <w:between w:val="nil"/>
        </w:pBdr>
        <w:spacing w:after="100"/>
        <w:jc w:val="center"/>
        <w:rPr>
          <w:b/>
          <w:bCs/>
          <w:color w:val="000000"/>
        </w:rPr>
      </w:pPr>
      <w:r>
        <w:rPr>
          <w:b/>
          <w:bCs/>
          <w:color w:val="000000"/>
        </w:rPr>
        <w:t>(Concorrência e acesso ao mercado)</w:t>
      </w:r>
    </w:p>
    <w:p w14:paraId="778237F7" w14:textId="77777777" w:rsidR="008B2B96" w:rsidRDefault="00000000">
      <w:pPr>
        <w:numPr>
          <w:ilvl w:val="0"/>
          <w:numId w:val="42"/>
        </w:numPr>
        <w:pBdr>
          <w:top w:val="nil"/>
          <w:left w:val="nil"/>
          <w:bottom w:val="nil"/>
          <w:right w:val="nil"/>
          <w:between w:val="nil"/>
        </w:pBdr>
        <w:spacing w:after="120"/>
        <w:jc w:val="both"/>
        <w:rPr>
          <w:color w:val="000000"/>
        </w:rPr>
      </w:pPr>
      <w:r>
        <w:rPr>
          <w:color w:val="000000"/>
        </w:rPr>
        <w:t>A ARN, no exercício das suas competências, deve promover o acesso ao mercado de comunicações por satélite em condições objetivas, transparentes, proporcionais e não discriminatórias, em conformidade com legislação aplicável, o presente Regulamento e os princípios previstos no artigo 4.º.</w:t>
      </w:r>
    </w:p>
    <w:p w14:paraId="59AA085F" w14:textId="77777777" w:rsidR="008B2B96" w:rsidRDefault="00000000">
      <w:pPr>
        <w:numPr>
          <w:ilvl w:val="0"/>
          <w:numId w:val="42"/>
        </w:numPr>
        <w:pBdr>
          <w:top w:val="nil"/>
          <w:left w:val="nil"/>
          <w:bottom w:val="nil"/>
          <w:right w:val="nil"/>
          <w:between w:val="nil"/>
        </w:pBdr>
        <w:spacing w:after="120"/>
        <w:jc w:val="both"/>
        <w:rPr>
          <w:color w:val="000000"/>
        </w:rPr>
      </w:pPr>
      <w:r>
        <w:rPr>
          <w:color w:val="000000"/>
        </w:rPr>
        <w:t>As entidades abrangidas pelo presente Regulamento não devem adotar práticas discriminatórias, injustificadas ou desproporcionadas que restrinjam ou distorçam a concorrência, limitem indevidamente o acesso à capacidade de satélite, dificultem a interoperabilidade, criem obstáculos injustificados à entrada ou expansão de outros prestadores ou prejudiquem a escolha dos utilizadores.</w:t>
      </w:r>
    </w:p>
    <w:p w14:paraId="6B101846" w14:textId="77777777" w:rsidR="008B2B96" w:rsidRDefault="00000000">
      <w:pPr>
        <w:numPr>
          <w:ilvl w:val="0"/>
          <w:numId w:val="42"/>
        </w:numPr>
        <w:pBdr>
          <w:top w:val="nil"/>
          <w:left w:val="nil"/>
          <w:bottom w:val="nil"/>
          <w:right w:val="nil"/>
          <w:between w:val="nil"/>
        </w:pBdr>
        <w:spacing w:after="120"/>
        <w:jc w:val="both"/>
        <w:rPr>
          <w:color w:val="000000"/>
        </w:rPr>
      </w:pPr>
      <w:r>
        <w:rPr>
          <w:color w:val="000000"/>
        </w:rPr>
        <w:t>Sempre que se identifique indícios de práticas restritivas da concorrência, a ARN pode articular-se com a entidade competente em matéria de concorrência, sem prejuízo das suas competências próprias de regulação setorial.</w:t>
      </w:r>
    </w:p>
    <w:p w14:paraId="6380279E" w14:textId="77777777" w:rsidR="008B2B96" w:rsidRDefault="00000000">
      <w:pPr>
        <w:numPr>
          <w:ilvl w:val="0"/>
          <w:numId w:val="42"/>
        </w:numPr>
        <w:pBdr>
          <w:top w:val="nil"/>
          <w:left w:val="nil"/>
          <w:bottom w:val="nil"/>
          <w:right w:val="nil"/>
          <w:between w:val="nil"/>
        </w:pBdr>
        <w:spacing w:after="120"/>
        <w:jc w:val="both"/>
        <w:rPr>
          <w:color w:val="000000"/>
        </w:rPr>
      </w:pPr>
      <w:r>
        <w:rPr>
          <w:color w:val="000000"/>
        </w:rPr>
        <w:t>A intervenção da ARN em matérias de acesso, interoperabilidade, capacidade de satélite, interligação ou recursos associados deve observar os princípios da proporcionalidade, transparência, não discriminação, neutralidade tecnológica e promoção da concorrência efetiva.</w:t>
      </w:r>
    </w:p>
    <w:p w14:paraId="467CD1B5" w14:textId="77777777" w:rsidR="008B2B96" w:rsidRDefault="008B2B96">
      <w:pPr>
        <w:pBdr>
          <w:top w:val="nil"/>
          <w:left w:val="nil"/>
          <w:bottom w:val="nil"/>
          <w:right w:val="nil"/>
          <w:between w:val="nil"/>
        </w:pBdr>
        <w:spacing w:after="120"/>
        <w:ind w:left="360"/>
        <w:jc w:val="both"/>
        <w:rPr>
          <w:color w:val="000000"/>
        </w:rPr>
      </w:pPr>
    </w:p>
    <w:p w14:paraId="3D85E984" w14:textId="77777777" w:rsidR="008B2B96" w:rsidRDefault="00000000">
      <w:pPr>
        <w:pBdr>
          <w:top w:val="nil"/>
          <w:left w:val="nil"/>
          <w:bottom w:val="nil"/>
          <w:right w:val="nil"/>
          <w:between w:val="nil"/>
        </w:pBdr>
        <w:spacing w:after="100"/>
        <w:jc w:val="center"/>
        <w:rPr>
          <w:color w:val="000000"/>
        </w:rPr>
      </w:pPr>
      <w:r>
        <w:rPr>
          <w:color w:val="000000"/>
        </w:rPr>
        <w:t xml:space="preserve">Artigo 29.º </w:t>
      </w:r>
    </w:p>
    <w:p w14:paraId="555C41D9" w14:textId="77777777" w:rsidR="008B2B96" w:rsidRDefault="00000000">
      <w:pPr>
        <w:pBdr>
          <w:top w:val="nil"/>
          <w:left w:val="nil"/>
          <w:bottom w:val="nil"/>
          <w:right w:val="nil"/>
          <w:between w:val="nil"/>
        </w:pBdr>
        <w:spacing w:after="100"/>
        <w:jc w:val="center"/>
        <w:rPr>
          <w:b/>
          <w:bCs/>
          <w:color w:val="000000"/>
        </w:rPr>
      </w:pPr>
      <w:r>
        <w:rPr>
          <w:b/>
          <w:bCs/>
          <w:color w:val="000000"/>
        </w:rPr>
        <w:t>(Interligação e acesso)</w:t>
      </w:r>
    </w:p>
    <w:p w14:paraId="4F56F3F4" w14:textId="77777777" w:rsidR="008B2B96" w:rsidRDefault="00000000">
      <w:pPr>
        <w:numPr>
          <w:ilvl w:val="0"/>
          <w:numId w:val="44"/>
        </w:numPr>
        <w:pBdr>
          <w:top w:val="nil"/>
          <w:left w:val="nil"/>
          <w:bottom w:val="nil"/>
          <w:right w:val="nil"/>
          <w:between w:val="nil"/>
        </w:pBdr>
        <w:spacing w:after="120"/>
        <w:jc w:val="both"/>
        <w:rPr>
          <w:color w:val="000000"/>
        </w:rPr>
      </w:pPr>
      <w:r>
        <w:rPr>
          <w:color w:val="000000"/>
        </w:rPr>
        <w:t>A interligação e o acesso entre redes ou serviços de comunicações por satélite e redes ou serviços terrestres devem respeitar o regime jurídico estabelecido no diploma específico, no presente Regulamento e nas condições previstas nos respetivos títulos ou acordos aplicáveis.</w:t>
      </w:r>
    </w:p>
    <w:p w14:paraId="55D9B47A" w14:textId="77777777" w:rsidR="008B2B96" w:rsidRDefault="00000000">
      <w:pPr>
        <w:numPr>
          <w:ilvl w:val="0"/>
          <w:numId w:val="44"/>
        </w:numPr>
        <w:pBdr>
          <w:top w:val="nil"/>
          <w:left w:val="nil"/>
          <w:bottom w:val="nil"/>
          <w:right w:val="nil"/>
          <w:between w:val="nil"/>
        </w:pBdr>
        <w:spacing w:after="120"/>
        <w:jc w:val="both"/>
        <w:rPr>
          <w:color w:val="000000"/>
        </w:rPr>
      </w:pPr>
      <w:r>
        <w:rPr>
          <w:color w:val="000000"/>
        </w:rPr>
        <w:t xml:space="preserve">As entidades envolvidas devem negociar de boa-fé os acordos de interligação, acesso, itinerância, </w:t>
      </w:r>
      <w:proofErr w:type="spellStart"/>
      <w:r>
        <w:rPr>
          <w:i/>
          <w:iCs/>
          <w:color w:val="000000"/>
        </w:rPr>
        <w:t>backhaul</w:t>
      </w:r>
      <w:proofErr w:type="spellEnd"/>
      <w:r>
        <w:rPr>
          <w:color w:val="000000"/>
        </w:rPr>
        <w:t>, revenda, prestação grossista, interoperabilidade ou outros mecanismos de integração técnica e comercial, quando aplicáveis, em condições objetivas, transparentes, proporcionais e não discriminatórias.</w:t>
      </w:r>
    </w:p>
    <w:p w14:paraId="1BED882F" w14:textId="77777777" w:rsidR="008B2B96" w:rsidRDefault="00000000">
      <w:pPr>
        <w:numPr>
          <w:ilvl w:val="0"/>
          <w:numId w:val="44"/>
        </w:numPr>
        <w:pBdr>
          <w:top w:val="nil"/>
          <w:left w:val="nil"/>
          <w:bottom w:val="nil"/>
          <w:right w:val="nil"/>
          <w:between w:val="nil"/>
        </w:pBdr>
        <w:spacing w:after="120"/>
        <w:jc w:val="both"/>
        <w:rPr>
          <w:color w:val="000000"/>
        </w:rPr>
      </w:pPr>
      <w:r>
        <w:rPr>
          <w:color w:val="000000"/>
        </w:rPr>
        <w:t>A ARN pode intervir, por decisão fundamentada e proporcional, quando estejam em causa recusa injustificada de acesso ou interligação, condições discriminatórias ou desproporcionadas, acesso a recursos essenciais, proteção dos utilizadores, promoção da concorrência efetiva, interoperabilidade ou continuidade de serviços críticos.</w:t>
      </w:r>
    </w:p>
    <w:p w14:paraId="028E4114" w14:textId="77777777" w:rsidR="008B2B96" w:rsidRDefault="00000000">
      <w:pPr>
        <w:numPr>
          <w:ilvl w:val="0"/>
          <w:numId w:val="44"/>
        </w:numPr>
        <w:pBdr>
          <w:top w:val="nil"/>
          <w:left w:val="nil"/>
          <w:bottom w:val="nil"/>
          <w:right w:val="nil"/>
          <w:between w:val="nil"/>
        </w:pBdr>
        <w:spacing w:after="120"/>
        <w:jc w:val="both"/>
        <w:rPr>
          <w:color w:val="000000"/>
        </w:rPr>
      </w:pPr>
      <w:r>
        <w:rPr>
          <w:color w:val="000000"/>
        </w:rPr>
        <w:t>Os acordos de interligação devem ser comunicados à ARN.</w:t>
      </w:r>
    </w:p>
    <w:p w14:paraId="2663531D" w14:textId="77777777" w:rsidR="008B2B96" w:rsidRDefault="00000000">
      <w:pPr>
        <w:pBdr>
          <w:top w:val="nil"/>
          <w:left w:val="nil"/>
          <w:bottom w:val="nil"/>
          <w:right w:val="nil"/>
          <w:between w:val="nil"/>
        </w:pBdr>
        <w:spacing w:after="100"/>
        <w:jc w:val="center"/>
        <w:rPr>
          <w:color w:val="000000"/>
        </w:rPr>
      </w:pPr>
      <w:r>
        <w:rPr>
          <w:color w:val="000000"/>
        </w:rPr>
        <w:t xml:space="preserve">Artigo 30.º </w:t>
      </w:r>
    </w:p>
    <w:p w14:paraId="4B7857E1" w14:textId="77777777" w:rsidR="008B2B96" w:rsidRDefault="00000000">
      <w:pPr>
        <w:pBdr>
          <w:top w:val="nil"/>
          <w:left w:val="nil"/>
          <w:bottom w:val="nil"/>
          <w:right w:val="nil"/>
          <w:between w:val="nil"/>
        </w:pBdr>
        <w:spacing w:after="100"/>
        <w:jc w:val="center"/>
        <w:rPr>
          <w:b/>
          <w:bCs/>
          <w:color w:val="000000"/>
        </w:rPr>
      </w:pPr>
      <w:r>
        <w:rPr>
          <w:b/>
          <w:bCs/>
          <w:color w:val="000000"/>
        </w:rPr>
        <w:t>(Partilha de infraestruturas)</w:t>
      </w:r>
    </w:p>
    <w:p w14:paraId="62D02322" w14:textId="77777777" w:rsidR="008B2B96" w:rsidRDefault="00000000">
      <w:pPr>
        <w:numPr>
          <w:ilvl w:val="0"/>
          <w:numId w:val="46"/>
        </w:numPr>
        <w:pBdr>
          <w:top w:val="nil"/>
          <w:left w:val="nil"/>
          <w:bottom w:val="nil"/>
          <w:right w:val="nil"/>
          <w:between w:val="nil"/>
        </w:pBdr>
        <w:spacing w:after="120"/>
        <w:jc w:val="both"/>
        <w:rPr>
          <w:color w:val="000000"/>
        </w:rPr>
      </w:pPr>
      <w:r>
        <w:rPr>
          <w:color w:val="000000"/>
        </w:rPr>
        <w:t>A partilha de infraestruturas associadas a redes e serviços de comunicações por satélite deve ser promovida sempre que seja tecnicamente viável, economicamente razoável, compatível com a segurança e integridade das redes e adequada à utilização eficiente de recursos, à redução de impactos territoriais ou ambientais, à promoção da concorrência efetiva e ao reforço da cobertura em zonas remotas, mal servidas ou prioritárias.</w:t>
      </w:r>
    </w:p>
    <w:p w14:paraId="65E0CBBB" w14:textId="77777777" w:rsidR="008B2B96" w:rsidRDefault="00000000">
      <w:pPr>
        <w:numPr>
          <w:ilvl w:val="0"/>
          <w:numId w:val="46"/>
        </w:numPr>
        <w:pBdr>
          <w:top w:val="nil"/>
          <w:left w:val="nil"/>
          <w:bottom w:val="nil"/>
          <w:right w:val="nil"/>
          <w:between w:val="nil"/>
        </w:pBdr>
        <w:spacing w:after="120"/>
        <w:jc w:val="both"/>
        <w:rPr>
          <w:color w:val="000000"/>
        </w:rPr>
      </w:pPr>
      <w:r>
        <w:rPr>
          <w:color w:val="000000"/>
        </w:rPr>
        <w:lastRenderedPageBreak/>
        <w:t xml:space="preserve">A partilha pode abranger, designadamente, </w:t>
      </w:r>
      <w:proofErr w:type="spellStart"/>
      <w:r>
        <w:rPr>
          <w:i/>
          <w:iCs/>
          <w:color w:val="000000"/>
        </w:rPr>
        <w:t>gateways</w:t>
      </w:r>
      <w:proofErr w:type="spellEnd"/>
      <w:r>
        <w:rPr>
          <w:color w:val="000000"/>
        </w:rPr>
        <w:t xml:space="preserve"> de satélite, estações terrenas, pontos de presença, espaços técnicos, sistemas de alimentação, energia, climatização, infraestruturas passivas de suporte e outras infraestruturas diretamente associadas à instalação, exploração ou interligação de redes e serviços de comunicações por satélite, incluindo torres, mastros, postes, condutas ou outros suportes físicos necessários em zonas remotas, insulares, mal servidas ou prioritárias.</w:t>
      </w:r>
    </w:p>
    <w:p w14:paraId="7BF4B2DA" w14:textId="77777777" w:rsidR="008B2B96" w:rsidRDefault="00000000">
      <w:pPr>
        <w:numPr>
          <w:ilvl w:val="0"/>
          <w:numId w:val="46"/>
        </w:numPr>
        <w:pBdr>
          <w:top w:val="nil"/>
          <w:left w:val="nil"/>
          <w:bottom w:val="nil"/>
          <w:right w:val="nil"/>
          <w:between w:val="nil"/>
        </w:pBdr>
        <w:spacing w:after="120"/>
        <w:jc w:val="both"/>
        <w:rPr>
          <w:color w:val="000000"/>
        </w:rPr>
      </w:pPr>
      <w:r>
        <w:rPr>
          <w:color w:val="000000"/>
        </w:rPr>
        <w:t>A ARN pode, mediante decisão fundamentada e proporcional, promover, incentivar ou determinar medidas de partilha de infraestruturas quando tal se revele necessário para evitar duplicações ineficientes, promover a concorrência efetiva, reduzir impactos territoriais ou ambientais, assegurar conetividade em zonas prioritárias ou garantir a utilização eficiente de recursos, tendo em conta a compatibilidade técnica, a segurança das redes, a capacidade disponível, os direitos existentes e, quando aplicável, condições objetivas e razoáveis de remuneração.</w:t>
      </w:r>
    </w:p>
    <w:p w14:paraId="757E40F0" w14:textId="77777777" w:rsidR="008B2B96" w:rsidRDefault="00000000">
      <w:pPr>
        <w:numPr>
          <w:ilvl w:val="0"/>
          <w:numId w:val="46"/>
        </w:numPr>
        <w:pBdr>
          <w:top w:val="nil"/>
          <w:left w:val="nil"/>
          <w:bottom w:val="nil"/>
          <w:right w:val="nil"/>
          <w:between w:val="nil"/>
        </w:pBdr>
        <w:spacing w:after="120"/>
        <w:jc w:val="both"/>
        <w:rPr>
          <w:color w:val="000000"/>
        </w:rPr>
      </w:pPr>
      <w:r>
        <w:rPr>
          <w:color w:val="000000"/>
        </w:rPr>
        <w:t xml:space="preserve">A partilha de infraestruturas não prejudica o cumprimento das condições técnicas, de segurança, manutenção, responsabilidade, proteção de dados, confidencialidade, prevenção de interferências prejudiciais, </w:t>
      </w:r>
      <w:r>
        <w:t>reporte</w:t>
      </w:r>
      <w:r>
        <w:rPr>
          <w:color w:val="000000"/>
        </w:rPr>
        <w:t xml:space="preserve"> e fiscalização aplicáveis.</w:t>
      </w:r>
    </w:p>
    <w:p w14:paraId="078E3F30" w14:textId="77777777" w:rsidR="008B2B96" w:rsidRDefault="008B2B96">
      <w:pPr>
        <w:pBdr>
          <w:top w:val="nil"/>
          <w:left w:val="nil"/>
          <w:bottom w:val="nil"/>
          <w:right w:val="nil"/>
          <w:between w:val="nil"/>
        </w:pBdr>
        <w:spacing w:after="120"/>
        <w:ind w:left="360"/>
        <w:jc w:val="both"/>
      </w:pPr>
    </w:p>
    <w:p w14:paraId="771ABB9F" w14:textId="77777777" w:rsidR="008B2B96" w:rsidRDefault="00000000">
      <w:pPr>
        <w:pBdr>
          <w:top w:val="nil"/>
          <w:left w:val="nil"/>
          <w:bottom w:val="nil"/>
          <w:right w:val="nil"/>
          <w:between w:val="nil"/>
        </w:pBdr>
        <w:spacing w:after="120"/>
        <w:jc w:val="center"/>
        <w:rPr>
          <w:color w:val="000000"/>
        </w:rPr>
      </w:pPr>
      <w:r>
        <w:rPr>
          <w:color w:val="000000"/>
        </w:rPr>
        <w:t xml:space="preserve">CAPÍTULO IX </w:t>
      </w:r>
    </w:p>
    <w:p w14:paraId="579CC2E3" w14:textId="77777777" w:rsidR="008B2B96" w:rsidRDefault="00000000">
      <w:pPr>
        <w:pBdr>
          <w:top w:val="nil"/>
          <w:left w:val="nil"/>
          <w:bottom w:val="nil"/>
          <w:right w:val="nil"/>
          <w:between w:val="nil"/>
        </w:pBdr>
        <w:spacing w:after="120"/>
        <w:jc w:val="center"/>
        <w:rPr>
          <w:b/>
          <w:bCs/>
          <w:color w:val="000000"/>
        </w:rPr>
      </w:pPr>
      <w:r>
        <w:rPr>
          <w:b/>
          <w:bCs/>
          <w:color w:val="000000"/>
        </w:rPr>
        <w:t>Prestação de Informação, Supervisão e Fiscalização</w:t>
      </w:r>
    </w:p>
    <w:p w14:paraId="33ED6FAF" w14:textId="77777777" w:rsidR="008B2B96" w:rsidRDefault="00000000">
      <w:pPr>
        <w:pBdr>
          <w:top w:val="nil"/>
          <w:left w:val="nil"/>
          <w:bottom w:val="nil"/>
          <w:right w:val="nil"/>
          <w:between w:val="nil"/>
        </w:pBdr>
        <w:spacing w:after="100"/>
        <w:jc w:val="center"/>
        <w:rPr>
          <w:color w:val="000000"/>
        </w:rPr>
      </w:pPr>
      <w:r>
        <w:rPr>
          <w:color w:val="000000"/>
        </w:rPr>
        <w:t xml:space="preserve">Artigo 31.º </w:t>
      </w:r>
    </w:p>
    <w:p w14:paraId="36E251A9" w14:textId="77777777" w:rsidR="008B2B96" w:rsidRDefault="00000000">
      <w:pPr>
        <w:pBdr>
          <w:top w:val="nil"/>
          <w:left w:val="nil"/>
          <w:bottom w:val="nil"/>
          <w:right w:val="nil"/>
          <w:between w:val="nil"/>
        </w:pBdr>
        <w:spacing w:after="100"/>
        <w:jc w:val="center"/>
        <w:rPr>
          <w:b/>
          <w:bCs/>
          <w:color w:val="000000"/>
        </w:rPr>
      </w:pPr>
      <w:r>
        <w:rPr>
          <w:b/>
          <w:bCs/>
          <w:color w:val="000000"/>
        </w:rPr>
        <w:t>(Deveres de prestação de informação)</w:t>
      </w:r>
    </w:p>
    <w:p w14:paraId="23638601" w14:textId="77777777" w:rsidR="008B2B96" w:rsidRDefault="00000000">
      <w:pPr>
        <w:numPr>
          <w:ilvl w:val="0"/>
          <w:numId w:val="47"/>
        </w:numPr>
        <w:pBdr>
          <w:top w:val="nil"/>
          <w:left w:val="nil"/>
          <w:bottom w:val="nil"/>
          <w:right w:val="nil"/>
          <w:between w:val="nil"/>
        </w:pBdr>
        <w:spacing w:after="120"/>
        <w:jc w:val="both"/>
        <w:rPr>
          <w:color w:val="000000"/>
        </w:rPr>
      </w:pPr>
      <w:r>
        <w:rPr>
          <w:color w:val="000000"/>
        </w:rPr>
        <w:t>As entidades abrangidas pelo presente Regulamento devem prestar à ARN informação periódica, eventual ou imediata nos termos da legislação aplicável, do presente Regulamento, dos títulos ou de deliberação fundamentada da ARN, observando a periodicidade, o formato, os prazos e o conteúdo mínimo que sejam definidos.</w:t>
      </w:r>
    </w:p>
    <w:p w14:paraId="3C18A463" w14:textId="77777777" w:rsidR="008B2B96" w:rsidRDefault="00000000">
      <w:pPr>
        <w:numPr>
          <w:ilvl w:val="0"/>
          <w:numId w:val="47"/>
        </w:numPr>
        <w:pBdr>
          <w:top w:val="nil"/>
          <w:left w:val="nil"/>
          <w:bottom w:val="nil"/>
          <w:right w:val="nil"/>
          <w:between w:val="nil"/>
        </w:pBdr>
        <w:spacing w:after="120"/>
        <w:jc w:val="both"/>
        <w:rPr>
          <w:color w:val="000000"/>
        </w:rPr>
      </w:pPr>
      <w:r>
        <w:rPr>
          <w:color w:val="000000"/>
        </w:rPr>
        <w:t>Os relatórios referidos no número anterior podem incluir, quando aplicável e em função da natureza, escala e risco da atividade, informação técnica, operacional, comercial, financeira e estatística sobre o estado operacional, frequências utilizadas, cobertura, disponibilidade, qualidade de serviço, utilizadores ou acessos, capacidade, incidentes, interferências, coordenação nacional ou internacional, alterações técnicas, segurança, continuidade, medidas de proteção dos utilizadores, reclamações e indicadores de desempenho.</w:t>
      </w:r>
    </w:p>
    <w:p w14:paraId="18674382" w14:textId="77777777" w:rsidR="008B2B96" w:rsidRDefault="00000000">
      <w:pPr>
        <w:numPr>
          <w:ilvl w:val="0"/>
          <w:numId w:val="47"/>
        </w:numPr>
        <w:pBdr>
          <w:top w:val="nil"/>
          <w:left w:val="nil"/>
          <w:bottom w:val="nil"/>
          <w:right w:val="nil"/>
          <w:between w:val="nil"/>
        </w:pBdr>
        <w:spacing w:after="120"/>
        <w:jc w:val="both"/>
        <w:rPr>
          <w:color w:val="000000"/>
        </w:rPr>
      </w:pPr>
      <w:r>
        <w:rPr>
          <w:color w:val="000000"/>
        </w:rPr>
        <w:t xml:space="preserve">Sem prejuízo da prestação de informações periódicas, </w:t>
      </w:r>
      <w:r>
        <w:t>as entidades</w:t>
      </w:r>
      <w:r>
        <w:rPr>
          <w:color w:val="000000"/>
        </w:rPr>
        <w:t xml:space="preserve"> abrangidas devem comunicar à ARN, logo que tenham conhecimento, incidentes relevantes, interferências prejudiciais, alterações técnicas ou operacionais significativas, falhas graves de serviço, riscos para a segurança ou continuidade, ou factos suscetíveis de afetar os títulos, condições ou enquadramentos aplicáveis.</w:t>
      </w:r>
    </w:p>
    <w:p w14:paraId="4C958806" w14:textId="77777777" w:rsidR="008B2B96" w:rsidRDefault="00000000">
      <w:pPr>
        <w:numPr>
          <w:ilvl w:val="0"/>
          <w:numId w:val="47"/>
        </w:numPr>
        <w:pBdr>
          <w:top w:val="nil"/>
          <w:left w:val="nil"/>
          <w:bottom w:val="nil"/>
          <w:right w:val="nil"/>
          <w:between w:val="nil"/>
        </w:pBdr>
        <w:spacing w:after="120"/>
        <w:jc w:val="both"/>
        <w:rPr>
          <w:color w:val="000000"/>
        </w:rPr>
      </w:pPr>
      <w:r>
        <w:rPr>
          <w:color w:val="000000"/>
        </w:rPr>
        <w:t>A informação prestada à ARN é tratada, observando o princípio de proteção de dados pessoais, do sigilo comercial, industrial ou técnico e das obrigações de divulgação pública legalmente aplicáveis.</w:t>
      </w:r>
    </w:p>
    <w:p w14:paraId="1F90380E" w14:textId="77777777" w:rsidR="008B2B96" w:rsidRDefault="00000000">
      <w:pPr>
        <w:pBdr>
          <w:top w:val="nil"/>
          <w:left w:val="nil"/>
          <w:bottom w:val="nil"/>
          <w:right w:val="nil"/>
          <w:between w:val="nil"/>
        </w:pBdr>
        <w:spacing w:after="100"/>
        <w:jc w:val="center"/>
        <w:rPr>
          <w:color w:val="000000"/>
        </w:rPr>
      </w:pPr>
      <w:r>
        <w:rPr>
          <w:color w:val="000000"/>
        </w:rPr>
        <w:t xml:space="preserve">Artigo 32.º </w:t>
      </w:r>
    </w:p>
    <w:p w14:paraId="7AC33DCF" w14:textId="77777777" w:rsidR="008B2B96" w:rsidRDefault="00000000">
      <w:pPr>
        <w:pBdr>
          <w:top w:val="nil"/>
          <w:left w:val="nil"/>
          <w:bottom w:val="nil"/>
          <w:right w:val="nil"/>
          <w:between w:val="nil"/>
        </w:pBdr>
        <w:spacing w:after="100"/>
        <w:jc w:val="center"/>
        <w:rPr>
          <w:b/>
          <w:bCs/>
          <w:color w:val="000000"/>
        </w:rPr>
      </w:pPr>
      <w:r>
        <w:rPr>
          <w:b/>
          <w:bCs/>
          <w:color w:val="000000"/>
        </w:rPr>
        <w:t>(Fiscalização)</w:t>
      </w:r>
    </w:p>
    <w:p w14:paraId="2F272E67" w14:textId="77777777" w:rsidR="008B2B96" w:rsidRDefault="00000000">
      <w:pPr>
        <w:numPr>
          <w:ilvl w:val="0"/>
          <w:numId w:val="48"/>
        </w:numPr>
        <w:pBdr>
          <w:top w:val="nil"/>
          <w:left w:val="nil"/>
          <w:bottom w:val="nil"/>
          <w:right w:val="nil"/>
          <w:between w:val="nil"/>
        </w:pBdr>
        <w:spacing w:after="120"/>
        <w:jc w:val="both"/>
        <w:rPr>
          <w:color w:val="000000"/>
        </w:rPr>
      </w:pPr>
      <w:r>
        <w:rPr>
          <w:color w:val="000000"/>
        </w:rPr>
        <w:t>A ARN fiscaliza, no exercício das suas competências legais, o cumprimento do presente Regulamento, dos títulos habilitantes, decisões, deliberações e demais condições técnicas, operacionais ou procedimentais aplicáveis.</w:t>
      </w:r>
    </w:p>
    <w:p w14:paraId="0D2BF72B" w14:textId="77777777" w:rsidR="008B2B96" w:rsidRDefault="00000000">
      <w:pPr>
        <w:numPr>
          <w:ilvl w:val="0"/>
          <w:numId w:val="48"/>
        </w:numPr>
        <w:pBdr>
          <w:top w:val="nil"/>
          <w:left w:val="nil"/>
          <w:bottom w:val="nil"/>
          <w:right w:val="nil"/>
          <w:between w:val="nil"/>
        </w:pBdr>
        <w:spacing w:after="120"/>
        <w:jc w:val="both"/>
        <w:rPr>
          <w:color w:val="000000"/>
        </w:rPr>
      </w:pPr>
      <w:r>
        <w:rPr>
          <w:color w:val="000000"/>
        </w:rPr>
        <w:lastRenderedPageBreak/>
        <w:t>Para efeitos de fiscalização, a ARN pode solicitar informações, documentos ou registos, realizar inspeções, efetuar medições técnicas, exigir demonstração de conformidade técnica ou documental, verificar equipamentos, instalações, redes, estações, terminais, sistemas ou serviços e praticar os demais atos necessários ao exercício das suas competências.</w:t>
      </w:r>
    </w:p>
    <w:p w14:paraId="6AB5E69D" w14:textId="77777777" w:rsidR="008B2B96" w:rsidRDefault="00000000">
      <w:pPr>
        <w:numPr>
          <w:ilvl w:val="0"/>
          <w:numId w:val="48"/>
        </w:numPr>
        <w:pBdr>
          <w:top w:val="nil"/>
          <w:left w:val="nil"/>
          <w:bottom w:val="nil"/>
          <w:right w:val="nil"/>
          <w:between w:val="nil"/>
        </w:pBdr>
        <w:spacing w:after="120"/>
        <w:jc w:val="both"/>
        <w:rPr>
          <w:color w:val="000000"/>
        </w:rPr>
      </w:pPr>
      <w:r>
        <w:rPr>
          <w:color w:val="000000"/>
        </w:rPr>
        <w:t>Os trabalhadores da ARN, os respetivos mandatários, bem como as pessoas ou entidades qualificadas devidamente credenciadas que desempenhem funções de fiscalização, quando se encontrem no exercício das suas funções, são equiparados a agentes de autoridade e gozam das prerrogativas específicas, incluindo o acesso a instalações, equipamentos e serviços das entidades sujeitas a inspeção e controlo da ARN, a requisição de documentos e equipamentos para análise e testes, e a identificação de infratores.</w:t>
      </w:r>
    </w:p>
    <w:p w14:paraId="5F5D0580" w14:textId="77777777" w:rsidR="008B2B96" w:rsidRDefault="00000000">
      <w:pPr>
        <w:numPr>
          <w:ilvl w:val="0"/>
          <w:numId w:val="48"/>
        </w:numPr>
        <w:pBdr>
          <w:top w:val="nil"/>
          <w:left w:val="nil"/>
          <w:bottom w:val="nil"/>
          <w:right w:val="nil"/>
          <w:between w:val="nil"/>
        </w:pBdr>
        <w:spacing w:after="120"/>
        <w:jc w:val="both"/>
        <w:rPr>
          <w:color w:val="000000"/>
        </w:rPr>
      </w:pPr>
      <w:r>
        <w:rPr>
          <w:color w:val="000000"/>
        </w:rPr>
        <w:t>Quando sejam detetadas irregularidades ou incumprimentos, a ARN pode determinar, por decisão fundamentada e proporcional, a adoção de medidas corretivas adequadas, incluindo a regularização documental, a correção de parâmetros técnicos, a cessação de utilizações não autorizadas, a mitigação de interferências prejudiciais ou outras medidas necessárias ao restabelecimento da conformidade.</w:t>
      </w:r>
    </w:p>
    <w:p w14:paraId="0EA8F1FE" w14:textId="77777777" w:rsidR="008B2B96" w:rsidRDefault="00000000">
      <w:pPr>
        <w:numPr>
          <w:ilvl w:val="0"/>
          <w:numId w:val="48"/>
        </w:numPr>
        <w:pBdr>
          <w:top w:val="nil"/>
          <w:left w:val="nil"/>
          <w:bottom w:val="nil"/>
          <w:right w:val="nil"/>
          <w:between w:val="nil"/>
        </w:pBdr>
        <w:spacing w:after="120"/>
        <w:jc w:val="both"/>
        <w:rPr>
          <w:color w:val="000000"/>
        </w:rPr>
      </w:pPr>
      <w:r>
        <w:rPr>
          <w:color w:val="000000"/>
        </w:rPr>
        <w:t>Em caso de urgência, risco grave para o espectro radioelétrico, serviços autorizados, segurança das redes, continuidade de serviços essenciais, proteção dos utilizadores ou interesse público, a ARN pode determinar medidas imediatas e provisórias, sem prejuízo da audiência dos interessados quando legalmente exigível.</w:t>
      </w:r>
    </w:p>
    <w:p w14:paraId="025865BC" w14:textId="77777777" w:rsidR="008B2B96" w:rsidRDefault="00000000">
      <w:pPr>
        <w:numPr>
          <w:ilvl w:val="0"/>
          <w:numId w:val="48"/>
        </w:numPr>
        <w:pBdr>
          <w:top w:val="nil"/>
          <w:left w:val="nil"/>
          <w:bottom w:val="nil"/>
          <w:right w:val="nil"/>
          <w:between w:val="nil"/>
        </w:pBdr>
        <w:spacing w:after="120"/>
        <w:jc w:val="both"/>
        <w:rPr>
          <w:color w:val="000000"/>
        </w:rPr>
      </w:pPr>
      <w:r>
        <w:rPr>
          <w:color w:val="000000"/>
        </w:rPr>
        <w:t>A informação obtida no âmbito da fiscalização é tratada, observando o princípio de proteção de dados pessoais, do sigilo comercial, industrial ou técnico e das obrigações de cooperação com autoridades competentes.</w:t>
      </w:r>
    </w:p>
    <w:p w14:paraId="14438337" w14:textId="77777777" w:rsidR="008B2B96" w:rsidRDefault="00000000">
      <w:pPr>
        <w:pBdr>
          <w:top w:val="nil"/>
          <w:left w:val="nil"/>
          <w:bottom w:val="nil"/>
          <w:right w:val="nil"/>
          <w:between w:val="nil"/>
        </w:pBdr>
        <w:spacing w:after="100"/>
        <w:jc w:val="center"/>
        <w:rPr>
          <w:color w:val="000000"/>
        </w:rPr>
      </w:pPr>
      <w:r>
        <w:rPr>
          <w:color w:val="000000"/>
        </w:rPr>
        <w:t xml:space="preserve">Artigo 33.º </w:t>
      </w:r>
    </w:p>
    <w:p w14:paraId="7D0D8502" w14:textId="77777777" w:rsidR="008B2B96" w:rsidRDefault="00000000">
      <w:pPr>
        <w:pBdr>
          <w:top w:val="nil"/>
          <w:left w:val="nil"/>
          <w:bottom w:val="nil"/>
          <w:right w:val="nil"/>
          <w:between w:val="nil"/>
        </w:pBdr>
        <w:spacing w:after="100"/>
        <w:jc w:val="center"/>
        <w:rPr>
          <w:b/>
          <w:bCs/>
          <w:color w:val="000000"/>
        </w:rPr>
      </w:pPr>
      <w:r>
        <w:rPr>
          <w:b/>
          <w:bCs/>
          <w:color w:val="000000"/>
        </w:rPr>
        <w:t>(Alteração, suspensão e revogação)</w:t>
      </w:r>
    </w:p>
    <w:p w14:paraId="0AB49F22" w14:textId="77777777" w:rsidR="008B2B96" w:rsidRDefault="00000000">
      <w:pPr>
        <w:numPr>
          <w:ilvl w:val="0"/>
          <w:numId w:val="49"/>
        </w:numPr>
        <w:pBdr>
          <w:top w:val="nil"/>
          <w:left w:val="nil"/>
          <w:bottom w:val="nil"/>
          <w:right w:val="nil"/>
          <w:between w:val="nil"/>
        </w:pBdr>
        <w:spacing w:after="120"/>
        <w:jc w:val="both"/>
        <w:rPr>
          <w:color w:val="000000"/>
        </w:rPr>
      </w:pPr>
      <w:r>
        <w:rPr>
          <w:color w:val="000000"/>
        </w:rPr>
        <w:t>A ARN pode, por decisão fundamentada e proporcional, alterar as condições aplicáveis aos títulos</w:t>
      </w:r>
      <w:r>
        <w:t xml:space="preserve"> habilitante</w:t>
      </w:r>
      <w:r>
        <w:rPr>
          <w:color w:val="000000"/>
        </w:rPr>
        <w:t>, decisões ou demais condições aplicáveis, quando tal se revele necessário para assegurar o cumprimento do presente Regulamento, do QNAF, das obrigações internacionais, da proteção do espectro radioelétrico, da prevenção ou mitigação de interferências prejudiciais, da segurança das redes e serviços, da proteção dos utilizadores, da continuidade de serviços essenciais ou da adaptação a alterações relevantes de facto, de direito ou de natureza tecnológica.</w:t>
      </w:r>
    </w:p>
    <w:p w14:paraId="4E498323" w14:textId="77777777" w:rsidR="008B2B96" w:rsidRDefault="00000000">
      <w:pPr>
        <w:numPr>
          <w:ilvl w:val="0"/>
          <w:numId w:val="49"/>
        </w:numPr>
        <w:pBdr>
          <w:top w:val="nil"/>
          <w:left w:val="nil"/>
          <w:bottom w:val="nil"/>
          <w:right w:val="nil"/>
          <w:between w:val="nil"/>
        </w:pBdr>
        <w:spacing w:after="120"/>
        <w:jc w:val="both"/>
        <w:rPr>
          <w:color w:val="000000"/>
        </w:rPr>
      </w:pPr>
      <w:r>
        <w:rPr>
          <w:color w:val="000000"/>
        </w:rPr>
        <w:t>A ARN pode suspender, total ou parcialmente, os títulos habilitantes</w:t>
      </w:r>
      <w:r>
        <w:t xml:space="preserve"> </w:t>
      </w:r>
      <w:r>
        <w:rPr>
          <w:color w:val="000000"/>
        </w:rPr>
        <w:t>ou a utilização de frequências, estações, terminais, sistemas ou serviços, quando se verifique incumprimento grave, falsas declarações, utilização indevida de frequências, interferência prejudicial não sanada, falta de pagamento de taxas legalmente devidas, violação de condições essenciais, risco grave para serviços autorizados, para a segurança das redes e serviços, para a proteção dos utilizadores ou para o interesse público.</w:t>
      </w:r>
    </w:p>
    <w:p w14:paraId="7538C0DC" w14:textId="77777777" w:rsidR="008B2B96" w:rsidRDefault="00000000">
      <w:pPr>
        <w:numPr>
          <w:ilvl w:val="0"/>
          <w:numId w:val="49"/>
        </w:numPr>
        <w:pBdr>
          <w:top w:val="nil"/>
          <w:left w:val="nil"/>
          <w:bottom w:val="nil"/>
          <w:right w:val="nil"/>
          <w:between w:val="nil"/>
        </w:pBdr>
        <w:spacing w:after="120"/>
        <w:jc w:val="both"/>
        <w:rPr>
          <w:color w:val="000000"/>
        </w:rPr>
      </w:pPr>
      <w:r>
        <w:rPr>
          <w:color w:val="000000"/>
        </w:rPr>
        <w:t>A revogação de títulos habilitantes apenas deve ser determinada quando o incumprimento seja grave, reiterado ou não sanado no prazo fixado, ou quando a manutenção da atividade se revele incompatível com a legislação em vigor, com a proteção do espectro radioelétrico, com a segurança das redes e serviços, com obrigações internacionais ou com a salvaguarda do interesse público.</w:t>
      </w:r>
    </w:p>
    <w:p w14:paraId="1D4BAE63" w14:textId="77777777" w:rsidR="008B2B96" w:rsidRDefault="00000000">
      <w:pPr>
        <w:numPr>
          <w:ilvl w:val="0"/>
          <w:numId w:val="49"/>
        </w:numPr>
        <w:pBdr>
          <w:top w:val="nil"/>
          <w:left w:val="nil"/>
          <w:bottom w:val="nil"/>
          <w:right w:val="nil"/>
          <w:between w:val="nil"/>
        </w:pBdr>
        <w:spacing w:after="120"/>
        <w:jc w:val="both"/>
        <w:rPr>
          <w:color w:val="000000"/>
        </w:rPr>
      </w:pPr>
      <w:r>
        <w:rPr>
          <w:color w:val="000000"/>
        </w:rPr>
        <w:t>As decisões de alteração, suspensão ou revogação devem ser precedidas de audiência dos interessados quando legalmente exigível e indicar os respetivos fundamentos, alcance, prazo, efeitos e condições de execução, sem prejuízo da adoção de medidas imediatas e provisórias.</w:t>
      </w:r>
    </w:p>
    <w:p w14:paraId="7B6DC62E" w14:textId="77777777" w:rsidR="008B2B96" w:rsidRDefault="00000000">
      <w:pPr>
        <w:pBdr>
          <w:top w:val="nil"/>
          <w:left w:val="nil"/>
          <w:bottom w:val="nil"/>
          <w:right w:val="nil"/>
          <w:between w:val="nil"/>
        </w:pBdr>
        <w:spacing w:before="200" w:after="200"/>
        <w:ind w:left="360"/>
        <w:jc w:val="center"/>
        <w:rPr>
          <w:color w:val="000000"/>
        </w:rPr>
      </w:pPr>
      <w:r>
        <w:rPr>
          <w:color w:val="000000"/>
        </w:rPr>
        <w:lastRenderedPageBreak/>
        <w:t>CAPÍTULO X</w:t>
      </w:r>
    </w:p>
    <w:p w14:paraId="3D58D815" w14:textId="77777777" w:rsidR="008B2B96" w:rsidRDefault="00000000">
      <w:pPr>
        <w:pBdr>
          <w:top w:val="nil"/>
          <w:left w:val="nil"/>
          <w:bottom w:val="nil"/>
          <w:right w:val="nil"/>
          <w:between w:val="nil"/>
        </w:pBdr>
        <w:spacing w:before="200" w:after="200"/>
        <w:jc w:val="center"/>
        <w:rPr>
          <w:b/>
          <w:bCs/>
          <w:color w:val="000000"/>
        </w:rPr>
      </w:pPr>
      <w:r>
        <w:rPr>
          <w:b/>
          <w:bCs/>
          <w:color w:val="000000"/>
        </w:rPr>
        <w:t>Taxas</w:t>
      </w:r>
    </w:p>
    <w:p w14:paraId="146683C2" w14:textId="77777777" w:rsidR="008B2B96" w:rsidRDefault="00000000">
      <w:pPr>
        <w:pBdr>
          <w:top w:val="nil"/>
          <w:left w:val="nil"/>
          <w:bottom w:val="nil"/>
          <w:right w:val="nil"/>
          <w:between w:val="nil"/>
        </w:pBdr>
        <w:spacing w:after="100"/>
        <w:jc w:val="center"/>
        <w:rPr>
          <w:color w:val="000000"/>
        </w:rPr>
      </w:pPr>
      <w:r>
        <w:rPr>
          <w:color w:val="000000"/>
        </w:rPr>
        <w:t>Artigo 34.º</w:t>
      </w:r>
    </w:p>
    <w:p w14:paraId="3BD9730F" w14:textId="77777777" w:rsidR="008B2B96" w:rsidRDefault="00000000">
      <w:pPr>
        <w:pBdr>
          <w:top w:val="nil"/>
          <w:left w:val="nil"/>
          <w:bottom w:val="nil"/>
          <w:right w:val="nil"/>
          <w:between w:val="nil"/>
        </w:pBdr>
        <w:spacing w:after="100"/>
        <w:jc w:val="center"/>
        <w:rPr>
          <w:b/>
          <w:bCs/>
          <w:color w:val="000000"/>
        </w:rPr>
      </w:pPr>
      <w:r>
        <w:rPr>
          <w:b/>
          <w:bCs/>
          <w:color w:val="000000"/>
        </w:rPr>
        <w:t>(Taxas aplicáveis)</w:t>
      </w:r>
    </w:p>
    <w:p w14:paraId="201FC82A" w14:textId="77777777" w:rsidR="008B2B96" w:rsidRDefault="00000000">
      <w:pPr>
        <w:numPr>
          <w:ilvl w:val="0"/>
          <w:numId w:val="50"/>
        </w:numPr>
        <w:pBdr>
          <w:top w:val="nil"/>
          <w:left w:val="nil"/>
          <w:bottom w:val="nil"/>
          <w:right w:val="nil"/>
          <w:between w:val="nil"/>
        </w:pBdr>
        <w:spacing w:after="120"/>
        <w:jc w:val="both"/>
        <w:rPr>
          <w:color w:val="000000"/>
        </w:rPr>
      </w:pPr>
      <w:r>
        <w:rPr>
          <w:color w:val="000000"/>
        </w:rPr>
        <w:t>A atribuição, alteração, renovação, fiscalização e utilização de títulos habilitantes previstos no presente Regulamento, ficam sujeitas ao pagamento das taxas, encargos ou demais valores legalmente devidos.</w:t>
      </w:r>
    </w:p>
    <w:p w14:paraId="7E4EB232" w14:textId="77777777" w:rsidR="008B2B96" w:rsidRDefault="00000000">
      <w:pPr>
        <w:numPr>
          <w:ilvl w:val="0"/>
          <w:numId w:val="50"/>
        </w:numPr>
        <w:pBdr>
          <w:top w:val="nil"/>
          <w:left w:val="nil"/>
          <w:bottom w:val="nil"/>
          <w:right w:val="nil"/>
          <w:between w:val="nil"/>
        </w:pBdr>
        <w:spacing w:after="120"/>
        <w:jc w:val="both"/>
      </w:pPr>
      <w:r>
        <w:t>As taxas referidas no número anterior incluem os atos de emissão, averbamento, substituição e renovação de licença, autorização geral e registo, a atribuição e utilização de direitos de utilização de frequências, bem como a taxa anual pelo exercício da atividade.</w:t>
      </w:r>
    </w:p>
    <w:p w14:paraId="2C17182F" w14:textId="77777777" w:rsidR="008B2B96" w:rsidRDefault="00000000">
      <w:pPr>
        <w:numPr>
          <w:ilvl w:val="0"/>
          <w:numId w:val="50"/>
        </w:numPr>
        <w:pBdr>
          <w:top w:val="nil"/>
          <w:left w:val="nil"/>
          <w:bottom w:val="nil"/>
          <w:right w:val="nil"/>
          <w:between w:val="nil"/>
        </w:pBdr>
        <w:spacing w:after="120"/>
        <w:jc w:val="both"/>
        <w:rPr>
          <w:color w:val="000000"/>
        </w:rPr>
      </w:pPr>
      <w:r>
        <w:rPr>
          <w:color w:val="000000"/>
        </w:rPr>
        <w:t>Os montantes das taxas referidas nos números anteriores são fixados por Despacho do Membro de Governo responsável pelo setor tecnologia de informação e comunicação, em função dos custos associados às tarefas administrativas, técnicas, operacionais e de fiscalização correspondentes, constituindo receita da ARN.</w:t>
      </w:r>
    </w:p>
    <w:p w14:paraId="0D078BD5" w14:textId="77777777" w:rsidR="008B2B96" w:rsidRDefault="00000000">
      <w:pPr>
        <w:numPr>
          <w:ilvl w:val="0"/>
          <w:numId w:val="50"/>
        </w:numPr>
        <w:pBdr>
          <w:top w:val="nil"/>
          <w:left w:val="nil"/>
          <w:bottom w:val="nil"/>
          <w:right w:val="nil"/>
          <w:between w:val="nil"/>
        </w:pBdr>
        <w:spacing w:after="120"/>
        <w:jc w:val="both"/>
        <w:rPr>
          <w:color w:val="000000"/>
        </w:rPr>
      </w:pPr>
      <w:r>
        <w:rPr>
          <w:color w:val="000000"/>
        </w:rPr>
        <w:t>A fixação, liquidação e cobrança das taxas devem observar os princípios da objetividade, transparência, proporcionalidade, não discriminação e utilização eficiente do espectro radioelétrico.</w:t>
      </w:r>
    </w:p>
    <w:p w14:paraId="758C2C2A" w14:textId="77777777" w:rsidR="008B2B96" w:rsidRDefault="00000000">
      <w:pPr>
        <w:numPr>
          <w:ilvl w:val="0"/>
          <w:numId w:val="50"/>
        </w:numPr>
        <w:pBdr>
          <w:top w:val="nil"/>
          <w:left w:val="nil"/>
          <w:bottom w:val="nil"/>
          <w:right w:val="nil"/>
          <w:between w:val="nil"/>
        </w:pBdr>
        <w:spacing w:after="120"/>
        <w:jc w:val="both"/>
        <w:rPr>
          <w:color w:val="000000"/>
        </w:rPr>
      </w:pPr>
      <w:r>
        <w:rPr>
          <w:color w:val="000000"/>
        </w:rPr>
        <w:t>A ARN pode propor à Tutela a aplicação de regimes específicos, proporcionais ou simplificados de taxas para testes técnicos, projetos-piloto, serviços experimentais, comunicações de emergência, serviços de interesse público, operações temporárias e projetos de cobertura de zonas rurais, insulares e de difícil acesso.</w:t>
      </w:r>
    </w:p>
    <w:p w14:paraId="1D873388" w14:textId="77777777" w:rsidR="008B2B96" w:rsidRDefault="00000000">
      <w:pPr>
        <w:numPr>
          <w:ilvl w:val="0"/>
          <w:numId w:val="50"/>
        </w:numPr>
        <w:pBdr>
          <w:top w:val="nil"/>
          <w:left w:val="nil"/>
          <w:bottom w:val="nil"/>
          <w:right w:val="nil"/>
          <w:between w:val="nil"/>
        </w:pBdr>
        <w:spacing w:after="120"/>
        <w:jc w:val="both"/>
        <w:rPr>
          <w:color w:val="000000"/>
        </w:rPr>
      </w:pPr>
      <w:r>
        <w:rPr>
          <w:color w:val="000000"/>
        </w:rPr>
        <w:t xml:space="preserve">A falta de pagamento das taxas, encargos ou demais valores legalmente devidos, quando não regularizada no prazo fixado após notificação, pode determinar a suspensão, não renovação ou revogação </w:t>
      </w:r>
      <w:r>
        <w:t>do título habilitante</w:t>
      </w:r>
      <w:r>
        <w:rPr>
          <w:color w:val="000000"/>
        </w:rPr>
        <w:t>, sem prejuízo da cobrança coerciva e das demais consequências legalmente previstas.</w:t>
      </w:r>
    </w:p>
    <w:p w14:paraId="66D0AE03"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XI </w:t>
      </w:r>
    </w:p>
    <w:p w14:paraId="6EB09F79" w14:textId="77777777" w:rsidR="008B2B96" w:rsidRDefault="00000000">
      <w:pPr>
        <w:pBdr>
          <w:top w:val="nil"/>
          <w:left w:val="nil"/>
          <w:bottom w:val="nil"/>
          <w:right w:val="nil"/>
          <w:between w:val="nil"/>
        </w:pBdr>
        <w:spacing w:before="200" w:after="200"/>
        <w:jc w:val="center"/>
        <w:rPr>
          <w:b/>
          <w:bCs/>
          <w:color w:val="000000"/>
        </w:rPr>
      </w:pPr>
      <w:r>
        <w:rPr>
          <w:b/>
          <w:bCs/>
          <w:color w:val="000000"/>
        </w:rPr>
        <w:t>Regime Sancionatório</w:t>
      </w:r>
    </w:p>
    <w:p w14:paraId="08E2E4DD" w14:textId="77777777" w:rsidR="008B2B96" w:rsidRDefault="00000000">
      <w:pPr>
        <w:pBdr>
          <w:top w:val="nil"/>
          <w:left w:val="nil"/>
          <w:bottom w:val="nil"/>
          <w:right w:val="nil"/>
          <w:between w:val="nil"/>
        </w:pBdr>
        <w:spacing w:after="100"/>
        <w:jc w:val="center"/>
        <w:rPr>
          <w:color w:val="000000"/>
        </w:rPr>
      </w:pPr>
      <w:r>
        <w:rPr>
          <w:color w:val="000000"/>
        </w:rPr>
        <w:t xml:space="preserve">Artigo 35.º </w:t>
      </w:r>
    </w:p>
    <w:p w14:paraId="0372A82A" w14:textId="77777777" w:rsidR="008B2B96" w:rsidRDefault="00000000">
      <w:pPr>
        <w:pBdr>
          <w:top w:val="nil"/>
          <w:left w:val="nil"/>
          <w:bottom w:val="nil"/>
          <w:right w:val="nil"/>
          <w:between w:val="nil"/>
        </w:pBdr>
        <w:spacing w:after="100"/>
        <w:jc w:val="center"/>
        <w:rPr>
          <w:b/>
          <w:bCs/>
          <w:color w:val="000000"/>
        </w:rPr>
      </w:pPr>
      <w:r>
        <w:rPr>
          <w:b/>
          <w:bCs/>
          <w:color w:val="000000"/>
        </w:rPr>
        <w:t>(Contraordenações)</w:t>
      </w:r>
    </w:p>
    <w:p w14:paraId="60A9F75F" w14:textId="77777777" w:rsidR="008B2B96" w:rsidRDefault="00000000">
      <w:pPr>
        <w:numPr>
          <w:ilvl w:val="0"/>
          <w:numId w:val="51"/>
        </w:numPr>
        <w:pBdr>
          <w:top w:val="nil"/>
          <w:left w:val="nil"/>
          <w:bottom w:val="nil"/>
          <w:right w:val="nil"/>
          <w:between w:val="nil"/>
        </w:pBdr>
        <w:spacing w:after="120"/>
        <w:jc w:val="both"/>
        <w:rPr>
          <w:color w:val="000000"/>
        </w:rPr>
      </w:pPr>
      <w:r>
        <w:rPr>
          <w:color w:val="000000"/>
        </w:rPr>
        <w:t xml:space="preserve">Sem prejuízo de outras </w:t>
      </w:r>
      <w:r>
        <w:t>infrações</w:t>
      </w:r>
      <w:r>
        <w:rPr>
          <w:color w:val="000000"/>
        </w:rPr>
        <w:t>, constituem contraordenações, nos termos do presente Regulamento:</w:t>
      </w:r>
    </w:p>
    <w:p w14:paraId="7383E67A"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 xml:space="preserve">A exploração ou estabelecimento de redes e serviços de comunicações por satélite sem </w:t>
      </w:r>
      <w:r>
        <w:t>título</w:t>
      </w:r>
      <w:r>
        <w:rPr>
          <w:color w:val="000000"/>
        </w:rPr>
        <w:t xml:space="preserve"> ha</w:t>
      </w:r>
      <w:r>
        <w:t>bilitante;</w:t>
      </w:r>
    </w:p>
    <w:p w14:paraId="262DD6E6"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A utilização de frequências radioelétricas, estações, redes, terminais ou sistemas de comunicações por satélite s</w:t>
      </w:r>
      <w:r>
        <w:t>em título habilitante;</w:t>
      </w:r>
    </w:p>
    <w:p w14:paraId="479A03B4"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O incumprimento das disposições</w:t>
      </w:r>
      <w:r>
        <w:t xml:space="preserve"> </w:t>
      </w:r>
      <w:r>
        <w:rPr>
          <w:color w:val="000000"/>
        </w:rPr>
        <w:t xml:space="preserve">do presente Regulamento, </w:t>
      </w:r>
      <w:r>
        <w:t>dos</w:t>
      </w:r>
      <w:r>
        <w:rPr>
          <w:color w:val="000000"/>
        </w:rPr>
        <w:t xml:space="preserve"> respetiv</w:t>
      </w:r>
      <w:r>
        <w:t>o</w:t>
      </w:r>
      <w:r>
        <w:rPr>
          <w:color w:val="000000"/>
        </w:rPr>
        <w:t xml:space="preserve">s </w:t>
      </w:r>
      <w:r>
        <w:t>títulos habilitantes</w:t>
      </w:r>
      <w:r>
        <w:rPr>
          <w:color w:val="000000"/>
        </w:rPr>
        <w:t xml:space="preserve"> e d</w:t>
      </w:r>
      <w:r>
        <w:t>e</w:t>
      </w:r>
      <w:r>
        <w:rPr>
          <w:color w:val="000000"/>
        </w:rPr>
        <w:t xml:space="preserve"> demais </w:t>
      </w:r>
      <w:r>
        <w:t>legislação</w:t>
      </w:r>
      <w:r>
        <w:rPr>
          <w:color w:val="000000"/>
        </w:rPr>
        <w:t xml:space="preserve"> aplicáve</w:t>
      </w:r>
      <w:r>
        <w:t>l</w:t>
      </w:r>
      <w:r>
        <w:rPr>
          <w:color w:val="000000"/>
        </w:rPr>
        <w:t xml:space="preserve"> à gestão, ao estabelecimento e à exploração de redes e serviços de comunicações por satélite;</w:t>
      </w:r>
    </w:p>
    <w:p w14:paraId="7A8CFB89"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 xml:space="preserve">A instalação, exploração ou utilização de </w:t>
      </w:r>
      <w:proofErr w:type="spellStart"/>
      <w:r>
        <w:rPr>
          <w:i/>
          <w:iCs/>
          <w:color w:val="000000"/>
        </w:rPr>
        <w:t>gateways</w:t>
      </w:r>
      <w:proofErr w:type="spellEnd"/>
      <w:r>
        <w:rPr>
          <w:color w:val="000000"/>
        </w:rPr>
        <w:t xml:space="preserve"> de satélite, estação terrena, terminal de utilizador ou equipamento radioelétrico sem o título exigível;</w:t>
      </w:r>
    </w:p>
    <w:p w14:paraId="0D9AAD3C"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lastRenderedPageBreak/>
        <w:t>A produção, não comunicação, não mitigação ou não sanação de interferências prejudiciais, nos termos do presente Regulamento e da legislação aplicável;</w:t>
      </w:r>
    </w:p>
    <w:p w14:paraId="01F49105"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O uso ilícito, inapropriado ou ineficiente de frequências que resulte em interferência prejudicial a outros serviços, incluindo serviços de segurança, radionavegação, defesa ou emergência;</w:t>
      </w:r>
    </w:p>
    <w:p w14:paraId="1E6C2577"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A desobediência a decisões, determinações, medidas corretivas, medidas provisórias ou ordens legalmente emitidas pela ARN;</w:t>
      </w:r>
    </w:p>
    <w:p w14:paraId="35E605FF"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A obstrução à atividade de supervisão ou fiscalização da ARN, incluindo a recusa injustificada de acesso a informações, documentos, registos, instalações, equipamentos, sistemas ou serviços;</w:t>
      </w:r>
    </w:p>
    <w:p w14:paraId="5480E838"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A prestação de informações falsas, inexatas, incompletas, desatualizadas ou enganosas à ARN, aos utilizadores ou a outras autoridades competentes, quando legalmente exigíveis;</w:t>
      </w:r>
    </w:p>
    <w:p w14:paraId="70598B5A"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O incumprimento dos deveres de prestação de informação, comunicação de alterações relevantes, conservação de registos ou resposta a solicitações da ARN;</w:t>
      </w:r>
    </w:p>
    <w:p w14:paraId="3643E1D3"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 xml:space="preserve">O incumprimento das obrigações relativas à proteção de dados, privacidade, confidencialidade, segurança das comunicações ou </w:t>
      </w:r>
      <w:r>
        <w:t>colaboração</w:t>
      </w:r>
      <w:r>
        <w:rPr>
          <w:color w:val="000000"/>
        </w:rPr>
        <w:t xml:space="preserve"> legalmente exigível com autoridades competentes;</w:t>
      </w:r>
    </w:p>
    <w:p w14:paraId="653B254E" w14:textId="77777777" w:rsidR="008B2B96" w:rsidRDefault="00000000">
      <w:pPr>
        <w:numPr>
          <w:ilvl w:val="0"/>
          <w:numId w:val="52"/>
        </w:numPr>
        <w:pBdr>
          <w:top w:val="nil"/>
          <w:left w:val="nil"/>
          <w:bottom w:val="nil"/>
          <w:right w:val="nil"/>
          <w:between w:val="nil"/>
        </w:pBdr>
        <w:spacing w:after="80"/>
        <w:jc w:val="both"/>
        <w:rPr>
          <w:color w:val="000000"/>
        </w:rPr>
      </w:pPr>
      <w:r>
        <w:rPr>
          <w:color w:val="000000"/>
        </w:rPr>
        <w:t>O incumprimento das obrigações de proteção dos utilizadores, transparência, qualidade, segurança, continuidade e pagamento de taxas, encargos ou demais valores legalmente devidos.</w:t>
      </w:r>
    </w:p>
    <w:p w14:paraId="29131062" w14:textId="77777777" w:rsidR="008B2B96" w:rsidRDefault="00000000">
      <w:pPr>
        <w:numPr>
          <w:ilvl w:val="0"/>
          <w:numId w:val="53"/>
        </w:numPr>
        <w:pBdr>
          <w:top w:val="nil"/>
          <w:left w:val="nil"/>
          <w:bottom w:val="nil"/>
          <w:right w:val="nil"/>
          <w:between w:val="nil"/>
        </w:pBdr>
        <w:spacing w:after="120"/>
        <w:jc w:val="both"/>
        <w:rPr>
          <w:color w:val="000000"/>
        </w:rPr>
      </w:pPr>
      <w:r>
        <w:rPr>
          <w:color w:val="000000"/>
        </w:rPr>
        <w:t xml:space="preserve">A qualificação das contraordenações, a determinação da respetiva gravidade, a instrução dos processos, a aplicação de </w:t>
      </w:r>
      <w:r>
        <w:t>coimas</w:t>
      </w:r>
      <w:r>
        <w:rPr>
          <w:color w:val="000000"/>
        </w:rPr>
        <w:t>, sanções acessórias ou demais consequências sancionatórias observam os princípios da legalidade, tipicidade, culpa, proporcionalidade, contraditório e demais garantias legalmente previstas.</w:t>
      </w:r>
    </w:p>
    <w:p w14:paraId="5B683A6B" w14:textId="77777777" w:rsidR="008B2B96" w:rsidRDefault="00000000">
      <w:pPr>
        <w:numPr>
          <w:ilvl w:val="0"/>
          <w:numId w:val="53"/>
        </w:numPr>
        <w:pBdr>
          <w:top w:val="nil"/>
          <w:left w:val="nil"/>
          <w:bottom w:val="nil"/>
          <w:right w:val="nil"/>
          <w:between w:val="nil"/>
        </w:pBdr>
        <w:spacing w:after="120"/>
        <w:jc w:val="both"/>
        <w:rPr>
          <w:color w:val="000000"/>
        </w:rPr>
      </w:pPr>
      <w:r>
        <w:rPr>
          <w:color w:val="000000"/>
        </w:rPr>
        <w:t>Nas contraordenações previstas no presente Regulamento são puníveis a tentativa e a negligência.</w:t>
      </w:r>
    </w:p>
    <w:p w14:paraId="48960B43" w14:textId="77777777" w:rsidR="008B2B96" w:rsidRDefault="008B2B96">
      <w:pPr>
        <w:pBdr>
          <w:top w:val="nil"/>
          <w:left w:val="nil"/>
          <w:bottom w:val="nil"/>
          <w:right w:val="nil"/>
          <w:between w:val="nil"/>
        </w:pBdr>
        <w:spacing w:after="120"/>
        <w:ind w:left="360"/>
        <w:jc w:val="both"/>
      </w:pPr>
    </w:p>
    <w:p w14:paraId="3F3AF4DD" w14:textId="77777777" w:rsidR="008B2B96" w:rsidRDefault="00000000">
      <w:pPr>
        <w:pBdr>
          <w:top w:val="nil"/>
          <w:left w:val="nil"/>
          <w:bottom w:val="nil"/>
          <w:right w:val="nil"/>
          <w:between w:val="nil"/>
        </w:pBdr>
        <w:spacing w:after="100"/>
        <w:jc w:val="center"/>
        <w:rPr>
          <w:color w:val="000000"/>
        </w:rPr>
      </w:pPr>
      <w:r>
        <w:rPr>
          <w:color w:val="000000"/>
        </w:rPr>
        <w:t xml:space="preserve">Artigo 36.º </w:t>
      </w:r>
    </w:p>
    <w:p w14:paraId="53D08EDC" w14:textId="77777777" w:rsidR="008B2B96" w:rsidRDefault="00000000">
      <w:pPr>
        <w:pBdr>
          <w:top w:val="nil"/>
          <w:left w:val="nil"/>
          <w:bottom w:val="nil"/>
          <w:right w:val="nil"/>
          <w:between w:val="nil"/>
        </w:pBdr>
        <w:spacing w:after="100"/>
        <w:jc w:val="center"/>
        <w:rPr>
          <w:b/>
          <w:bCs/>
          <w:color w:val="000000"/>
        </w:rPr>
      </w:pPr>
      <w:r>
        <w:rPr>
          <w:b/>
          <w:bCs/>
          <w:color w:val="000000"/>
        </w:rPr>
        <w:t>(Sanções e medidas corretivas)</w:t>
      </w:r>
    </w:p>
    <w:p w14:paraId="03058031" w14:textId="77777777" w:rsidR="008B2B96" w:rsidRDefault="00000000">
      <w:pPr>
        <w:numPr>
          <w:ilvl w:val="0"/>
          <w:numId w:val="54"/>
        </w:numPr>
        <w:pBdr>
          <w:top w:val="nil"/>
          <w:left w:val="nil"/>
          <w:bottom w:val="nil"/>
          <w:right w:val="nil"/>
          <w:between w:val="nil"/>
        </w:pBdr>
        <w:spacing w:after="120"/>
        <w:jc w:val="both"/>
        <w:rPr>
          <w:color w:val="000000"/>
        </w:rPr>
      </w:pPr>
      <w:r>
        <w:rPr>
          <w:color w:val="000000"/>
        </w:rPr>
        <w:t xml:space="preserve">As </w:t>
      </w:r>
      <w:r>
        <w:t>contraordenações</w:t>
      </w:r>
      <w:r>
        <w:rPr>
          <w:color w:val="000000"/>
        </w:rPr>
        <w:t xml:space="preserve"> </w:t>
      </w:r>
      <w:r>
        <w:t>previstas no</w:t>
      </w:r>
      <w:r>
        <w:rPr>
          <w:color w:val="000000"/>
        </w:rPr>
        <w:t xml:space="preserve"> presente Regulamento</w:t>
      </w:r>
      <w:r>
        <w:t xml:space="preserve"> e</w:t>
      </w:r>
      <w:r>
        <w:rPr>
          <w:color w:val="000000"/>
        </w:rPr>
        <w:t xml:space="preserve"> nos títulos habilitantes, devidamente comprovadas nos termos do procedimento aplicável, podem determinar a aplicação das seguintes sanções:</w:t>
      </w:r>
    </w:p>
    <w:p w14:paraId="05138B5B" w14:textId="77777777" w:rsidR="008B2B96" w:rsidRDefault="00000000">
      <w:pPr>
        <w:numPr>
          <w:ilvl w:val="0"/>
          <w:numId w:val="12"/>
        </w:numPr>
        <w:pBdr>
          <w:top w:val="nil"/>
          <w:left w:val="nil"/>
          <w:bottom w:val="nil"/>
          <w:right w:val="nil"/>
          <w:between w:val="nil"/>
        </w:pBdr>
        <w:spacing w:after="80"/>
        <w:jc w:val="both"/>
        <w:rPr>
          <w:color w:val="000000"/>
        </w:rPr>
      </w:pPr>
      <w:r>
        <w:t>Coima</w:t>
      </w:r>
      <w:r>
        <w:rPr>
          <w:color w:val="000000"/>
        </w:rPr>
        <w:t>;</w:t>
      </w:r>
    </w:p>
    <w:p w14:paraId="59D5D456" w14:textId="77777777" w:rsidR="008B2B96" w:rsidRDefault="00000000">
      <w:pPr>
        <w:numPr>
          <w:ilvl w:val="0"/>
          <w:numId w:val="12"/>
        </w:numPr>
        <w:pBdr>
          <w:top w:val="nil"/>
          <w:left w:val="nil"/>
          <w:bottom w:val="nil"/>
          <w:right w:val="nil"/>
          <w:between w:val="nil"/>
        </w:pBdr>
        <w:spacing w:after="80"/>
        <w:jc w:val="both"/>
        <w:rPr>
          <w:color w:val="000000"/>
        </w:rPr>
      </w:pPr>
      <w:r>
        <w:rPr>
          <w:color w:val="000000"/>
        </w:rPr>
        <w:t>Suspensão da atividade;</w:t>
      </w:r>
    </w:p>
    <w:p w14:paraId="7B3FD380" w14:textId="77777777" w:rsidR="008B2B96" w:rsidRDefault="00000000">
      <w:pPr>
        <w:numPr>
          <w:ilvl w:val="0"/>
          <w:numId w:val="12"/>
        </w:numPr>
        <w:pBdr>
          <w:top w:val="nil"/>
          <w:left w:val="nil"/>
          <w:bottom w:val="nil"/>
          <w:right w:val="nil"/>
          <w:between w:val="nil"/>
        </w:pBdr>
        <w:spacing w:after="80"/>
        <w:jc w:val="both"/>
        <w:rPr>
          <w:color w:val="000000"/>
        </w:rPr>
      </w:pPr>
      <w:r>
        <w:rPr>
          <w:color w:val="000000"/>
        </w:rPr>
        <w:t>Revogação da licença</w:t>
      </w:r>
      <w:r>
        <w:t>,</w:t>
      </w:r>
      <w:r>
        <w:rPr>
          <w:color w:val="000000"/>
        </w:rPr>
        <w:t xml:space="preserve"> autorização geral ou registo.</w:t>
      </w:r>
    </w:p>
    <w:p w14:paraId="5AA1D879" w14:textId="77777777" w:rsidR="008B2B96" w:rsidRDefault="00000000">
      <w:pPr>
        <w:numPr>
          <w:ilvl w:val="0"/>
          <w:numId w:val="23"/>
        </w:numPr>
        <w:pBdr>
          <w:top w:val="nil"/>
          <w:left w:val="nil"/>
          <w:bottom w:val="nil"/>
          <w:right w:val="nil"/>
          <w:between w:val="nil"/>
        </w:pBdr>
        <w:spacing w:after="120"/>
        <w:jc w:val="both"/>
        <w:rPr>
          <w:color w:val="000000"/>
        </w:rPr>
      </w:pPr>
      <w:r>
        <w:rPr>
          <w:color w:val="000000"/>
        </w:rPr>
        <w:t>A determinação da sanção depende de fatores agravantes ou atenuantes, incluindo a natureza e gravidade do ato cometido, os antecedentes da entidade, a reincidência, a disposição da entidade infratora à reparação das infrações e a colaboração com a investigação da ARN.</w:t>
      </w:r>
    </w:p>
    <w:p w14:paraId="0DFA8748" w14:textId="77777777" w:rsidR="008B2B96" w:rsidRDefault="00000000">
      <w:pPr>
        <w:numPr>
          <w:ilvl w:val="0"/>
          <w:numId w:val="23"/>
        </w:numPr>
        <w:pBdr>
          <w:top w:val="nil"/>
          <w:left w:val="nil"/>
          <w:bottom w:val="nil"/>
          <w:right w:val="nil"/>
          <w:between w:val="nil"/>
        </w:pBdr>
        <w:spacing w:after="120"/>
        <w:jc w:val="both"/>
      </w:pPr>
      <w:r>
        <w:t>Compete ao Conselho de Administração da ARN fixar o montante das coimas, bem como instaurar, instruir e decidir os processos de contraordenação.</w:t>
      </w:r>
    </w:p>
    <w:p w14:paraId="5F248928" w14:textId="77777777" w:rsidR="008B2B96" w:rsidRDefault="00000000">
      <w:pPr>
        <w:numPr>
          <w:ilvl w:val="0"/>
          <w:numId w:val="23"/>
        </w:numPr>
        <w:pBdr>
          <w:top w:val="nil"/>
          <w:left w:val="nil"/>
          <w:bottom w:val="nil"/>
          <w:right w:val="nil"/>
          <w:between w:val="nil"/>
        </w:pBdr>
        <w:spacing w:after="120"/>
        <w:jc w:val="both"/>
        <w:rPr>
          <w:color w:val="000000"/>
        </w:rPr>
      </w:pPr>
      <w:r>
        <w:rPr>
          <w:color w:val="000000"/>
        </w:rPr>
        <w:t xml:space="preserve">Sem prejuízo do regime sancionatório aplicável, a ARN pode determinar medidas corretivas ou administrativas necessárias ao restabelecimento da conformidade, incluindo </w:t>
      </w:r>
      <w:r>
        <w:rPr>
          <w:color w:val="000000"/>
        </w:rPr>
        <w:lastRenderedPageBreak/>
        <w:t>advertência, ordem de correção, medidas técnicas de mitigação, suspensão de frequências, estações, terminais ou serviços, apreensão de equipamentos quando legalmente admissível</w:t>
      </w:r>
      <w:r>
        <w:t xml:space="preserve"> </w:t>
      </w:r>
      <w:r>
        <w:rPr>
          <w:color w:val="000000"/>
        </w:rPr>
        <w:t>e publicação de decisões quando justificado.</w:t>
      </w:r>
    </w:p>
    <w:p w14:paraId="17AE9F9F" w14:textId="77777777" w:rsidR="008B2B96" w:rsidRDefault="00000000">
      <w:pPr>
        <w:numPr>
          <w:ilvl w:val="0"/>
          <w:numId w:val="23"/>
        </w:numPr>
        <w:pBdr>
          <w:top w:val="nil"/>
          <w:left w:val="nil"/>
          <w:bottom w:val="nil"/>
          <w:right w:val="nil"/>
          <w:between w:val="nil"/>
        </w:pBdr>
        <w:spacing w:after="120"/>
        <w:jc w:val="both"/>
      </w:pPr>
      <w:r>
        <w:t>As contraordenações previstas nas alíneas a), b), c), d), f), i), j), k) e l) do n.º 1 do artigo anterior, são puníveis com coima até 3% sobre o volume de negócio bruto declarado no ano transato, para os operadores de rede titulares da Licença Individual. O referido valor de coima pode ser elevado até 5% em caso de reincidência.</w:t>
      </w:r>
    </w:p>
    <w:p w14:paraId="212E534E" w14:textId="77777777" w:rsidR="008B2B96" w:rsidRDefault="00000000">
      <w:pPr>
        <w:numPr>
          <w:ilvl w:val="0"/>
          <w:numId w:val="23"/>
        </w:numPr>
        <w:pBdr>
          <w:top w:val="nil"/>
          <w:left w:val="nil"/>
          <w:bottom w:val="nil"/>
          <w:right w:val="nil"/>
          <w:between w:val="nil"/>
        </w:pBdr>
        <w:spacing w:after="120"/>
        <w:jc w:val="both"/>
      </w:pPr>
      <w:r>
        <w:t>Para titulares de uma autorização geral ou registo a coima aplicável não pode ultrapassar os 2% do volume de negócio bruto declarado no ano anterior.</w:t>
      </w:r>
    </w:p>
    <w:p w14:paraId="093EA830" w14:textId="77777777" w:rsidR="008B2B96" w:rsidRDefault="00000000">
      <w:pPr>
        <w:numPr>
          <w:ilvl w:val="0"/>
          <w:numId w:val="23"/>
        </w:numPr>
        <w:pBdr>
          <w:top w:val="nil"/>
          <w:left w:val="nil"/>
          <w:bottom w:val="nil"/>
          <w:right w:val="nil"/>
          <w:between w:val="nil"/>
        </w:pBdr>
        <w:spacing w:after="120"/>
        <w:jc w:val="both"/>
      </w:pPr>
      <w:r>
        <w:t>Quando se tratar do primeiro ano de atividade, as coimas referidas nos números 5 e 6 do presente artigo são fixadas proporcionalmente ao tempo de exercício.</w:t>
      </w:r>
    </w:p>
    <w:p w14:paraId="43C6EC8A" w14:textId="77777777" w:rsidR="008B2B96" w:rsidRDefault="00000000">
      <w:pPr>
        <w:numPr>
          <w:ilvl w:val="0"/>
          <w:numId w:val="23"/>
        </w:numPr>
        <w:spacing w:after="120"/>
        <w:jc w:val="both"/>
      </w:pPr>
      <w:r>
        <w:t>A contraordenação prevista na alínea g) é punível com sanção de revogação da licença.</w:t>
      </w:r>
    </w:p>
    <w:p w14:paraId="416D3F54" w14:textId="77777777" w:rsidR="008B2B96" w:rsidRDefault="00000000">
      <w:pPr>
        <w:numPr>
          <w:ilvl w:val="0"/>
          <w:numId w:val="23"/>
        </w:numPr>
        <w:spacing w:after="120"/>
        <w:jc w:val="both"/>
      </w:pPr>
      <w:r>
        <w:t xml:space="preserve">A tentativa e a negligência são puníveis com a sanção correspondente à </w:t>
      </w:r>
      <w:proofErr w:type="spellStart"/>
      <w:r>
        <w:t>infracção</w:t>
      </w:r>
      <w:proofErr w:type="spellEnd"/>
      <w:r>
        <w:t>, especialmente atenuada.</w:t>
      </w:r>
    </w:p>
    <w:p w14:paraId="17234126" w14:textId="77777777" w:rsidR="008B2B96" w:rsidRDefault="008B2B96">
      <w:pPr>
        <w:spacing w:after="120"/>
        <w:ind w:left="360"/>
        <w:jc w:val="both"/>
      </w:pPr>
    </w:p>
    <w:p w14:paraId="3E871B28" w14:textId="77777777" w:rsidR="008B2B96" w:rsidRDefault="00000000">
      <w:pPr>
        <w:pBdr>
          <w:top w:val="nil"/>
          <w:left w:val="nil"/>
          <w:bottom w:val="nil"/>
          <w:right w:val="nil"/>
          <w:between w:val="nil"/>
        </w:pBdr>
        <w:spacing w:after="100"/>
        <w:jc w:val="center"/>
        <w:rPr>
          <w:color w:val="000000"/>
        </w:rPr>
      </w:pPr>
      <w:r>
        <w:rPr>
          <w:color w:val="000000"/>
        </w:rPr>
        <w:t xml:space="preserve">Artigo 37.º </w:t>
      </w:r>
    </w:p>
    <w:p w14:paraId="6029AAE4" w14:textId="77777777" w:rsidR="008B2B96" w:rsidRDefault="00000000">
      <w:pPr>
        <w:pBdr>
          <w:top w:val="nil"/>
          <w:left w:val="nil"/>
          <w:bottom w:val="nil"/>
          <w:right w:val="nil"/>
          <w:between w:val="nil"/>
        </w:pBdr>
        <w:spacing w:after="100"/>
        <w:jc w:val="center"/>
        <w:rPr>
          <w:b/>
          <w:bCs/>
          <w:color w:val="000000"/>
        </w:rPr>
      </w:pPr>
      <w:r>
        <w:rPr>
          <w:b/>
          <w:bCs/>
          <w:color w:val="000000"/>
        </w:rPr>
        <w:t>(Resolução de conflitos e queixas dos utilizadores)</w:t>
      </w:r>
    </w:p>
    <w:p w14:paraId="398DD31B" w14:textId="77777777" w:rsidR="008B2B96" w:rsidRDefault="00000000">
      <w:pPr>
        <w:pBdr>
          <w:top w:val="nil"/>
          <w:left w:val="nil"/>
          <w:bottom w:val="nil"/>
          <w:right w:val="nil"/>
          <w:between w:val="nil"/>
        </w:pBdr>
        <w:spacing w:after="120"/>
        <w:jc w:val="both"/>
        <w:rPr>
          <w:color w:val="000000"/>
        </w:rPr>
      </w:pPr>
      <w:r>
        <w:rPr>
          <w:color w:val="000000"/>
        </w:rPr>
        <w:t>Compete à ARN, a pedido de qualquer das partes, resolver, nos termos d</w:t>
      </w:r>
      <w:r>
        <w:t xml:space="preserve">o Regulamento relativo à Fiscalização, Sanções e Resolução de Conflitos, </w:t>
      </w:r>
      <w:r>
        <w:rPr>
          <w:color w:val="000000"/>
        </w:rPr>
        <w:t>através de decisão vinculativa, quaisquer conflitos relacionados com as obrigações decorrentes do presente Regulamento, entre entidades a eles sujeitas, sem prejuízo da possibilidade de recurso aos tribunais.</w:t>
      </w:r>
    </w:p>
    <w:p w14:paraId="10E88A54" w14:textId="77777777" w:rsidR="008B2B96" w:rsidRDefault="008B2B96">
      <w:pPr>
        <w:pBdr>
          <w:top w:val="nil"/>
          <w:left w:val="nil"/>
          <w:bottom w:val="nil"/>
          <w:right w:val="nil"/>
          <w:between w:val="nil"/>
        </w:pBdr>
        <w:spacing w:after="120"/>
        <w:jc w:val="both"/>
      </w:pPr>
    </w:p>
    <w:p w14:paraId="440F71FC" w14:textId="77777777" w:rsidR="008B2B96" w:rsidRDefault="008B2B96">
      <w:pPr>
        <w:pBdr>
          <w:top w:val="nil"/>
          <w:left w:val="nil"/>
          <w:bottom w:val="nil"/>
          <w:right w:val="nil"/>
          <w:between w:val="nil"/>
        </w:pBdr>
        <w:spacing w:after="120"/>
        <w:jc w:val="both"/>
      </w:pPr>
    </w:p>
    <w:p w14:paraId="1F94B69A" w14:textId="77777777" w:rsidR="008B2B96" w:rsidRDefault="008B2B96">
      <w:pPr>
        <w:pBdr>
          <w:top w:val="nil"/>
          <w:left w:val="nil"/>
          <w:bottom w:val="nil"/>
          <w:right w:val="nil"/>
          <w:between w:val="nil"/>
        </w:pBdr>
        <w:spacing w:after="120"/>
        <w:jc w:val="both"/>
      </w:pPr>
    </w:p>
    <w:p w14:paraId="272DF48F" w14:textId="77777777" w:rsidR="008B2B96" w:rsidRDefault="008B2B96">
      <w:pPr>
        <w:pBdr>
          <w:top w:val="nil"/>
          <w:left w:val="nil"/>
          <w:bottom w:val="nil"/>
          <w:right w:val="nil"/>
          <w:between w:val="nil"/>
        </w:pBdr>
        <w:spacing w:after="120"/>
        <w:jc w:val="both"/>
      </w:pPr>
    </w:p>
    <w:p w14:paraId="290BD7C9" w14:textId="77777777" w:rsidR="008B2B96" w:rsidRDefault="00000000">
      <w:pPr>
        <w:pBdr>
          <w:top w:val="nil"/>
          <w:left w:val="nil"/>
          <w:bottom w:val="nil"/>
          <w:right w:val="nil"/>
          <w:between w:val="nil"/>
        </w:pBdr>
        <w:spacing w:before="200" w:after="200"/>
        <w:jc w:val="center"/>
        <w:rPr>
          <w:color w:val="000000"/>
        </w:rPr>
      </w:pPr>
      <w:r>
        <w:rPr>
          <w:color w:val="000000"/>
        </w:rPr>
        <w:t xml:space="preserve">CAPÍTULO XII </w:t>
      </w:r>
    </w:p>
    <w:p w14:paraId="4661F896" w14:textId="77777777" w:rsidR="008B2B96" w:rsidRDefault="00000000">
      <w:pPr>
        <w:pBdr>
          <w:top w:val="nil"/>
          <w:left w:val="nil"/>
          <w:bottom w:val="nil"/>
          <w:right w:val="nil"/>
          <w:between w:val="nil"/>
        </w:pBdr>
        <w:spacing w:before="200" w:after="200"/>
        <w:jc w:val="center"/>
        <w:rPr>
          <w:b/>
          <w:bCs/>
          <w:color w:val="000000"/>
        </w:rPr>
      </w:pPr>
      <w:r>
        <w:rPr>
          <w:b/>
          <w:bCs/>
          <w:color w:val="000000"/>
        </w:rPr>
        <w:t>Disposições Finais e Transitórias</w:t>
      </w:r>
    </w:p>
    <w:p w14:paraId="378A5FAB" w14:textId="77777777" w:rsidR="008B2B96" w:rsidRDefault="00000000">
      <w:pPr>
        <w:pBdr>
          <w:top w:val="nil"/>
          <w:left w:val="nil"/>
          <w:bottom w:val="nil"/>
          <w:right w:val="nil"/>
          <w:between w:val="nil"/>
        </w:pBdr>
        <w:spacing w:after="100"/>
        <w:jc w:val="center"/>
        <w:rPr>
          <w:color w:val="000000"/>
        </w:rPr>
      </w:pPr>
      <w:r>
        <w:rPr>
          <w:color w:val="000000"/>
        </w:rPr>
        <w:t xml:space="preserve">Artigo 38.º </w:t>
      </w:r>
    </w:p>
    <w:p w14:paraId="52850068" w14:textId="77777777" w:rsidR="008B2B96" w:rsidRDefault="00000000">
      <w:pPr>
        <w:pBdr>
          <w:top w:val="nil"/>
          <w:left w:val="nil"/>
          <w:bottom w:val="nil"/>
          <w:right w:val="nil"/>
          <w:between w:val="nil"/>
        </w:pBdr>
        <w:spacing w:after="100"/>
        <w:jc w:val="center"/>
        <w:rPr>
          <w:b/>
          <w:bCs/>
          <w:color w:val="000000"/>
        </w:rPr>
      </w:pPr>
      <w:r>
        <w:rPr>
          <w:b/>
          <w:bCs/>
          <w:color w:val="000000"/>
        </w:rPr>
        <w:t>(Regularização de situações existentes)</w:t>
      </w:r>
    </w:p>
    <w:p w14:paraId="536D7517" w14:textId="77777777" w:rsidR="008B2B96" w:rsidRDefault="00000000">
      <w:pPr>
        <w:numPr>
          <w:ilvl w:val="0"/>
          <w:numId w:val="34"/>
        </w:numPr>
        <w:pBdr>
          <w:top w:val="nil"/>
          <w:left w:val="nil"/>
          <w:bottom w:val="nil"/>
          <w:right w:val="nil"/>
          <w:between w:val="nil"/>
        </w:pBdr>
        <w:spacing w:after="120"/>
        <w:jc w:val="both"/>
        <w:rPr>
          <w:color w:val="000000"/>
        </w:rPr>
      </w:pPr>
      <w:r>
        <w:rPr>
          <w:color w:val="000000"/>
        </w:rPr>
        <w:t xml:space="preserve">As entidades que, à data da entrada em vigor do presente Regulamento, ofereçam, explorem, disponibilizem ou comercializem redes, serviços, capacidade, frequências, estações, terminais ou infraestruturas associadas a comunicações por satélite no território nacional devem solicitar à ARN a regularização da sua situação, no prazo </w:t>
      </w:r>
      <w:r>
        <w:t>máximo</w:t>
      </w:r>
      <w:r>
        <w:rPr>
          <w:color w:val="000000"/>
        </w:rPr>
        <w:t xml:space="preserve"> de </w:t>
      </w:r>
      <w:r>
        <w:t>sessenta</w:t>
      </w:r>
      <w:r>
        <w:rPr>
          <w:color w:val="000000"/>
        </w:rPr>
        <w:t xml:space="preserve"> (</w:t>
      </w:r>
      <w:r>
        <w:t>60</w:t>
      </w:r>
      <w:r>
        <w:rPr>
          <w:color w:val="000000"/>
        </w:rPr>
        <w:t>) dias a contar da entrada em vigor do presente Regulamento.</w:t>
      </w:r>
    </w:p>
    <w:p w14:paraId="2931CEFF" w14:textId="77777777" w:rsidR="008B2B96" w:rsidRDefault="00000000">
      <w:pPr>
        <w:numPr>
          <w:ilvl w:val="0"/>
          <w:numId w:val="34"/>
        </w:numPr>
        <w:pBdr>
          <w:top w:val="nil"/>
          <w:left w:val="nil"/>
          <w:bottom w:val="nil"/>
          <w:right w:val="nil"/>
          <w:between w:val="nil"/>
        </w:pBdr>
        <w:spacing w:after="120"/>
        <w:jc w:val="both"/>
        <w:rPr>
          <w:color w:val="000000"/>
        </w:rPr>
      </w:pPr>
      <w:r>
        <w:rPr>
          <w:color w:val="000000"/>
        </w:rPr>
        <w:t>Para efeitos do número anterior, a ARN pode fixar, por deliberação fundamentada, os termos de regularização, incluindo a apresentação de informação técnica, jurídica, operacional e comercial, a obtenção dos títulos habilitantes, bem como a adaptação das condições de operação ao presente Regulamento.</w:t>
      </w:r>
    </w:p>
    <w:p w14:paraId="76DEC5BB" w14:textId="77777777" w:rsidR="008B2B96" w:rsidRDefault="00000000">
      <w:pPr>
        <w:numPr>
          <w:ilvl w:val="0"/>
          <w:numId w:val="34"/>
        </w:numPr>
        <w:pBdr>
          <w:top w:val="nil"/>
          <w:left w:val="nil"/>
          <w:bottom w:val="nil"/>
          <w:right w:val="nil"/>
          <w:between w:val="nil"/>
        </w:pBdr>
        <w:spacing w:after="120"/>
        <w:jc w:val="both"/>
        <w:rPr>
          <w:color w:val="000000"/>
        </w:rPr>
      </w:pPr>
      <w:r>
        <w:rPr>
          <w:color w:val="000000"/>
        </w:rPr>
        <w:t xml:space="preserve">A apresentação do pedido de regularização não prejudica a responsabilidade por incumprimentos anteriores, quando aplicável, nem impede a ARN de adotar medidas </w:t>
      </w:r>
      <w:r>
        <w:rPr>
          <w:color w:val="000000"/>
        </w:rPr>
        <w:lastRenderedPageBreak/>
        <w:t>corretivas, provisórias ou de fiscalização necessárias à proteção do espectro radioelétrico, dos serviços autorizados, dos utilizadores ou do interesse público.</w:t>
      </w:r>
    </w:p>
    <w:p w14:paraId="5B548082" w14:textId="77777777" w:rsidR="008B2B96" w:rsidRDefault="00000000">
      <w:pPr>
        <w:numPr>
          <w:ilvl w:val="0"/>
          <w:numId w:val="34"/>
        </w:numPr>
        <w:pBdr>
          <w:top w:val="nil"/>
          <w:left w:val="nil"/>
          <w:bottom w:val="nil"/>
          <w:right w:val="nil"/>
          <w:between w:val="nil"/>
        </w:pBdr>
        <w:spacing w:after="120"/>
        <w:jc w:val="both"/>
        <w:rPr>
          <w:color w:val="000000"/>
        </w:rPr>
      </w:pPr>
      <w:r>
        <w:rPr>
          <w:color w:val="000000"/>
        </w:rPr>
        <w:t>A ARN pode admitir, por decisão fundamentada e proporcional, a continuidade provisória da atividade durante o período de regularização, sujeita às condições técnicas, operacionais, de informação, segurança, fiscalização e mitigação de riscos que considere necessárias.</w:t>
      </w:r>
    </w:p>
    <w:p w14:paraId="53D2D284" w14:textId="77777777" w:rsidR="008B2B96" w:rsidRDefault="00000000">
      <w:pPr>
        <w:pBdr>
          <w:top w:val="nil"/>
          <w:left w:val="nil"/>
          <w:bottom w:val="nil"/>
          <w:right w:val="nil"/>
          <w:between w:val="nil"/>
        </w:pBdr>
        <w:spacing w:after="100"/>
        <w:jc w:val="center"/>
        <w:rPr>
          <w:color w:val="000000"/>
        </w:rPr>
      </w:pPr>
      <w:r>
        <w:rPr>
          <w:color w:val="000000"/>
        </w:rPr>
        <w:t xml:space="preserve">Artigo </w:t>
      </w:r>
      <w:r>
        <w:t>39</w:t>
      </w:r>
      <w:r>
        <w:rPr>
          <w:color w:val="000000"/>
        </w:rPr>
        <w:t>.º</w:t>
      </w:r>
    </w:p>
    <w:p w14:paraId="59E3033E" w14:textId="77777777" w:rsidR="008B2B96" w:rsidRDefault="00000000">
      <w:pPr>
        <w:pBdr>
          <w:top w:val="nil"/>
          <w:left w:val="nil"/>
          <w:bottom w:val="nil"/>
          <w:right w:val="nil"/>
          <w:between w:val="nil"/>
        </w:pBdr>
        <w:spacing w:after="100"/>
        <w:jc w:val="center"/>
        <w:rPr>
          <w:b/>
          <w:bCs/>
          <w:color w:val="000000"/>
        </w:rPr>
      </w:pPr>
      <w:r>
        <w:rPr>
          <w:b/>
          <w:bCs/>
          <w:color w:val="000000"/>
        </w:rPr>
        <w:t xml:space="preserve"> (Instrumentos técnicos e deliberações complementares)</w:t>
      </w:r>
    </w:p>
    <w:p w14:paraId="750053F0" w14:textId="77777777" w:rsidR="008B2B96" w:rsidRDefault="00000000">
      <w:pPr>
        <w:numPr>
          <w:ilvl w:val="0"/>
          <w:numId w:val="45"/>
        </w:numPr>
        <w:pBdr>
          <w:top w:val="nil"/>
          <w:left w:val="nil"/>
          <w:bottom w:val="nil"/>
          <w:right w:val="nil"/>
          <w:between w:val="nil"/>
        </w:pBdr>
        <w:spacing w:after="120"/>
        <w:jc w:val="both"/>
        <w:rPr>
          <w:color w:val="000000"/>
        </w:rPr>
      </w:pPr>
      <w:r>
        <w:rPr>
          <w:color w:val="000000"/>
        </w:rPr>
        <w:t xml:space="preserve">A ARN pode aprovar do presente Regulamento, guias técnicos, formulários, condições harmonizadas, modelos de prestação de informação, regras de coordenação e deliberações complementares </w:t>
      </w:r>
      <w:r>
        <w:t>destinados</w:t>
      </w:r>
      <w:r>
        <w:rPr>
          <w:color w:val="000000"/>
        </w:rPr>
        <w:t xml:space="preserve"> à aplicação, execução e concretização técnica, operacional ou procedimental do presente Regulamento.</w:t>
      </w:r>
    </w:p>
    <w:p w14:paraId="28A1060A" w14:textId="77777777" w:rsidR="008B2B96" w:rsidRDefault="00000000">
      <w:pPr>
        <w:numPr>
          <w:ilvl w:val="0"/>
          <w:numId w:val="45"/>
        </w:numPr>
        <w:pBdr>
          <w:top w:val="nil"/>
          <w:left w:val="nil"/>
          <w:bottom w:val="nil"/>
          <w:right w:val="nil"/>
          <w:between w:val="nil"/>
        </w:pBdr>
        <w:spacing w:after="120"/>
        <w:jc w:val="both"/>
      </w:pPr>
      <w:r>
        <w:rPr>
          <w:color w:val="000000"/>
        </w:rPr>
        <w:t>Os instrumentos referidos no número anterior devem respeitar os princípios da legalidade, transparência, proporcionalidade, não discriminação e neutralidade tecnológica, devendo ser fundamentados e publicitados ou disponibilizados aos interessados quando aplicável, sem prejuízo do dever de submissão a consulta pública quando se trate de regulamento com eficácia externa.</w:t>
      </w:r>
    </w:p>
    <w:p w14:paraId="44717E2E" w14:textId="77777777" w:rsidR="008B2B96" w:rsidRDefault="00000000">
      <w:pPr>
        <w:pBdr>
          <w:top w:val="nil"/>
          <w:left w:val="nil"/>
          <w:bottom w:val="nil"/>
          <w:right w:val="nil"/>
          <w:between w:val="nil"/>
        </w:pBdr>
        <w:spacing w:after="100"/>
        <w:jc w:val="center"/>
        <w:rPr>
          <w:color w:val="000000"/>
        </w:rPr>
      </w:pPr>
      <w:r>
        <w:rPr>
          <w:color w:val="000000"/>
        </w:rPr>
        <w:t>Artigo 4</w:t>
      </w:r>
      <w:r>
        <w:t>0</w:t>
      </w:r>
      <w:r>
        <w:rPr>
          <w:color w:val="000000"/>
        </w:rPr>
        <w:t xml:space="preserve">.º </w:t>
      </w:r>
    </w:p>
    <w:p w14:paraId="51028EAA" w14:textId="77777777" w:rsidR="008B2B96" w:rsidRDefault="00000000">
      <w:pPr>
        <w:pBdr>
          <w:top w:val="nil"/>
          <w:left w:val="nil"/>
          <w:bottom w:val="nil"/>
          <w:right w:val="nil"/>
          <w:between w:val="nil"/>
        </w:pBdr>
        <w:spacing w:after="100"/>
        <w:jc w:val="center"/>
        <w:rPr>
          <w:b/>
          <w:bCs/>
          <w:color w:val="000000"/>
        </w:rPr>
      </w:pPr>
      <w:r>
        <w:rPr>
          <w:b/>
          <w:bCs/>
          <w:color w:val="000000"/>
        </w:rPr>
        <w:t>(Publicação e entrada em vigor)</w:t>
      </w:r>
    </w:p>
    <w:p w14:paraId="6A27F56F" w14:textId="77777777" w:rsidR="008B2B96" w:rsidRDefault="00000000">
      <w:pPr>
        <w:numPr>
          <w:ilvl w:val="0"/>
          <w:numId w:val="55"/>
        </w:numPr>
        <w:pBdr>
          <w:top w:val="nil"/>
          <w:left w:val="nil"/>
          <w:bottom w:val="nil"/>
          <w:right w:val="nil"/>
          <w:between w:val="nil"/>
        </w:pBdr>
        <w:spacing w:after="120"/>
        <w:jc w:val="both"/>
        <w:rPr>
          <w:color w:val="000000"/>
        </w:rPr>
      </w:pPr>
      <w:r>
        <w:rPr>
          <w:color w:val="000000"/>
        </w:rPr>
        <w:t>O presente Regulamento entra em vigor na data da sua publicação no Boletim Oficial da República da Guiné-Bissau.</w:t>
      </w:r>
    </w:p>
    <w:p w14:paraId="19FF8FD3" w14:textId="77777777" w:rsidR="008B2B96" w:rsidRDefault="00000000">
      <w:pPr>
        <w:pBdr>
          <w:top w:val="nil"/>
          <w:left w:val="nil"/>
          <w:bottom w:val="nil"/>
          <w:right w:val="nil"/>
          <w:between w:val="nil"/>
        </w:pBdr>
        <w:rPr>
          <w:color w:val="000000"/>
        </w:rPr>
      </w:pPr>
      <w:r>
        <w:br w:type="page"/>
      </w:r>
    </w:p>
    <w:p w14:paraId="7C3D45B9" w14:textId="77777777" w:rsidR="008B2B96" w:rsidRDefault="00000000">
      <w:pPr>
        <w:pBdr>
          <w:top w:val="nil"/>
          <w:left w:val="nil"/>
          <w:bottom w:val="nil"/>
          <w:right w:val="nil"/>
          <w:between w:val="nil"/>
        </w:pBdr>
        <w:spacing w:before="200" w:after="200"/>
        <w:jc w:val="center"/>
        <w:rPr>
          <w:color w:val="000000"/>
        </w:rPr>
      </w:pPr>
      <w:r>
        <w:rPr>
          <w:color w:val="000000"/>
        </w:rPr>
        <w:lastRenderedPageBreak/>
        <w:t xml:space="preserve">ANEXO I </w:t>
      </w:r>
    </w:p>
    <w:p w14:paraId="55A8D3A0" w14:textId="77777777" w:rsidR="008B2B96" w:rsidRDefault="00000000">
      <w:pPr>
        <w:pBdr>
          <w:top w:val="nil"/>
          <w:left w:val="nil"/>
          <w:bottom w:val="nil"/>
          <w:right w:val="nil"/>
          <w:between w:val="nil"/>
        </w:pBdr>
        <w:spacing w:before="200" w:after="200"/>
        <w:jc w:val="center"/>
        <w:rPr>
          <w:b/>
          <w:bCs/>
          <w:color w:val="000000"/>
        </w:rPr>
      </w:pPr>
      <w:r>
        <w:rPr>
          <w:b/>
          <w:bCs/>
          <w:color w:val="000000"/>
        </w:rPr>
        <w:t xml:space="preserve">Elementos para Pedidos de Títulos Habilitantes </w:t>
      </w:r>
    </w:p>
    <w:p w14:paraId="48CB800F" w14:textId="77777777" w:rsidR="008B2B96" w:rsidRDefault="008B2B96">
      <w:pPr>
        <w:pBdr>
          <w:top w:val="nil"/>
          <w:left w:val="nil"/>
          <w:bottom w:val="nil"/>
          <w:right w:val="nil"/>
          <w:between w:val="nil"/>
        </w:pBdr>
        <w:spacing w:before="200" w:after="200"/>
        <w:jc w:val="center"/>
        <w:rPr>
          <w:b/>
          <w:bCs/>
          <w:color w:val="000000"/>
        </w:rPr>
      </w:pPr>
    </w:p>
    <w:tbl>
      <w:tblPr>
        <w:tblStyle w:val="a0"/>
        <w:tblW w:w="900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4500"/>
        <w:gridCol w:w="4500"/>
      </w:tblGrid>
      <w:tr w:rsidR="008B2B96" w14:paraId="0811E837" w14:textId="77777777">
        <w:trPr>
          <w:trHeight w:val="3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FC9E9C" w14:textId="77777777" w:rsidR="008B2B96" w:rsidRDefault="00000000">
            <w:pPr>
              <w:pBdr>
                <w:top w:val="nil"/>
                <w:left w:val="nil"/>
                <w:bottom w:val="nil"/>
                <w:right w:val="nil"/>
                <w:between w:val="nil"/>
              </w:pBdr>
              <w:jc w:val="center"/>
              <w:rPr>
                <w:color w:val="000000"/>
              </w:rPr>
            </w:pPr>
            <w:r>
              <w:rPr>
                <w:b/>
                <w:bCs/>
                <w:color w:val="000000"/>
              </w:rPr>
              <w:t>Elemento</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D9460" w14:textId="77777777" w:rsidR="008B2B96" w:rsidRDefault="00000000">
            <w:pPr>
              <w:pBdr>
                <w:top w:val="nil"/>
                <w:left w:val="nil"/>
                <w:bottom w:val="nil"/>
                <w:right w:val="nil"/>
                <w:between w:val="nil"/>
              </w:pBdr>
              <w:jc w:val="center"/>
              <w:rPr>
                <w:color w:val="000000"/>
              </w:rPr>
            </w:pPr>
            <w:r>
              <w:rPr>
                <w:b/>
                <w:bCs/>
                <w:color w:val="000000"/>
              </w:rPr>
              <w:t>Conteúdo mínimo</w:t>
            </w:r>
          </w:p>
        </w:tc>
      </w:tr>
      <w:tr w:rsidR="008B2B96" w14:paraId="0370C4E0" w14:textId="77777777">
        <w:trPr>
          <w:trHeight w:val="6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2064871" w14:textId="77777777" w:rsidR="008B2B96" w:rsidRDefault="00000000">
            <w:pPr>
              <w:pBdr>
                <w:top w:val="nil"/>
                <w:left w:val="nil"/>
                <w:bottom w:val="nil"/>
                <w:right w:val="nil"/>
                <w:between w:val="nil"/>
              </w:pBdr>
              <w:rPr>
                <w:color w:val="000000"/>
              </w:rPr>
            </w:pPr>
            <w:r>
              <w:rPr>
                <w:color w:val="000000"/>
              </w:rPr>
              <w:t>Identificação jurídica</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615F550" w14:textId="77777777" w:rsidR="008B2B96" w:rsidRDefault="00000000">
            <w:pPr>
              <w:pBdr>
                <w:top w:val="nil"/>
                <w:left w:val="nil"/>
                <w:bottom w:val="nil"/>
                <w:right w:val="nil"/>
                <w:between w:val="nil"/>
              </w:pBdr>
              <w:rPr>
                <w:color w:val="000000"/>
              </w:rPr>
            </w:pPr>
            <w:r>
              <w:rPr>
                <w:color w:val="000000"/>
              </w:rPr>
              <w:t>Certidão comercial, NIF, representantes legais</w:t>
            </w:r>
            <w:r>
              <w:t xml:space="preserve"> e</w:t>
            </w:r>
            <w:r>
              <w:rPr>
                <w:color w:val="000000"/>
              </w:rPr>
              <w:t xml:space="preserve"> contactos</w:t>
            </w:r>
            <w:r>
              <w:t>.</w:t>
            </w:r>
          </w:p>
        </w:tc>
      </w:tr>
      <w:tr w:rsidR="008B2B96" w14:paraId="11BB579D" w14:textId="77777777">
        <w:trPr>
          <w:trHeight w:val="12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3D6B71" w14:textId="77777777" w:rsidR="008B2B96" w:rsidRDefault="00000000">
            <w:pPr>
              <w:pBdr>
                <w:top w:val="nil"/>
                <w:left w:val="nil"/>
                <w:bottom w:val="nil"/>
                <w:right w:val="nil"/>
                <w:between w:val="nil"/>
              </w:pBdr>
              <w:rPr>
                <w:color w:val="000000"/>
              </w:rPr>
            </w:pPr>
            <w:r>
              <w:rPr>
                <w:color w:val="000000"/>
              </w:rPr>
              <w:t>Descrição da atividade</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74F8C05" w14:textId="77777777" w:rsidR="008B2B96" w:rsidRDefault="00000000">
            <w:pPr>
              <w:pBdr>
                <w:top w:val="nil"/>
                <w:left w:val="nil"/>
                <w:bottom w:val="nil"/>
                <w:right w:val="nil"/>
                <w:between w:val="nil"/>
              </w:pBdr>
              <w:rPr>
                <w:color w:val="000000"/>
              </w:rPr>
            </w:pPr>
            <w:r>
              <w:rPr>
                <w:color w:val="000000"/>
              </w:rPr>
              <w:t>Tipo de serviço, modelo de negócio, clientes-alvo e área geográfica de prestação, incluindo eventual contributo para zonas rurais e insulares.</w:t>
            </w:r>
          </w:p>
        </w:tc>
      </w:tr>
      <w:tr w:rsidR="008B2B96" w14:paraId="51B02692" w14:textId="77777777">
        <w:trPr>
          <w:trHeight w:val="6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1CD390" w14:textId="77777777" w:rsidR="008B2B96" w:rsidRDefault="00000000">
            <w:pPr>
              <w:pBdr>
                <w:top w:val="nil"/>
                <w:left w:val="nil"/>
                <w:bottom w:val="nil"/>
                <w:right w:val="nil"/>
                <w:between w:val="nil"/>
              </w:pBdr>
              <w:rPr>
                <w:color w:val="000000"/>
              </w:rPr>
            </w:pPr>
            <w:r>
              <w:rPr>
                <w:color w:val="000000"/>
              </w:rPr>
              <w:t>Sistema de satélite</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ED179F" w14:textId="77777777" w:rsidR="008B2B96" w:rsidRDefault="00000000">
            <w:pPr>
              <w:pBdr>
                <w:top w:val="nil"/>
                <w:left w:val="nil"/>
                <w:bottom w:val="nil"/>
                <w:right w:val="nil"/>
                <w:between w:val="nil"/>
              </w:pBdr>
              <w:rPr>
                <w:color w:val="000000"/>
              </w:rPr>
            </w:pPr>
            <w:r>
              <w:rPr>
                <w:color w:val="000000"/>
              </w:rPr>
              <w:t>Identificação do operador, constelação e órbita.</w:t>
            </w:r>
          </w:p>
        </w:tc>
      </w:tr>
      <w:tr w:rsidR="008B2B96" w14:paraId="59C771C1" w14:textId="77777777">
        <w:trPr>
          <w:trHeight w:val="12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C499F6" w14:textId="77777777" w:rsidR="008B2B96" w:rsidRDefault="00000000">
            <w:pPr>
              <w:pBdr>
                <w:top w:val="nil"/>
                <w:left w:val="nil"/>
                <w:bottom w:val="nil"/>
                <w:right w:val="nil"/>
                <w:between w:val="nil"/>
              </w:pBdr>
              <w:rPr>
                <w:color w:val="000000"/>
              </w:rPr>
            </w:pPr>
            <w:r>
              <w:rPr>
                <w:color w:val="000000"/>
              </w:rPr>
              <w:t>Frequências e parâmetros técnicos</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5353ED" w14:textId="77777777" w:rsidR="008B2B96" w:rsidRDefault="00000000">
            <w:pPr>
              <w:pBdr>
                <w:top w:val="nil"/>
                <w:left w:val="nil"/>
                <w:bottom w:val="nil"/>
                <w:right w:val="nil"/>
                <w:between w:val="nil"/>
              </w:pBdr>
              <w:rPr>
                <w:color w:val="000000"/>
              </w:rPr>
            </w:pPr>
            <w:r>
              <w:rPr>
                <w:color w:val="000000"/>
              </w:rPr>
              <w:t>Bandas, larguras de banda, potência, EIRP, polarização, diagramas de antena e parâmetros de coexistência, incluindo compatibilidade com o QNAF.</w:t>
            </w:r>
          </w:p>
        </w:tc>
      </w:tr>
      <w:tr w:rsidR="008B2B96" w14:paraId="7C6E2060" w14:textId="77777777">
        <w:trPr>
          <w:trHeight w:val="9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3DDF7" w14:textId="77777777" w:rsidR="008B2B96" w:rsidRDefault="00000000">
            <w:pPr>
              <w:pBdr>
                <w:top w:val="nil"/>
                <w:left w:val="nil"/>
                <w:bottom w:val="nil"/>
                <w:right w:val="nil"/>
                <w:between w:val="nil"/>
              </w:pBdr>
              <w:rPr>
                <w:color w:val="000000"/>
              </w:rPr>
            </w:pPr>
            <w:r>
              <w:rPr>
                <w:color w:val="000000"/>
              </w:rPr>
              <w:t>Infraestruturas locais</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47394D" w14:textId="77777777" w:rsidR="008B2B96" w:rsidRDefault="00000000">
            <w:pPr>
              <w:pBdr>
                <w:top w:val="nil"/>
                <w:left w:val="nil"/>
                <w:bottom w:val="nil"/>
                <w:right w:val="nil"/>
                <w:between w:val="nil"/>
              </w:pBdr>
              <w:rPr>
                <w:color w:val="000000"/>
              </w:rPr>
            </w:pPr>
            <w:r>
              <w:rPr>
                <w:color w:val="000000"/>
              </w:rPr>
              <w:t>Gateways, estações terrenas, VSAT, TT&amp;C, pontos de presença, localização, coordenadas e medidas de segurança.</w:t>
            </w:r>
          </w:p>
        </w:tc>
      </w:tr>
      <w:tr w:rsidR="008B2B96" w14:paraId="4844BC03" w14:textId="77777777">
        <w:trPr>
          <w:trHeight w:val="9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7DD082D" w14:textId="77777777" w:rsidR="008B2B96" w:rsidRDefault="00000000">
            <w:pPr>
              <w:pBdr>
                <w:top w:val="nil"/>
                <w:left w:val="nil"/>
                <w:bottom w:val="nil"/>
                <w:right w:val="nil"/>
                <w:between w:val="nil"/>
              </w:pBdr>
              <w:rPr>
                <w:color w:val="000000"/>
              </w:rPr>
            </w:pPr>
            <w:r>
              <w:rPr>
                <w:color w:val="000000"/>
              </w:rPr>
              <w:t>Terminais</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8F5F37" w14:textId="77777777" w:rsidR="008B2B96" w:rsidRDefault="00000000">
            <w:pPr>
              <w:pBdr>
                <w:top w:val="nil"/>
                <w:left w:val="nil"/>
                <w:bottom w:val="nil"/>
                <w:right w:val="nil"/>
                <w:between w:val="nil"/>
              </w:pBdr>
              <w:rPr>
                <w:color w:val="000000"/>
              </w:rPr>
            </w:pPr>
            <w:r>
              <w:rPr>
                <w:color w:val="000000"/>
              </w:rPr>
              <w:t>Tipos de terminais, conformidade, instalação, mobilidade, potência e regimes de utilização.</w:t>
            </w:r>
          </w:p>
        </w:tc>
      </w:tr>
      <w:tr w:rsidR="008B2B96" w14:paraId="009D1B88" w14:textId="77777777">
        <w:trPr>
          <w:trHeight w:val="9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EDA2AC" w14:textId="77777777" w:rsidR="008B2B96" w:rsidRDefault="00000000">
            <w:pPr>
              <w:pBdr>
                <w:top w:val="nil"/>
                <w:left w:val="nil"/>
                <w:bottom w:val="nil"/>
                <w:right w:val="nil"/>
                <w:between w:val="nil"/>
              </w:pBdr>
              <w:rPr>
                <w:color w:val="000000"/>
              </w:rPr>
            </w:pPr>
            <w:r>
              <w:rPr>
                <w:color w:val="000000"/>
              </w:rPr>
              <w:t>Gestão de interferências</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866352" w14:textId="77777777" w:rsidR="008B2B96" w:rsidRDefault="00000000">
            <w:pPr>
              <w:pBdr>
                <w:top w:val="nil"/>
                <w:left w:val="nil"/>
                <w:bottom w:val="nil"/>
                <w:right w:val="nil"/>
                <w:between w:val="nil"/>
              </w:pBdr>
              <w:rPr>
                <w:color w:val="000000"/>
              </w:rPr>
            </w:pPr>
            <w:r>
              <w:rPr>
                <w:color w:val="000000"/>
              </w:rPr>
              <w:t xml:space="preserve">Plano de prevenção, deteção, </w:t>
            </w:r>
            <w:r>
              <w:t>reporte</w:t>
            </w:r>
            <w:r>
              <w:rPr>
                <w:color w:val="000000"/>
              </w:rPr>
              <w:t>, mitigação e cooperação com outros operadores, civis e militares.</w:t>
            </w:r>
          </w:p>
        </w:tc>
      </w:tr>
      <w:tr w:rsidR="008B2B96" w14:paraId="3C5356AE" w14:textId="77777777">
        <w:trPr>
          <w:trHeight w:val="9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35E29C" w14:textId="77777777" w:rsidR="008B2B96" w:rsidRDefault="00000000">
            <w:pPr>
              <w:pBdr>
                <w:top w:val="nil"/>
                <w:left w:val="nil"/>
                <w:bottom w:val="nil"/>
                <w:right w:val="nil"/>
                <w:between w:val="nil"/>
              </w:pBdr>
              <w:rPr>
                <w:color w:val="000000"/>
              </w:rPr>
            </w:pPr>
            <w:r>
              <w:rPr>
                <w:color w:val="000000"/>
              </w:rPr>
              <w:t>Segurança e continuidade</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348F8" w14:textId="77777777" w:rsidR="008B2B96" w:rsidRDefault="00000000">
            <w:pPr>
              <w:pBdr>
                <w:top w:val="nil"/>
                <w:left w:val="nil"/>
                <w:bottom w:val="nil"/>
                <w:right w:val="nil"/>
                <w:between w:val="nil"/>
              </w:pBdr>
              <w:rPr>
                <w:color w:val="000000"/>
              </w:rPr>
            </w:pPr>
            <w:proofErr w:type="spellStart"/>
            <w:r>
              <w:rPr>
                <w:color w:val="000000"/>
              </w:rPr>
              <w:t>Cibersegurança</w:t>
            </w:r>
            <w:proofErr w:type="spellEnd"/>
            <w:r>
              <w:rPr>
                <w:color w:val="000000"/>
              </w:rPr>
              <w:t>, redundância, continuidade de negócio, resposta a incidentes e recuperação de serviço.</w:t>
            </w:r>
          </w:p>
        </w:tc>
      </w:tr>
      <w:tr w:rsidR="008B2B96" w14:paraId="38D0BFE4" w14:textId="77777777">
        <w:trPr>
          <w:trHeight w:val="9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3127C0" w14:textId="77777777" w:rsidR="008B2B96" w:rsidRDefault="00000000">
            <w:pPr>
              <w:pBdr>
                <w:top w:val="nil"/>
                <w:left w:val="nil"/>
                <w:bottom w:val="nil"/>
                <w:right w:val="nil"/>
                <w:between w:val="nil"/>
              </w:pBdr>
              <w:rPr>
                <w:color w:val="000000"/>
              </w:rPr>
            </w:pPr>
            <w:r>
              <w:rPr>
                <w:color w:val="000000"/>
              </w:rPr>
              <w:t>Proteção dos utilizadores</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CEE916" w14:textId="77777777" w:rsidR="008B2B96" w:rsidRDefault="00000000">
            <w:pPr>
              <w:pBdr>
                <w:top w:val="nil"/>
                <w:left w:val="nil"/>
                <w:bottom w:val="nil"/>
                <w:right w:val="nil"/>
                <w:between w:val="nil"/>
              </w:pBdr>
              <w:rPr>
                <w:color w:val="000000"/>
              </w:rPr>
            </w:pPr>
            <w:r>
              <w:rPr>
                <w:color w:val="000000"/>
              </w:rPr>
              <w:t>Condições contratuais, preços, qualidade, cobertura, reclamações e informação transparente.</w:t>
            </w:r>
          </w:p>
        </w:tc>
      </w:tr>
      <w:tr w:rsidR="008B2B96" w14:paraId="58C0DC28" w14:textId="77777777">
        <w:trPr>
          <w:trHeight w:val="900"/>
        </w:trPr>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5E71EF" w14:textId="77777777" w:rsidR="008B2B96" w:rsidRDefault="00000000">
            <w:pPr>
              <w:pBdr>
                <w:top w:val="nil"/>
                <w:left w:val="nil"/>
                <w:bottom w:val="nil"/>
                <w:right w:val="nil"/>
                <w:between w:val="nil"/>
              </w:pBdr>
            </w:pPr>
            <w:r>
              <w:t>Conformidade legal</w:t>
            </w:r>
          </w:p>
        </w:tc>
        <w:tc>
          <w:tcPr>
            <w:tcW w:w="45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5AB14" w14:textId="77777777" w:rsidR="008B2B96" w:rsidRDefault="00000000">
            <w:pPr>
              <w:pBdr>
                <w:top w:val="nil"/>
                <w:left w:val="nil"/>
                <w:bottom w:val="nil"/>
                <w:right w:val="nil"/>
                <w:between w:val="nil"/>
              </w:pBdr>
            </w:pPr>
            <w:r>
              <w:t>Proteção de dados, privacidade, colaboração legal, taxas, QNAF e legislação setorial aplicável.</w:t>
            </w:r>
          </w:p>
        </w:tc>
      </w:tr>
    </w:tbl>
    <w:p w14:paraId="79CAC5B7" w14:textId="77777777" w:rsidR="008B2B96" w:rsidRDefault="008B2B96">
      <w:pPr>
        <w:widowControl w:val="0"/>
        <w:pBdr>
          <w:top w:val="nil"/>
          <w:left w:val="nil"/>
          <w:bottom w:val="nil"/>
          <w:right w:val="nil"/>
          <w:between w:val="nil"/>
        </w:pBdr>
        <w:spacing w:before="200" w:after="200"/>
        <w:rPr>
          <w:color w:val="2E74B5"/>
        </w:rPr>
      </w:pPr>
    </w:p>
    <w:sectPr w:rsidR="008B2B96" w:rsidSect="005C3C0B">
      <w:headerReference w:type="default" r:id="rId9"/>
      <w:footerReference w:type="default" r:id="rId10"/>
      <w:pgSz w:w="11900" w:h="16840"/>
      <w:pgMar w:top="1440" w:right="1440" w:bottom="1440" w:left="1440" w:header="708" w:footer="708"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8A007" w14:textId="77777777" w:rsidR="00CD5347" w:rsidRDefault="00CD5347">
      <w:r>
        <w:separator/>
      </w:r>
    </w:p>
  </w:endnote>
  <w:endnote w:type="continuationSeparator" w:id="0">
    <w:p w14:paraId="7E6FD28F" w14:textId="77777777" w:rsidR="00CD5347" w:rsidRDefault="00CD5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7377D35-731F-4BD1-90C4-1A6127407322}"/>
  </w:font>
  <w:font w:name="Arial Unicode MS">
    <w:panose1 w:val="020B0604020202020204"/>
    <w:charset w:val="00"/>
    <w:family w:val="roman"/>
    <w:pitch w:val="variable"/>
    <w:sig w:usb0="00000003" w:usb1="00000000" w:usb2="00000000" w:usb3="00000000" w:csb0="00000001" w:csb1="00000000"/>
  </w:font>
  <w:font w:name="Helvetica Neue">
    <w:charset w:val="00"/>
    <w:family w:val="auto"/>
    <w:pitch w:val="default"/>
    <w:embedRegular r:id="rId2" w:fontKey="{C40FB1E5-F180-48F8-B19C-B43597601A20}"/>
  </w:font>
  <w:font w:name="Georgia">
    <w:panose1 w:val="02040502050405020303"/>
    <w:charset w:val="00"/>
    <w:family w:val="roman"/>
    <w:pitch w:val="variable"/>
    <w:sig w:usb0="00000287" w:usb1="00000000" w:usb2="00000000" w:usb3="00000000" w:csb0="0000009F" w:csb1="00000000"/>
    <w:embedItalic r:id="rId3" w:fontKey="{0527AABC-BC6C-4620-9886-07FFD5DBA22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35120"/>
      <w:docPartObj>
        <w:docPartGallery w:val="Page Numbers (Bottom of Page)"/>
        <w:docPartUnique/>
      </w:docPartObj>
    </w:sdtPr>
    <w:sdtContent>
      <w:sdt>
        <w:sdtPr>
          <w:id w:val="-1769616900"/>
          <w:docPartObj>
            <w:docPartGallery w:val="Page Numbers (Top of Page)"/>
            <w:docPartUnique/>
          </w:docPartObj>
        </w:sdtPr>
        <w:sdtContent>
          <w:p w14:paraId="26BD30DC" w14:textId="3B408305" w:rsidR="005C3C0B" w:rsidRDefault="005C3C0B">
            <w:pPr>
              <w:pStyle w:val="Rodap"/>
              <w:jc w:val="right"/>
            </w:pPr>
            <w:r>
              <w:t xml:space="preserve">Página </w:t>
            </w:r>
            <w:r>
              <w:rPr>
                <w:b/>
                <w:bCs/>
              </w:rPr>
              <w:fldChar w:fldCharType="begin"/>
            </w:r>
            <w:r>
              <w:rPr>
                <w:b/>
                <w:bCs/>
              </w:rPr>
              <w:instrText>PAGE</w:instrText>
            </w:r>
            <w:r>
              <w:rPr>
                <w:b/>
                <w:bCs/>
              </w:rPr>
              <w:fldChar w:fldCharType="separate"/>
            </w:r>
            <w:r>
              <w:rPr>
                <w:b/>
                <w:bCs/>
              </w:rPr>
              <w:t>2</w:t>
            </w:r>
            <w:r>
              <w:rPr>
                <w:b/>
                <w:bCs/>
              </w:rPr>
              <w:fldChar w:fldCharType="end"/>
            </w:r>
            <w:r>
              <w:t xml:space="preserve"> de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61E27A7E" w14:textId="77777777" w:rsidR="005C3C0B" w:rsidRDefault="005C3C0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9481F" w14:textId="77777777" w:rsidR="00CD5347" w:rsidRDefault="00CD5347">
      <w:r>
        <w:separator/>
      </w:r>
    </w:p>
  </w:footnote>
  <w:footnote w:type="continuationSeparator" w:id="0">
    <w:p w14:paraId="0D96548F" w14:textId="77777777" w:rsidR="00CD5347" w:rsidRDefault="00CD5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7F1D5" w14:textId="77777777" w:rsidR="008B2B96" w:rsidRDefault="008B2B96">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0FE"/>
    <w:multiLevelType w:val="multilevel"/>
    <w:tmpl w:val="1A42B008"/>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788" w:hanging="360"/>
      </w:pPr>
      <w:rPr>
        <w:smallCaps w:val="0"/>
        <w:strike w:val="0"/>
        <w:shd w:val="clear" w:color="auto" w:fill="auto"/>
        <w:vertAlign w:val="baseline"/>
      </w:rPr>
    </w:lvl>
    <w:lvl w:ilvl="2">
      <w:start w:val="1"/>
      <w:numFmt w:val="lowerRoman"/>
      <w:lvlText w:val="%3."/>
      <w:lvlJc w:val="left"/>
      <w:pPr>
        <w:ind w:left="2508" w:hanging="300"/>
      </w:pPr>
      <w:rPr>
        <w:smallCaps w:val="0"/>
        <w:strike w:val="0"/>
        <w:shd w:val="clear" w:color="auto" w:fill="auto"/>
        <w:vertAlign w:val="baseline"/>
      </w:rPr>
    </w:lvl>
    <w:lvl w:ilvl="3">
      <w:start w:val="1"/>
      <w:numFmt w:val="decimal"/>
      <w:lvlText w:val="%4."/>
      <w:lvlJc w:val="left"/>
      <w:pPr>
        <w:ind w:left="3228" w:hanging="360"/>
      </w:pPr>
      <w:rPr>
        <w:smallCaps w:val="0"/>
        <w:strike w:val="0"/>
        <w:shd w:val="clear" w:color="auto" w:fill="auto"/>
        <w:vertAlign w:val="baseline"/>
      </w:rPr>
    </w:lvl>
    <w:lvl w:ilvl="4">
      <w:start w:val="1"/>
      <w:numFmt w:val="lowerLetter"/>
      <w:lvlText w:val="%5."/>
      <w:lvlJc w:val="left"/>
      <w:pPr>
        <w:ind w:left="3948" w:hanging="360"/>
      </w:pPr>
      <w:rPr>
        <w:smallCaps w:val="0"/>
        <w:strike w:val="0"/>
        <w:shd w:val="clear" w:color="auto" w:fill="auto"/>
        <w:vertAlign w:val="baseline"/>
      </w:rPr>
    </w:lvl>
    <w:lvl w:ilvl="5">
      <w:start w:val="1"/>
      <w:numFmt w:val="lowerRoman"/>
      <w:lvlText w:val="%6."/>
      <w:lvlJc w:val="left"/>
      <w:pPr>
        <w:ind w:left="4668" w:hanging="300"/>
      </w:pPr>
      <w:rPr>
        <w:smallCaps w:val="0"/>
        <w:strike w:val="0"/>
        <w:shd w:val="clear" w:color="auto" w:fill="auto"/>
        <w:vertAlign w:val="baseline"/>
      </w:rPr>
    </w:lvl>
    <w:lvl w:ilvl="6">
      <w:start w:val="1"/>
      <w:numFmt w:val="decimal"/>
      <w:lvlText w:val="%7."/>
      <w:lvlJc w:val="left"/>
      <w:pPr>
        <w:ind w:left="5388" w:hanging="360"/>
      </w:pPr>
      <w:rPr>
        <w:smallCaps w:val="0"/>
        <w:strike w:val="0"/>
        <w:shd w:val="clear" w:color="auto" w:fill="auto"/>
        <w:vertAlign w:val="baseline"/>
      </w:rPr>
    </w:lvl>
    <w:lvl w:ilvl="7">
      <w:start w:val="1"/>
      <w:numFmt w:val="lowerLetter"/>
      <w:lvlText w:val="%8."/>
      <w:lvlJc w:val="left"/>
      <w:pPr>
        <w:ind w:left="6108" w:hanging="360"/>
      </w:pPr>
      <w:rPr>
        <w:smallCaps w:val="0"/>
        <w:strike w:val="0"/>
        <w:shd w:val="clear" w:color="auto" w:fill="auto"/>
        <w:vertAlign w:val="baseline"/>
      </w:rPr>
    </w:lvl>
    <w:lvl w:ilvl="8">
      <w:start w:val="1"/>
      <w:numFmt w:val="lowerRoman"/>
      <w:lvlText w:val="%9."/>
      <w:lvlJc w:val="left"/>
      <w:pPr>
        <w:ind w:left="6828" w:hanging="300"/>
      </w:pPr>
      <w:rPr>
        <w:smallCaps w:val="0"/>
        <w:strike w:val="0"/>
        <w:shd w:val="clear" w:color="auto" w:fill="auto"/>
        <w:vertAlign w:val="baseline"/>
      </w:rPr>
    </w:lvl>
  </w:abstractNum>
  <w:abstractNum w:abstractNumId="1" w15:restartNumberingAfterBreak="0">
    <w:nsid w:val="0363093A"/>
    <w:multiLevelType w:val="multilevel"/>
    <w:tmpl w:val="3FF61DA6"/>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2" w15:restartNumberingAfterBreak="0">
    <w:nsid w:val="06FA6770"/>
    <w:multiLevelType w:val="multilevel"/>
    <w:tmpl w:val="1EC01954"/>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 w15:restartNumberingAfterBreak="0">
    <w:nsid w:val="07DF16E6"/>
    <w:multiLevelType w:val="multilevel"/>
    <w:tmpl w:val="43103CE4"/>
    <w:lvl w:ilvl="0">
      <w:start w:val="1"/>
      <w:numFmt w:val="decimal"/>
      <w:lvlText w:val="%1."/>
      <w:lvlJc w:val="left"/>
      <w:pPr>
        <w:ind w:left="375" w:hanging="375"/>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 w15:restartNumberingAfterBreak="0">
    <w:nsid w:val="0BA8533D"/>
    <w:multiLevelType w:val="multilevel"/>
    <w:tmpl w:val="1FE03F42"/>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5" w15:restartNumberingAfterBreak="0">
    <w:nsid w:val="0C640AA9"/>
    <w:multiLevelType w:val="multilevel"/>
    <w:tmpl w:val="65B43764"/>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6" w15:restartNumberingAfterBreak="0">
    <w:nsid w:val="0DF05835"/>
    <w:multiLevelType w:val="multilevel"/>
    <w:tmpl w:val="3E5A8D22"/>
    <w:lvl w:ilvl="0">
      <w:start w:val="3"/>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7" w15:restartNumberingAfterBreak="0">
    <w:nsid w:val="0E0100D0"/>
    <w:multiLevelType w:val="multilevel"/>
    <w:tmpl w:val="A3D6D598"/>
    <w:lvl w:ilvl="0">
      <w:start w:val="1"/>
      <w:numFmt w:val="lowerLetter"/>
      <w:lvlText w:val="%1)"/>
      <w:lvlJc w:val="left"/>
      <w:pPr>
        <w:ind w:left="72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8" w15:restartNumberingAfterBreak="0">
    <w:nsid w:val="0FAB52A1"/>
    <w:multiLevelType w:val="multilevel"/>
    <w:tmpl w:val="7BCCB966"/>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9" w15:restartNumberingAfterBreak="0">
    <w:nsid w:val="12561C1C"/>
    <w:multiLevelType w:val="multilevel"/>
    <w:tmpl w:val="32C2B13C"/>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0" w15:restartNumberingAfterBreak="0">
    <w:nsid w:val="14BB04DD"/>
    <w:multiLevelType w:val="multilevel"/>
    <w:tmpl w:val="95E4B65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1" w15:restartNumberingAfterBreak="0">
    <w:nsid w:val="1511547B"/>
    <w:multiLevelType w:val="multilevel"/>
    <w:tmpl w:val="58C269C2"/>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2" w15:restartNumberingAfterBreak="0">
    <w:nsid w:val="15877DAD"/>
    <w:multiLevelType w:val="multilevel"/>
    <w:tmpl w:val="350A3EB4"/>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3" w15:restartNumberingAfterBreak="0">
    <w:nsid w:val="199C3130"/>
    <w:multiLevelType w:val="multilevel"/>
    <w:tmpl w:val="649AF44C"/>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4" w15:restartNumberingAfterBreak="0">
    <w:nsid w:val="1B2630FC"/>
    <w:multiLevelType w:val="multilevel"/>
    <w:tmpl w:val="C7802C74"/>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5" w15:restartNumberingAfterBreak="0">
    <w:nsid w:val="1D7C45E7"/>
    <w:multiLevelType w:val="multilevel"/>
    <w:tmpl w:val="E4A882A6"/>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6" w15:restartNumberingAfterBreak="0">
    <w:nsid w:val="1E3B7672"/>
    <w:multiLevelType w:val="multilevel"/>
    <w:tmpl w:val="7BBC657A"/>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7" w15:restartNumberingAfterBreak="0">
    <w:nsid w:val="20D26283"/>
    <w:multiLevelType w:val="multilevel"/>
    <w:tmpl w:val="194AA9FE"/>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8" w15:restartNumberingAfterBreak="0">
    <w:nsid w:val="211B53D9"/>
    <w:multiLevelType w:val="multilevel"/>
    <w:tmpl w:val="F89C0FAE"/>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19" w15:restartNumberingAfterBreak="0">
    <w:nsid w:val="23191F56"/>
    <w:multiLevelType w:val="multilevel"/>
    <w:tmpl w:val="DF06A0E2"/>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0" w15:restartNumberingAfterBreak="0">
    <w:nsid w:val="23937AA7"/>
    <w:multiLevelType w:val="multilevel"/>
    <w:tmpl w:val="6B60A11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1" w15:restartNumberingAfterBreak="0">
    <w:nsid w:val="250446BC"/>
    <w:multiLevelType w:val="multilevel"/>
    <w:tmpl w:val="C1847A60"/>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2" w15:restartNumberingAfterBreak="0">
    <w:nsid w:val="25B36D7C"/>
    <w:multiLevelType w:val="multilevel"/>
    <w:tmpl w:val="E5104220"/>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788" w:hanging="360"/>
      </w:pPr>
      <w:rPr>
        <w:smallCaps w:val="0"/>
        <w:strike w:val="0"/>
        <w:shd w:val="clear" w:color="auto" w:fill="auto"/>
        <w:vertAlign w:val="baseline"/>
      </w:rPr>
    </w:lvl>
    <w:lvl w:ilvl="2">
      <w:start w:val="1"/>
      <w:numFmt w:val="lowerRoman"/>
      <w:lvlText w:val="%3."/>
      <w:lvlJc w:val="left"/>
      <w:pPr>
        <w:ind w:left="2508" w:hanging="300"/>
      </w:pPr>
      <w:rPr>
        <w:smallCaps w:val="0"/>
        <w:strike w:val="0"/>
        <w:shd w:val="clear" w:color="auto" w:fill="auto"/>
        <w:vertAlign w:val="baseline"/>
      </w:rPr>
    </w:lvl>
    <w:lvl w:ilvl="3">
      <w:start w:val="1"/>
      <w:numFmt w:val="decimal"/>
      <w:lvlText w:val="%4."/>
      <w:lvlJc w:val="left"/>
      <w:pPr>
        <w:ind w:left="3228" w:hanging="360"/>
      </w:pPr>
      <w:rPr>
        <w:smallCaps w:val="0"/>
        <w:strike w:val="0"/>
        <w:shd w:val="clear" w:color="auto" w:fill="auto"/>
        <w:vertAlign w:val="baseline"/>
      </w:rPr>
    </w:lvl>
    <w:lvl w:ilvl="4">
      <w:start w:val="1"/>
      <w:numFmt w:val="lowerLetter"/>
      <w:lvlText w:val="%5."/>
      <w:lvlJc w:val="left"/>
      <w:pPr>
        <w:ind w:left="3948" w:hanging="360"/>
      </w:pPr>
      <w:rPr>
        <w:smallCaps w:val="0"/>
        <w:strike w:val="0"/>
        <w:shd w:val="clear" w:color="auto" w:fill="auto"/>
        <w:vertAlign w:val="baseline"/>
      </w:rPr>
    </w:lvl>
    <w:lvl w:ilvl="5">
      <w:start w:val="1"/>
      <w:numFmt w:val="lowerRoman"/>
      <w:lvlText w:val="%6."/>
      <w:lvlJc w:val="left"/>
      <w:pPr>
        <w:ind w:left="4668" w:hanging="300"/>
      </w:pPr>
      <w:rPr>
        <w:smallCaps w:val="0"/>
        <w:strike w:val="0"/>
        <w:shd w:val="clear" w:color="auto" w:fill="auto"/>
        <w:vertAlign w:val="baseline"/>
      </w:rPr>
    </w:lvl>
    <w:lvl w:ilvl="6">
      <w:start w:val="1"/>
      <w:numFmt w:val="decimal"/>
      <w:lvlText w:val="%7."/>
      <w:lvlJc w:val="left"/>
      <w:pPr>
        <w:ind w:left="5388" w:hanging="360"/>
      </w:pPr>
      <w:rPr>
        <w:smallCaps w:val="0"/>
        <w:strike w:val="0"/>
        <w:shd w:val="clear" w:color="auto" w:fill="auto"/>
        <w:vertAlign w:val="baseline"/>
      </w:rPr>
    </w:lvl>
    <w:lvl w:ilvl="7">
      <w:start w:val="1"/>
      <w:numFmt w:val="lowerLetter"/>
      <w:lvlText w:val="%8."/>
      <w:lvlJc w:val="left"/>
      <w:pPr>
        <w:ind w:left="6108" w:hanging="360"/>
      </w:pPr>
      <w:rPr>
        <w:smallCaps w:val="0"/>
        <w:strike w:val="0"/>
        <w:shd w:val="clear" w:color="auto" w:fill="auto"/>
        <w:vertAlign w:val="baseline"/>
      </w:rPr>
    </w:lvl>
    <w:lvl w:ilvl="8">
      <w:start w:val="1"/>
      <w:numFmt w:val="lowerRoman"/>
      <w:lvlText w:val="%9."/>
      <w:lvlJc w:val="left"/>
      <w:pPr>
        <w:ind w:left="6828" w:hanging="300"/>
      </w:pPr>
      <w:rPr>
        <w:smallCaps w:val="0"/>
        <w:strike w:val="0"/>
        <w:shd w:val="clear" w:color="auto" w:fill="auto"/>
        <w:vertAlign w:val="baseline"/>
      </w:rPr>
    </w:lvl>
  </w:abstractNum>
  <w:abstractNum w:abstractNumId="23" w15:restartNumberingAfterBreak="0">
    <w:nsid w:val="2A2D2CDA"/>
    <w:multiLevelType w:val="multilevel"/>
    <w:tmpl w:val="CBCAA4E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4" w15:restartNumberingAfterBreak="0">
    <w:nsid w:val="3A92438B"/>
    <w:multiLevelType w:val="multilevel"/>
    <w:tmpl w:val="C982F836"/>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5" w15:restartNumberingAfterBreak="0">
    <w:nsid w:val="3D3016FA"/>
    <w:multiLevelType w:val="multilevel"/>
    <w:tmpl w:val="70C23BE0"/>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26" w15:restartNumberingAfterBreak="0">
    <w:nsid w:val="3FB13981"/>
    <w:multiLevelType w:val="multilevel"/>
    <w:tmpl w:val="708E671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7" w15:restartNumberingAfterBreak="0">
    <w:nsid w:val="402917A5"/>
    <w:multiLevelType w:val="multilevel"/>
    <w:tmpl w:val="A7B67E5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8" w15:restartNumberingAfterBreak="0">
    <w:nsid w:val="428B014B"/>
    <w:multiLevelType w:val="multilevel"/>
    <w:tmpl w:val="837253EA"/>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29" w15:restartNumberingAfterBreak="0">
    <w:nsid w:val="431C42AC"/>
    <w:multiLevelType w:val="multilevel"/>
    <w:tmpl w:val="22742714"/>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0" w15:restartNumberingAfterBreak="0">
    <w:nsid w:val="45E52A4C"/>
    <w:multiLevelType w:val="multilevel"/>
    <w:tmpl w:val="AC804AF6"/>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1" w15:restartNumberingAfterBreak="0">
    <w:nsid w:val="46E87E25"/>
    <w:multiLevelType w:val="multilevel"/>
    <w:tmpl w:val="5826039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2" w15:restartNumberingAfterBreak="0">
    <w:nsid w:val="4C116C0D"/>
    <w:multiLevelType w:val="multilevel"/>
    <w:tmpl w:val="04E41326"/>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3" w15:restartNumberingAfterBreak="0">
    <w:nsid w:val="4E794002"/>
    <w:multiLevelType w:val="multilevel"/>
    <w:tmpl w:val="8A66F37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4" w15:restartNumberingAfterBreak="0">
    <w:nsid w:val="51283F65"/>
    <w:multiLevelType w:val="multilevel"/>
    <w:tmpl w:val="9D38EA46"/>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5" w15:restartNumberingAfterBreak="0">
    <w:nsid w:val="521651F5"/>
    <w:multiLevelType w:val="multilevel"/>
    <w:tmpl w:val="D3329B7E"/>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36" w15:restartNumberingAfterBreak="0">
    <w:nsid w:val="542601D0"/>
    <w:multiLevelType w:val="multilevel"/>
    <w:tmpl w:val="84B22016"/>
    <w:lvl w:ilvl="0">
      <w:start w:val="3"/>
      <w:numFmt w:val="decimal"/>
      <w:lvlText w:val="%1."/>
      <w:lvlJc w:val="left"/>
      <w:pPr>
        <w:ind w:left="375" w:hanging="375"/>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7" w15:restartNumberingAfterBreak="0">
    <w:nsid w:val="549937AD"/>
    <w:multiLevelType w:val="multilevel"/>
    <w:tmpl w:val="4BAA2C22"/>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8" w15:restartNumberingAfterBreak="0">
    <w:nsid w:val="5563744D"/>
    <w:multiLevelType w:val="multilevel"/>
    <w:tmpl w:val="FD80CB0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39" w15:restartNumberingAfterBreak="0">
    <w:nsid w:val="55E45D3F"/>
    <w:multiLevelType w:val="multilevel"/>
    <w:tmpl w:val="0A3CFF80"/>
    <w:lvl w:ilvl="0">
      <w:start w:val="5"/>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0" w15:restartNumberingAfterBreak="0">
    <w:nsid w:val="583E78E7"/>
    <w:multiLevelType w:val="multilevel"/>
    <w:tmpl w:val="2688A42A"/>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1" w15:restartNumberingAfterBreak="0">
    <w:nsid w:val="59A714DF"/>
    <w:multiLevelType w:val="multilevel"/>
    <w:tmpl w:val="B7B4EC0C"/>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42" w15:restartNumberingAfterBreak="0">
    <w:nsid w:val="606B38B5"/>
    <w:multiLevelType w:val="multilevel"/>
    <w:tmpl w:val="7C3812FA"/>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3" w15:restartNumberingAfterBreak="0">
    <w:nsid w:val="61804876"/>
    <w:multiLevelType w:val="multilevel"/>
    <w:tmpl w:val="17B0027C"/>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4" w15:restartNumberingAfterBreak="0">
    <w:nsid w:val="62261481"/>
    <w:multiLevelType w:val="multilevel"/>
    <w:tmpl w:val="B836A800"/>
    <w:lvl w:ilvl="0">
      <w:start w:val="2"/>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5" w15:restartNumberingAfterBreak="0">
    <w:nsid w:val="64752AE1"/>
    <w:multiLevelType w:val="multilevel"/>
    <w:tmpl w:val="7F3CBD30"/>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46" w15:restartNumberingAfterBreak="0">
    <w:nsid w:val="658A2BD7"/>
    <w:multiLevelType w:val="multilevel"/>
    <w:tmpl w:val="3766B4F0"/>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7" w15:restartNumberingAfterBreak="0">
    <w:nsid w:val="65B47933"/>
    <w:multiLevelType w:val="multilevel"/>
    <w:tmpl w:val="FD429B9A"/>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8" w15:restartNumberingAfterBreak="0">
    <w:nsid w:val="665B708D"/>
    <w:multiLevelType w:val="multilevel"/>
    <w:tmpl w:val="415E44E2"/>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49" w15:restartNumberingAfterBreak="0">
    <w:nsid w:val="6AF038AB"/>
    <w:multiLevelType w:val="multilevel"/>
    <w:tmpl w:val="76CCE34A"/>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788" w:hanging="360"/>
      </w:pPr>
      <w:rPr>
        <w:smallCaps w:val="0"/>
        <w:strike w:val="0"/>
        <w:shd w:val="clear" w:color="auto" w:fill="auto"/>
        <w:vertAlign w:val="baseline"/>
      </w:rPr>
    </w:lvl>
    <w:lvl w:ilvl="2">
      <w:start w:val="1"/>
      <w:numFmt w:val="lowerRoman"/>
      <w:lvlText w:val="%3."/>
      <w:lvlJc w:val="left"/>
      <w:pPr>
        <w:ind w:left="2508" w:hanging="300"/>
      </w:pPr>
      <w:rPr>
        <w:smallCaps w:val="0"/>
        <w:strike w:val="0"/>
        <w:shd w:val="clear" w:color="auto" w:fill="auto"/>
        <w:vertAlign w:val="baseline"/>
      </w:rPr>
    </w:lvl>
    <w:lvl w:ilvl="3">
      <w:start w:val="1"/>
      <w:numFmt w:val="decimal"/>
      <w:lvlText w:val="%4."/>
      <w:lvlJc w:val="left"/>
      <w:pPr>
        <w:ind w:left="3228" w:hanging="360"/>
      </w:pPr>
      <w:rPr>
        <w:smallCaps w:val="0"/>
        <w:strike w:val="0"/>
        <w:shd w:val="clear" w:color="auto" w:fill="auto"/>
        <w:vertAlign w:val="baseline"/>
      </w:rPr>
    </w:lvl>
    <w:lvl w:ilvl="4">
      <w:start w:val="1"/>
      <w:numFmt w:val="lowerLetter"/>
      <w:lvlText w:val="%5."/>
      <w:lvlJc w:val="left"/>
      <w:pPr>
        <w:ind w:left="3948" w:hanging="360"/>
      </w:pPr>
      <w:rPr>
        <w:smallCaps w:val="0"/>
        <w:strike w:val="0"/>
        <w:shd w:val="clear" w:color="auto" w:fill="auto"/>
        <w:vertAlign w:val="baseline"/>
      </w:rPr>
    </w:lvl>
    <w:lvl w:ilvl="5">
      <w:start w:val="1"/>
      <w:numFmt w:val="lowerRoman"/>
      <w:lvlText w:val="%6."/>
      <w:lvlJc w:val="left"/>
      <w:pPr>
        <w:ind w:left="4668" w:hanging="300"/>
      </w:pPr>
      <w:rPr>
        <w:smallCaps w:val="0"/>
        <w:strike w:val="0"/>
        <w:shd w:val="clear" w:color="auto" w:fill="auto"/>
        <w:vertAlign w:val="baseline"/>
      </w:rPr>
    </w:lvl>
    <w:lvl w:ilvl="6">
      <w:start w:val="1"/>
      <w:numFmt w:val="decimal"/>
      <w:lvlText w:val="%7."/>
      <w:lvlJc w:val="left"/>
      <w:pPr>
        <w:ind w:left="5388" w:hanging="360"/>
      </w:pPr>
      <w:rPr>
        <w:smallCaps w:val="0"/>
        <w:strike w:val="0"/>
        <w:shd w:val="clear" w:color="auto" w:fill="auto"/>
        <w:vertAlign w:val="baseline"/>
      </w:rPr>
    </w:lvl>
    <w:lvl w:ilvl="7">
      <w:start w:val="1"/>
      <w:numFmt w:val="lowerLetter"/>
      <w:lvlText w:val="%8."/>
      <w:lvlJc w:val="left"/>
      <w:pPr>
        <w:ind w:left="6108" w:hanging="360"/>
      </w:pPr>
      <w:rPr>
        <w:smallCaps w:val="0"/>
        <w:strike w:val="0"/>
        <w:shd w:val="clear" w:color="auto" w:fill="auto"/>
        <w:vertAlign w:val="baseline"/>
      </w:rPr>
    </w:lvl>
    <w:lvl w:ilvl="8">
      <w:start w:val="1"/>
      <w:numFmt w:val="lowerRoman"/>
      <w:lvlText w:val="%9."/>
      <w:lvlJc w:val="left"/>
      <w:pPr>
        <w:ind w:left="6828" w:hanging="300"/>
      </w:pPr>
      <w:rPr>
        <w:smallCaps w:val="0"/>
        <w:strike w:val="0"/>
        <w:shd w:val="clear" w:color="auto" w:fill="auto"/>
        <w:vertAlign w:val="baseline"/>
      </w:rPr>
    </w:lvl>
  </w:abstractNum>
  <w:abstractNum w:abstractNumId="50" w15:restartNumberingAfterBreak="0">
    <w:nsid w:val="6BF56D5A"/>
    <w:multiLevelType w:val="multilevel"/>
    <w:tmpl w:val="C4EAE77E"/>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51" w15:restartNumberingAfterBreak="0">
    <w:nsid w:val="6D0C348A"/>
    <w:multiLevelType w:val="multilevel"/>
    <w:tmpl w:val="7DBAEAD8"/>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52" w15:restartNumberingAfterBreak="0">
    <w:nsid w:val="6DEF36BB"/>
    <w:multiLevelType w:val="multilevel"/>
    <w:tmpl w:val="EA08CF0A"/>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53" w15:restartNumberingAfterBreak="0">
    <w:nsid w:val="6E30753D"/>
    <w:multiLevelType w:val="multilevel"/>
    <w:tmpl w:val="E56CFCC2"/>
    <w:lvl w:ilvl="0">
      <w:start w:val="4"/>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54" w15:restartNumberingAfterBreak="0">
    <w:nsid w:val="6ED24491"/>
    <w:multiLevelType w:val="multilevel"/>
    <w:tmpl w:val="63541BD6"/>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55" w15:restartNumberingAfterBreak="0">
    <w:nsid w:val="72DE0772"/>
    <w:multiLevelType w:val="multilevel"/>
    <w:tmpl w:val="AF389052"/>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abstractNum w:abstractNumId="56" w15:restartNumberingAfterBreak="0">
    <w:nsid w:val="7DC25536"/>
    <w:multiLevelType w:val="multilevel"/>
    <w:tmpl w:val="95D6BBBC"/>
    <w:lvl w:ilvl="0">
      <w:start w:val="1"/>
      <w:numFmt w:val="lowerLetter"/>
      <w:lvlText w:val="%1)"/>
      <w:lvlJc w:val="left"/>
      <w:pPr>
        <w:ind w:left="1068"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Letter"/>
      <w:lvlText w:val="%3)"/>
      <w:lvlJc w:val="left"/>
      <w:pPr>
        <w:ind w:left="1800" w:hanging="360"/>
      </w:pPr>
      <w:rPr>
        <w:smallCaps w:val="0"/>
        <w:strike w:val="0"/>
        <w:shd w:val="clear" w:color="auto" w:fill="auto"/>
        <w:vertAlign w:val="baseline"/>
      </w:rPr>
    </w:lvl>
    <w:lvl w:ilvl="3">
      <w:start w:val="1"/>
      <w:numFmt w:val="lowerLetter"/>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Letter"/>
      <w:lvlText w:val="%6)"/>
      <w:lvlJc w:val="left"/>
      <w:pPr>
        <w:ind w:left="3960" w:hanging="360"/>
      </w:pPr>
      <w:rPr>
        <w:smallCaps w:val="0"/>
        <w:strike w:val="0"/>
        <w:shd w:val="clear" w:color="auto" w:fill="auto"/>
        <w:vertAlign w:val="baseline"/>
      </w:rPr>
    </w:lvl>
    <w:lvl w:ilvl="6">
      <w:start w:val="1"/>
      <w:numFmt w:val="lowerLetter"/>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Letter"/>
      <w:lvlText w:val="%9)"/>
      <w:lvlJc w:val="left"/>
      <w:pPr>
        <w:ind w:left="6120" w:hanging="360"/>
      </w:pPr>
      <w:rPr>
        <w:smallCaps w:val="0"/>
        <w:strike w:val="0"/>
        <w:shd w:val="clear" w:color="auto" w:fill="auto"/>
        <w:vertAlign w:val="baseline"/>
      </w:rPr>
    </w:lvl>
  </w:abstractNum>
  <w:abstractNum w:abstractNumId="57" w15:restartNumberingAfterBreak="0">
    <w:nsid w:val="7E357FED"/>
    <w:multiLevelType w:val="multilevel"/>
    <w:tmpl w:val="0E2E7C82"/>
    <w:lvl w:ilvl="0">
      <w:start w:val="1"/>
      <w:numFmt w:val="decimal"/>
      <w:lvlText w:val="%1."/>
      <w:lvlJc w:val="left"/>
      <w:pPr>
        <w:ind w:left="360" w:hanging="360"/>
      </w:pPr>
      <w:rPr>
        <w:smallCaps w:val="0"/>
        <w:strike w:val="0"/>
        <w:shd w:val="clear" w:color="auto" w:fill="auto"/>
        <w:vertAlign w:val="baseline"/>
      </w:rPr>
    </w:lvl>
    <w:lvl w:ilvl="1">
      <w:start w:val="1"/>
      <w:numFmt w:val="lowerLetter"/>
      <w:lvlText w:val="%2."/>
      <w:lvlJc w:val="left"/>
      <w:pPr>
        <w:ind w:left="1080" w:hanging="360"/>
      </w:pPr>
      <w:rPr>
        <w:smallCaps w:val="0"/>
        <w:strike w:val="0"/>
        <w:shd w:val="clear" w:color="auto" w:fill="auto"/>
        <w:vertAlign w:val="baseline"/>
      </w:rPr>
    </w:lvl>
    <w:lvl w:ilvl="2">
      <w:start w:val="1"/>
      <w:numFmt w:val="lowerRoman"/>
      <w:lvlText w:val="%3."/>
      <w:lvlJc w:val="left"/>
      <w:pPr>
        <w:ind w:left="1800" w:hanging="300"/>
      </w:pPr>
      <w:rPr>
        <w:smallCaps w:val="0"/>
        <w:strike w:val="0"/>
        <w:shd w:val="clear" w:color="auto" w:fill="auto"/>
        <w:vertAlign w:val="baseline"/>
      </w:rPr>
    </w:lvl>
    <w:lvl w:ilvl="3">
      <w:start w:val="1"/>
      <w:numFmt w:val="decimal"/>
      <w:lvlText w:val="%4."/>
      <w:lvlJc w:val="left"/>
      <w:pPr>
        <w:ind w:left="2520" w:hanging="360"/>
      </w:pPr>
      <w:rPr>
        <w:smallCaps w:val="0"/>
        <w:strike w:val="0"/>
        <w:shd w:val="clear" w:color="auto" w:fill="auto"/>
        <w:vertAlign w:val="baseline"/>
      </w:rPr>
    </w:lvl>
    <w:lvl w:ilvl="4">
      <w:start w:val="1"/>
      <w:numFmt w:val="lowerLetter"/>
      <w:lvlText w:val="%5."/>
      <w:lvlJc w:val="left"/>
      <w:pPr>
        <w:ind w:left="3240" w:hanging="360"/>
      </w:pPr>
      <w:rPr>
        <w:smallCaps w:val="0"/>
        <w:strike w:val="0"/>
        <w:shd w:val="clear" w:color="auto" w:fill="auto"/>
        <w:vertAlign w:val="baseline"/>
      </w:rPr>
    </w:lvl>
    <w:lvl w:ilvl="5">
      <w:start w:val="1"/>
      <w:numFmt w:val="lowerRoman"/>
      <w:lvlText w:val="%6."/>
      <w:lvlJc w:val="left"/>
      <w:pPr>
        <w:ind w:left="3960" w:hanging="300"/>
      </w:pPr>
      <w:rPr>
        <w:smallCaps w:val="0"/>
        <w:strike w:val="0"/>
        <w:shd w:val="clear" w:color="auto" w:fill="auto"/>
        <w:vertAlign w:val="baseline"/>
      </w:rPr>
    </w:lvl>
    <w:lvl w:ilvl="6">
      <w:start w:val="1"/>
      <w:numFmt w:val="decimal"/>
      <w:lvlText w:val="%7."/>
      <w:lvlJc w:val="left"/>
      <w:pPr>
        <w:ind w:left="4680" w:hanging="360"/>
      </w:pPr>
      <w:rPr>
        <w:smallCaps w:val="0"/>
        <w:strike w:val="0"/>
        <w:shd w:val="clear" w:color="auto" w:fill="auto"/>
        <w:vertAlign w:val="baseline"/>
      </w:rPr>
    </w:lvl>
    <w:lvl w:ilvl="7">
      <w:start w:val="1"/>
      <w:numFmt w:val="lowerLetter"/>
      <w:lvlText w:val="%8."/>
      <w:lvlJc w:val="left"/>
      <w:pPr>
        <w:ind w:left="5400" w:hanging="360"/>
      </w:pPr>
      <w:rPr>
        <w:smallCaps w:val="0"/>
        <w:strike w:val="0"/>
        <w:shd w:val="clear" w:color="auto" w:fill="auto"/>
        <w:vertAlign w:val="baseline"/>
      </w:rPr>
    </w:lvl>
    <w:lvl w:ilvl="8">
      <w:start w:val="1"/>
      <w:numFmt w:val="lowerRoman"/>
      <w:lvlText w:val="%9."/>
      <w:lvlJc w:val="left"/>
      <w:pPr>
        <w:ind w:left="6120" w:hanging="300"/>
      </w:pPr>
      <w:rPr>
        <w:smallCaps w:val="0"/>
        <w:strike w:val="0"/>
        <w:shd w:val="clear" w:color="auto" w:fill="auto"/>
        <w:vertAlign w:val="baseline"/>
      </w:rPr>
    </w:lvl>
  </w:abstractNum>
  <w:num w:numId="1" w16cid:durableId="174461224">
    <w:abstractNumId w:val="47"/>
  </w:num>
  <w:num w:numId="2" w16cid:durableId="1358310650">
    <w:abstractNumId w:val="6"/>
  </w:num>
  <w:num w:numId="3" w16cid:durableId="1939754310">
    <w:abstractNumId w:val="0"/>
  </w:num>
  <w:num w:numId="4" w16cid:durableId="2134444901">
    <w:abstractNumId w:val="53"/>
  </w:num>
  <w:num w:numId="5" w16cid:durableId="837159089">
    <w:abstractNumId w:val="15"/>
  </w:num>
  <w:num w:numId="6" w16cid:durableId="153184720">
    <w:abstractNumId w:val="49"/>
  </w:num>
  <w:num w:numId="7" w16cid:durableId="1735621410">
    <w:abstractNumId w:val="39"/>
  </w:num>
  <w:num w:numId="8" w16cid:durableId="1198272131">
    <w:abstractNumId w:val="3"/>
  </w:num>
  <w:num w:numId="9" w16cid:durableId="1194223894">
    <w:abstractNumId w:val="56"/>
  </w:num>
  <w:num w:numId="10" w16cid:durableId="1307278772">
    <w:abstractNumId w:val="36"/>
  </w:num>
  <w:num w:numId="11" w16cid:durableId="1408071870">
    <w:abstractNumId w:val="5"/>
  </w:num>
  <w:num w:numId="12" w16cid:durableId="1065298088">
    <w:abstractNumId w:val="4"/>
  </w:num>
  <w:num w:numId="13" w16cid:durableId="1455902534">
    <w:abstractNumId w:val="45"/>
  </w:num>
  <w:num w:numId="14" w16cid:durableId="537397673">
    <w:abstractNumId w:val="28"/>
  </w:num>
  <w:num w:numId="15" w16cid:durableId="2023125848">
    <w:abstractNumId w:val="13"/>
  </w:num>
  <w:num w:numId="16" w16cid:durableId="1151212757">
    <w:abstractNumId w:val="12"/>
  </w:num>
  <w:num w:numId="17" w16cid:durableId="658928686">
    <w:abstractNumId w:val="14"/>
  </w:num>
  <w:num w:numId="18" w16cid:durableId="523907045">
    <w:abstractNumId w:val="7"/>
  </w:num>
  <w:num w:numId="19" w16cid:durableId="929389932">
    <w:abstractNumId w:val="11"/>
  </w:num>
  <w:num w:numId="20" w16cid:durableId="1307203491">
    <w:abstractNumId w:val="25"/>
  </w:num>
  <w:num w:numId="21" w16cid:durableId="1426606972">
    <w:abstractNumId w:val="9"/>
  </w:num>
  <w:num w:numId="22" w16cid:durableId="384911177">
    <w:abstractNumId w:val="26"/>
  </w:num>
  <w:num w:numId="23" w16cid:durableId="763301990">
    <w:abstractNumId w:val="44"/>
  </w:num>
  <w:num w:numId="24" w16cid:durableId="447508525">
    <w:abstractNumId w:val="20"/>
  </w:num>
  <w:num w:numId="25" w16cid:durableId="1979336477">
    <w:abstractNumId w:val="33"/>
  </w:num>
  <w:num w:numId="26" w16cid:durableId="709957882">
    <w:abstractNumId w:val="38"/>
  </w:num>
  <w:num w:numId="27" w16cid:durableId="80835376">
    <w:abstractNumId w:val="46"/>
  </w:num>
  <w:num w:numId="28" w16cid:durableId="1008750089">
    <w:abstractNumId w:val="24"/>
  </w:num>
  <w:num w:numId="29" w16cid:durableId="51513121">
    <w:abstractNumId w:val="10"/>
  </w:num>
  <w:num w:numId="30" w16cid:durableId="1084961204">
    <w:abstractNumId w:val="8"/>
  </w:num>
  <w:num w:numId="31" w16cid:durableId="1843471771">
    <w:abstractNumId w:val="48"/>
  </w:num>
  <w:num w:numId="32" w16cid:durableId="976372686">
    <w:abstractNumId w:val="52"/>
  </w:num>
  <w:num w:numId="33" w16cid:durableId="1393693658">
    <w:abstractNumId w:val="40"/>
  </w:num>
  <w:num w:numId="34" w16cid:durableId="98187007">
    <w:abstractNumId w:val="37"/>
  </w:num>
  <w:num w:numId="35" w16cid:durableId="1187981251">
    <w:abstractNumId w:val="55"/>
  </w:num>
  <w:num w:numId="36" w16cid:durableId="213851108">
    <w:abstractNumId w:val="35"/>
  </w:num>
  <w:num w:numId="37" w16cid:durableId="2128884403">
    <w:abstractNumId w:val="2"/>
  </w:num>
  <w:num w:numId="38" w16cid:durableId="2053536251">
    <w:abstractNumId w:val="27"/>
  </w:num>
  <w:num w:numId="39" w16cid:durableId="1933926189">
    <w:abstractNumId w:val="16"/>
  </w:num>
  <w:num w:numId="40" w16cid:durableId="1810320141">
    <w:abstractNumId w:val="51"/>
  </w:num>
  <w:num w:numId="41" w16cid:durableId="1258320096">
    <w:abstractNumId w:val="50"/>
  </w:num>
  <w:num w:numId="42" w16cid:durableId="1497382208">
    <w:abstractNumId w:val="31"/>
  </w:num>
  <w:num w:numId="43" w16cid:durableId="1519806107">
    <w:abstractNumId w:val="23"/>
  </w:num>
  <w:num w:numId="44" w16cid:durableId="13920608">
    <w:abstractNumId w:val="57"/>
  </w:num>
  <w:num w:numId="45" w16cid:durableId="593365345">
    <w:abstractNumId w:val="43"/>
  </w:num>
  <w:num w:numId="46" w16cid:durableId="330987566">
    <w:abstractNumId w:val="32"/>
  </w:num>
  <w:num w:numId="47" w16cid:durableId="471021417">
    <w:abstractNumId w:val="18"/>
  </w:num>
  <w:num w:numId="48" w16cid:durableId="1578204719">
    <w:abstractNumId w:val="29"/>
  </w:num>
  <w:num w:numId="49" w16cid:durableId="970210640">
    <w:abstractNumId w:val="54"/>
  </w:num>
  <w:num w:numId="50" w16cid:durableId="1380276439">
    <w:abstractNumId w:val="42"/>
  </w:num>
  <w:num w:numId="51" w16cid:durableId="1441609716">
    <w:abstractNumId w:val="30"/>
  </w:num>
  <w:num w:numId="52" w16cid:durableId="1999839813">
    <w:abstractNumId w:val="1"/>
  </w:num>
  <w:num w:numId="53" w16cid:durableId="1110976535">
    <w:abstractNumId w:val="21"/>
  </w:num>
  <w:num w:numId="54" w16cid:durableId="696388993">
    <w:abstractNumId w:val="19"/>
  </w:num>
  <w:num w:numId="55" w16cid:durableId="1380281796">
    <w:abstractNumId w:val="17"/>
  </w:num>
  <w:num w:numId="56" w16cid:durableId="1145388852">
    <w:abstractNumId w:val="41"/>
  </w:num>
  <w:num w:numId="57" w16cid:durableId="1862041475">
    <w:abstractNumId w:val="34"/>
  </w:num>
  <w:num w:numId="58" w16cid:durableId="1575354772">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B96"/>
    <w:rsid w:val="004B2E19"/>
    <w:rsid w:val="005C3C0B"/>
    <w:rsid w:val="007F3913"/>
    <w:rsid w:val="008B2B96"/>
    <w:rsid w:val="00CD534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94694"/>
  <w15:docId w15:val="{7684E6F6-FAC0-4D3B-9505-ED6FE2948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pBdr>
        <w:top w:val="nil"/>
        <w:left w:val="nil"/>
        <w:bottom w:val="nil"/>
        <w:right w:val="nil"/>
        <w:between w:val="nil"/>
      </w:pBdr>
      <w:outlineLvl w:val="1"/>
    </w:pPr>
    <w:rPr>
      <w:rFonts w:ascii="Calibri" w:eastAsia="Calibri" w:hAnsi="Calibri" w:cs="Calibri"/>
      <w:color w:val="2E74B5"/>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top w:val="nil"/>
        <w:left w:val="nil"/>
        <w:bottom w:val="nil"/>
        <w:right w:val="nil"/>
        <w:between w:val="nil"/>
      </w:pBdr>
    </w:pPr>
    <w:rPr>
      <w:rFonts w:ascii="Calibri" w:eastAsia="Calibri" w:hAnsi="Calibri" w:cs="Calibri"/>
      <w:color w:val="2E74B5"/>
      <w:sz w:val="32"/>
      <w:szCs w:val="32"/>
    </w:rPr>
  </w:style>
  <w:style w:type="table" w:customStyle="1" w:styleId="TableNormal0">
    <w:name w:val="TableNormal"/>
    <w:tblPr>
      <w:tblCellMar>
        <w:top w:w="100" w:type="dxa"/>
        <w:left w:w="100" w:type="dxa"/>
        <w:bottom w:w="100" w:type="dxa"/>
        <w:right w:w="100" w:type="dxa"/>
      </w:tblCellMar>
    </w:tblPr>
  </w:style>
  <w:style w:type="character" w:styleId="Hiperligao">
    <w:name w:val="Hyperlink"/>
    <w:rPr>
      <w:u w:val="single"/>
    </w:rPr>
  </w:style>
  <w:style w:type="table" w:customStyle="1" w:styleId="TableNormal1">
    <w:name w:val="Table Normal"/>
    <w:tblPr>
      <w:tblInd w:w="0" w:type="dxa"/>
      <w:tblCellMar>
        <w:top w:w="0" w:type="dxa"/>
        <w:left w:w="0" w:type="dxa"/>
        <w:bottom w:w="0" w:type="dxa"/>
        <w:right w:w="0" w:type="dxa"/>
      </w:tblCellMar>
    </w:tblPr>
  </w:style>
  <w:style w:type="paragraph" w:customStyle="1" w:styleId="Corpo">
    <w:name w:val="Corpo"/>
    <w:rPr>
      <w:rFonts w:ascii="Calibri" w:eastAsia="Arial Unicode MS" w:hAnsi="Calibri" w:cs="Arial Unicode MS"/>
      <w:color w:val="000000"/>
      <w:sz w:val="22"/>
      <w:szCs w:val="22"/>
      <w:u w:color="000000"/>
      <w14:textOutline w14:w="0" w14:cap="flat" w14:cmpd="sng" w14:algn="ctr">
        <w14:noFill/>
        <w14:prstDash w14:val="solid"/>
        <w14:bevel/>
      </w14:textOutline>
    </w:rPr>
  </w:style>
  <w:style w:type="paragraph" w:customStyle="1" w:styleId="Cabealhoerodap">
    <w:name w:val="Cabeçalho e rodapé"/>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numbering" w:customStyle="1" w:styleId="Estiloimportado1">
    <w:name w:val="Estilo importado 1"/>
  </w:style>
  <w:style w:type="numbering" w:customStyle="1" w:styleId="Estiloimportado2">
    <w:name w:val="Estilo importado 2"/>
  </w:style>
  <w:style w:type="numbering" w:customStyle="1" w:styleId="Estiloimportado3">
    <w:name w:val="Estilo importado 3"/>
  </w:style>
  <w:style w:type="numbering" w:customStyle="1" w:styleId="Estiloimportado4">
    <w:name w:val="Estilo importado 4"/>
  </w:style>
  <w:style w:type="numbering" w:customStyle="1" w:styleId="Estiloimportado5">
    <w:name w:val="Estilo importado 5"/>
  </w:style>
  <w:style w:type="numbering" w:customStyle="1" w:styleId="Estiloimportado6">
    <w:name w:val="Estilo importado 6"/>
  </w:style>
  <w:style w:type="numbering" w:customStyle="1" w:styleId="Estiloimportado7">
    <w:name w:val="Estilo importado 7"/>
  </w:style>
  <w:style w:type="numbering" w:customStyle="1" w:styleId="Estiloimportado8">
    <w:name w:val="Estilo importado 8"/>
  </w:style>
  <w:style w:type="numbering" w:customStyle="1" w:styleId="Estiloimportado9">
    <w:name w:val="Estilo importado 9"/>
  </w:style>
  <w:style w:type="numbering" w:customStyle="1" w:styleId="Estiloimportado10">
    <w:name w:val="Estilo importado 10"/>
  </w:style>
  <w:style w:type="numbering" w:customStyle="1" w:styleId="Estiloimportado11">
    <w:name w:val="Estilo importado 11"/>
  </w:style>
  <w:style w:type="numbering" w:customStyle="1" w:styleId="Estiloimportado12">
    <w:name w:val="Estilo importado 12"/>
  </w:style>
  <w:style w:type="numbering" w:customStyle="1" w:styleId="Estiloimportado13">
    <w:name w:val="Estilo importado 13"/>
  </w:style>
  <w:style w:type="numbering" w:customStyle="1" w:styleId="Estiloimportado14">
    <w:name w:val="Estilo importado 14"/>
  </w:style>
  <w:style w:type="numbering" w:customStyle="1" w:styleId="Estiloimportado15">
    <w:name w:val="Estilo importado 15"/>
  </w:style>
  <w:style w:type="numbering" w:customStyle="1" w:styleId="Estiloimportado16">
    <w:name w:val="Estilo importado 16"/>
  </w:style>
  <w:style w:type="numbering" w:customStyle="1" w:styleId="Estiloimportado17">
    <w:name w:val="Estilo importado 17"/>
  </w:style>
  <w:style w:type="numbering" w:customStyle="1" w:styleId="Estiloimportado18">
    <w:name w:val="Estilo importado 18"/>
  </w:style>
  <w:style w:type="numbering" w:customStyle="1" w:styleId="Estiloimportado19">
    <w:name w:val="Estilo importado 19"/>
  </w:style>
  <w:style w:type="numbering" w:customStyle="1" w:styleId="Estiloimportado20">
    <w:name w:val="Estilo importado 20"/>
  </w:style>
  <w:style w:type="numbering" w:customStyle="1" w:styleId="Estiloimportado21">
    <w:name w:val="Estilo importado 21"/>
  </w:style>
  <w:style w:type="numbering" w:customStyle="1" w:styleId="Estiloimportado22">
    <w:name w:val="Estilo importado 22"/>
  </w:style>
  <w:style w:type="numbering" w:customStyle="1" w:styleId="Estiloimportado23">
    <w:name w:val="Estilo importado 23"/>
  </w:style>
  <w:style w:type="numbering" w:customStyle="1" w:styleId="Estiloimportado24">
    <w:name w:val="Estilo importado 24"/>
  </w:style>
  <w:style w:type="numbering" w:customStyle="1" w:styleId="Estiloimportado25">
    <w:name w:val="Estilo importado 25"/>
  </w:style>
  <w:style w:type="numbering" w:customStyle="1" w:styleId="Estiloimportado26">
    <w:name w:val="Estilo importado 26"/>
  </w:style>
  <w:style w:type="numbering" w:customStyle="1" w:styleId="Estiloimportado27">
    <w:name w:val="Estilo importado 27"/>
  </w:style>
  <w:style w:type="numbering" w:customStyle="1" w:styleId="Estiloimportado28">
    <w:name w:val="Estilo importado 28"/>
  </w:style>
  <w:style w:type="numbering" w:customStyle="1" w:styleId="Estiloimportado29">
    <w:name w:val="Estilo importado 29"/>
  </w:style>
  <w:style w:type="numbering" w:customStyle="1" w:styleId="Estiloimportado30">
    <w:name w:val="Estilo importado 30"/>
  </w:style>
  <w:style w:type="numbering" w:customStyle="1" w:styleId="Estiloimportado31">
    <w:name w:val="Estilo importado 31"/>
  </w:style>
  <w:style w:type="numbering" w:customStyle="1" w:styleId="Estiloimportado32">
    <w:name w:val="Estilo importado 32"/>
  </w:style>
  <w:style w:type="numbering" w:customStyle="1" w:styleId="Estiloimportado33">
    <w:name w:val="Estilo importado 33"/>
  </w:style>
  <w:style w:type="numbering" w:customStyle="1" w:styleId="Estiloimportado34">
    <w:name w:val="Estilo importado 34"/>
  </w:style>
  <w:style w:type="numbering" w:customStyle="1" w:styleId="Estiloimportado35">
    <w:name w:val="Estilo importado 35"/>
  </w:style>
  <w:style w:type="numbering" w:customStyle="1" w:styleId="Estiloimportado36">
    <w:name w:val="Estilo importado 36"/>
  </w:style>
  <w:style w:type="numbering" w:customStyle="1" w:styleId="Estiloimportado37">
    <w:name w:val="Estilo importado 37"/>
  </w:style>
  <w:style w:type="numbering" w:customStyle="1" w:styleId="Estiloimportado38">
    <w:name w:val="Estilo importado 38"/>
  </w:style>
  <w:style w:type="numbering" w:customStyle="1" w:styleId="Estiloimportado39">
    <w:name w:val="Estilo importado 39"/>
  </w:style>
  <w:style w:type="numbering" w:customStyle="1" w:styleId="Estiloimportado40">
    <w:name w:val="Estilo importado 40"/>
  </w:style>
  <w:style w:type="numbering" w:customStyle="1" w:styleId="Estiloimportado41">
    <w:name w:val="Estilo importado 41"/>
  </w:style>
  <w:style w:type="numbering" w:customStyle="1" w:styleId="Estiloimportado42">
    <w:name w:val="Estilo importado 42"/>
  </w:style>
  <w:style w:type="numbering" w:customStyle="1" w:styleId="Estiloimportado43">
    <w:name w:val="Estilo importado 43"/>
  </w:style>
  <w:style w:type="numbering" w:customStyle="1" w:styleId="Estiloimportado44">
    <w:name w:val="Estilo importado 44"/>
  </w:style>
  <w:style w:type="numbering" w:customStyle="1" w:styleId="Estiloimportado45">
    <w:name w:val="Estilo importado 45"/>
  </w:style>
  <w:style w:type="numbering" w:customStyle="1" w:styleId="Estiloimportado46">
    <w:name w:val="Estilo importado 46"/>
  </w:style>
  <w:style w:type="numbering" w:customStyle="1" w:styleId="Estiloimportado47">
    <w:name w:val="Estilo importado 47"/>
  </w:style>
  <w:style w:type="numbering" w:customStyle="1" w:styleId="Estiloimportado48">
    <w:name w:val="Estilo importado 48"/>
  </w:style>
  <w:style w:type="numbering" w:customStyle="1" w:styleId="Estiloimportado49">
    <w:name w:val="Estilo importado 49"/>
  </w:style>
  <w:style w:type="numbering" w:customStyle="1" w:styleId="Estiloimportado50">
    <w:name w:val="Estilo importado 50"/>
  </w:style>
  <w:style w:type="numbering" w:customStyle="1" w:styleId="Estiloimportado51">
    <w:name w:val="Estilo importado 51"/>
  </w:style>
  <w:style w:type="table" w:customStyle="1" w:styleId="a">
    <w:basedOn w:val="TableNormal0"/>
    <w:tblPr>
      <w:tblStyleRowBandSize w:val="1"/>
      <w:tblStyleColBandSize w:val="1"/>
      <w:tblCellMar>
        <w:top w:w="0" w:type="dxa"/>
        <w:left w:w="115" w:type="dxa"/>
        <w:bottom w:w="0"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15" w:type="dxa"/>
        <w:bottom w:w="0" w:type="dxa"/>
        <w:right w:w="115" w:type="dxa"/>
      </w:tblCellMar>
    </w:tblPr>
  </w:style>
  <w:style w:type="paragraph" w:styleId="Cabealho">
    <w:name w:val="header"/>
    <w:basedOn w:val="Normal"/>
    <w:link w:val="CabealhoCarter"/>
    <w:uiPriority w:val="99"/>
    <w:unhideWhenUsed/>
    <w:rsid w:val="005C3C0B"/>
    <w:pPr>
      <w:tabs>
        <w:tab w:val="center" w:pos="4252"/>
        <w:tab w:val="right" w:pos="8504"/>
      </w:tabs>
    </w:pPr>
  </w:style>
  <w:style w:type="character" w:customStyle="1" w:styleId="CabealhoCarter">
    <w:name w:val="Cabeçalho Caráter"/>
    <w:basedOn w:val="Tipodeletrapredefinidodopargrafo"/>
    <w:link w:val="Cabealho"/>
    <w:uiPriority w:val="99"/>
    <w:rsid w:val="005C3C0B"/>
  </w:style>
  <w:style w:type="paragraph" w:styleId="Rodap">
    <w:name w:val="footer"/>
    <w:basedOn w:val="Normal"/>
    <w:link w:val="RodapCarter"/>
    <w:uiPriority w:val="99"/>
    <w:unhideWhenUsed/>
    <w:rsid w:val="005C3C0B"/>
    <w:pPr>
      <w:tabs>
        <w:tab w:val="center" w:pos="4252"/>
        <w:tab w:val="right" w:pos="8504"/>
      </w:tabs>
    </w:pPr>
  </w:style>
  <w:style w:type="character" w:customStyle="1" w:styleId="RodapCarter">
    <w:name w:val="Rodapé Caráter"/>
    <w:basedOn w:val="Tipodeletrapredefinidodopargrafo"/>
    <w:link w:val="Rodap"/>
    <w:uiPriority w:val="99"/>
    <w:rsid w:val="005C3C0B"/>
  </w:style>
  <w:style w:type="paragraph" w:styleId="Cabealhodondice">
    <w:name w:val="TOC Heading"/>
    <w:basedOn w:val="Ttulo1"/>
    <w:next w:val="Normal"/>
    <w:uiPriority w:val="39"/>
    <w:unhideWhenUsed/>
    <w:qFormat/>
    <w:rsid w:val="004B2E19"/>
    <w:pPr>
      <w:spacing w:before="240" w:after="0" w:line="259" w:lineRule="auto"/>
      <w:outlineLvl w:val="9"/>
    </w:pPr>
    <w:rPr>
      <w:rFonts w:asciiTheme="majorHAnsi" w:eastAsiaTheme="majorEastAsia" w:hAnsiTheme="majorHAnsi" w:cstheme="majorBidi"/>
      <w:b w:val="0"/>
      <w:bCs w:val="0"/>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Tema do Office">
  <a:themeElements>
    <a:clrScheme name="Tema do Offic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iaQXG3rrDwhmn5jJ2RLM2CVonw==">CgMxLjAyDmguZm4yMDY5cXVjaWxlMg5oLjR4eHN3b2o4ZWh6ZTgAciExaUFaWENKaXRvTFBYQlZVaEpuQnJjWWdlRjRFRUhHdnk=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AB05E21-4D5F-4589-8AF1-1CAA6BB81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27</Pages>
  <Words>10855</Words>
  <Characters>58619</Characters>
  <Application>Microsoft Office Word</Application>
  <DocSecurity>0</DocSecurity>
  <Lines>488</Lines>
  <Paragraphs>138</Paragraphs>
  <ScaleCrop>false</ScaleCrop>
  <Company/>
  <LinksUpToDate>false</LinksUpToDate>
  <CharactersWithSpaces>69336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Eng. Clayton Correia</cp:lastModifiedBy>
  <cp:revision>3</cp:revision>
  <dcterms:created xsi:type="dcterms:W3CDTF">2026-10-14T14:04:00Z</dcterms:created>
  <dcterms:modified xsi:type="dcterms:W3CDTF">2026-10-15T10:28:00Z</dcterms:modified>
</cp:coreProperties>
</file>